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Regular" w:hAnsi="Times New Roman Regular" w:cs="Times New Roman Regular"/>
          <w:b w:val="0"/>
        </w:rPr>
      </w:pPr>
      <w:r>
        <w:rPr>
          <w:rFonts w:hint="default" w:ascii="Times New Roman Regular" w:hAnsi="Times New Roman Regular" w:cs="Times New Roman Regular"/>
          <w:b w:val="0"/>
        </w:rPr>
        <w:t>Neural Sparse Voxel Fields</w:t>
      </w: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论文地址：</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"https://proceedings.neurips.cc/paper/2020/file/b4b758962f17808746e9bb832a6fa4b8-Paper.pdf"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https://proceedings.neurips.cc/paper/2020/file/b4b758962f17808746e9bb832a6fa4b8-Paper.pdf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Github：</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"https://github.com/facebookresearch/NSVF"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https://github.com/facebookresearch/NSVF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摘要</w:t>
      </w:r>
    </w:p>
    <w:p>
      <w:pPr>
        <w:rPr>
          <w:rFonts w:hint="eastAsia"/>
          <w:lang w:val="en-US" w:eastAsia="zh-Hans"/>
        </w:rPr>
      </w:pPr>
      <w:r>
        <w:rPr>
          <w:rFonts w:hint="eastAsia"/>
          <w:lang w:val="en-US" w:eastAsia="zh-Hans"/>
        </w:rPr>
        <w:t>使用经典计算机图形技术</w:t>
      </w:r>
      <w:r>
        <w:rPr>
          <w:rFonts w:hint="eastAsia"/>
          <w:b/>
          <w:bCs/>
          <w:lang w:val="en-US" w:eastAsia="zh-Hans"/>
        </w:rPr>
        <w:t>对真实世界场景进行逼真的自由视角渲染</w:t>
      </w:r>
      <w:r>
        <w:rPr>
          <w:rFonts w:hint="eastAsia"/>
          <w:lang w:val="en-US" w:eastAsia="zh-Hans"/>
        </w:rPr>
        <w:t>具有挑战性，因为它需要</w:t>
      </w:r>
      <w:r>
        <w:rPr>
          <w:rFonts w:hint="eastAsia"/>
          <w:b/>
          <w:bCs/>
          <w:lang w:val="en-US" w:eastAsia="zh-Hans"/>
        </w:rPr>
        <w:t>捕获详细外观和几何模型的困难步骤</w:t>
      </w:r>
      <w:r>
        <w:rPr>
          <w:rFonts w:hint="eastAsia"/>
          <w:lang w:val="en-US" w:eastAsia="zh-Hans"/>
        </w:rPr>
        <w:t>。最近的研究通过学习在没有 3D 监督的情况下隐式编码几何和外观的场景表示，证明了有希望的结果。然而，现有方法在实践中经常表现出由于网络容量有限或难以找到相机光线与场景几何体的准确交点而导致的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。在这项工作中，我们引入了神经稀疏体素场 (NSVF)，这是一种用于快速和高质量自由视角渲染的新神经场景表示。 NSVF 定义了一组以</w:t>
      </w:r>
      <w:r>
        <w:rPr>
          <w:rFonts w:hint="eastAsia"/>
          <w:b/>
          <w:bCs/>
          <w:lang w:val="en-US" w:eastAsia="zh-Hans"/>
        </w:rPr>
        <w:t>稀疏体素八叉树组织的体素有界隐式场</w:t>
      </w:r>
      <w:r>
        <w:rPr>
          <w:rFonts w:hint="eastAsia"/>
          <w:lang w:val="en-US" w:eastAsia="zh-Hans"/>
        </w:rPr>
        <w:t>，以对每个单元格中的局部属性进行建模。我们仅从一组构成的 RGB 图像中，通过可微分的光线行进操作逐步学习潜在的体素结构。使用稀疏体素八叉树结构，可以通过跳过不包含相关场景内容的体素来加速渲染新视图。我们的方法在推理时通常比最先进的方法（即 NeRF（Mildenhall 等人，2020 年））快 10 倍以上，同时获得更高质量的结果。此外，通过利用显式稀疏体素表示，我们的方法可以轻松应用于场景编辑和场景合成。我们还展示了几个具有挑战性的任务，包括多场景学习、移动人的自由视角渲染和大规模场景渲染。</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介绍</w:t>
      </w:r>
    </w:p>
    <w:p>
      <w:pPr>
        <w:rPr>
          <w:rFonts w:hint="eastAsia"/>
          <w:lang w:val="en-US" w:eastAsia="zh-Hans"/>
        </w:rPr>
      </w:pPr>
      <w:r>
        <w:rPr>
          <w:rFonts w:hint="eastAsia"/>
          <w:lang w:val="en-US" w:eastAsia="zh-Hans"/>
        </w:rPr>
        <w:t>计算机图形学中的逼真渲染具有广泛的应用，包括混合现实、视觉效果、可视化，甚至计算机视觉和机器人导航中的训练数据生成。从任意角度逼真地渲染真实世界场景是一项巨大的挑战，因为通常无法像在高预算的视觉效果制作中那样获得高质量的场景几何图形和材料模型。因此，研究人员开发了</w:t>
      </w:r>
      <w:r>
        <w:rPr>
          <w:rFonts w:hint="eastAsia"/>
          <w:b/>
          <w:bCs/>
          <w:lang w:val="en-US" w:eastAsia="zh-Hans"/>
        </w:rPr>
        <w:t>基于图像的渲染 (IBR) 方法，将基于视觉的场景几何建模与基于图像的视图插值相结合（</w:t>
      </w:r>
      <w:r>
        <w:rPr>
          <w:rFonts w:hint="eastAsia"/>
          <w:lang w:val="en-US" w:eastAsia="zh-Hans"/>
        </w:rPr>
        <w:t>Shum 和 Kang，2000；Zhang 和 Chen，2004；Szeliski，2010）。尽管取得了重大进展，但 IBR 方法仍然具有</w:t>
      </w:r>
      <w:r>
        <w:rPr>
          <w:rFonts w:hint="eastAsia"/>
          <w:b/>
          <w:bCs/>
          <w:lang w:val="en-US" w:eastAsia="zh-Hans"/>
        </w:rPr>
        <w:t>次优渲染质量和对结果的有限控制</w:t>
      </w:r>
      <w:r>
        <w:rPr>
          <w:rFonts w:hint="eastAsia"/>
          <w:lang w:val="en-US" w:eastAsia="zh-Hans"/>
        </w:rPr>
        <w:t>，并且通常是特定于场景类型的。为了克服这些限制，最近的工作采用了</w:t>
      </w:r>
      <w:r>
        <w:rPr>
          <w:rFonts w:hint="eastAsia"/>
          <w:b/>
          <w:bCs/>
          <w:lang w:val="en-US" w:eastAsia="zh-Hans"/>
        </w:rPr>
        <w:t>深度神经网络来隐式地学习场景表示，从带有或不带有粗几何的 2D 观察中封装几何和外观</w:t>
      </w:r>
      <w:r>
        <w:rPr>
          <w:rFonts w:hint="eastAsia"/>
          <w:lang w:val="en-US" w:eastAsia="zh-Hans"/>
        </w:rPr>
        <w:t>。这种神经表示通常与 3D 几何模型相结合，例如体素网格（Yan 等人，2016 年；Sitzmann 等人，2019a；Lombardi 等人，2019 年）、纹理网格（Thies 等人，2019 年；Kim 等人al., 2018; Liu et al., 2019a, 2020)、多平面图像（Zhou et al., 2018; Flynn et al., 2019; Mildenhall et al., 2019）、点云（Meshry et al., 2019；Aliev 等人，2019 年）和隐函数（Sitzmann 等人，2019b；Mildenhall 等人，2020 年）。</w:t>
      </w:r>
    </w:p>
    <w:p>
      <w:pPr>
        <w:rPr>
          <w:rFonts w:hint="eastAsia"/>
          <w:lang w:val="en-US" w:eastAsia="zh-Hans"/>
        </w:rPr>
      </w:pPr>
      <w:r>
        <w:rPr>
          <w:rFonts w:hint="eastAsia"/>
          <w:lang w:val="en-US" w:eastAsia="zh-Hans"/>
        </w:rPr>
        <w:t>与大多数显式几何表示不同，神经隐式函数是平滑、连续的，并且理论上可以实现高空间分辨率。 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 此外，使用这些神经表示</w:t>
      </w:r>
      <w:r>
        <w:rPr>
          <w:rFonts w:hint="eastAsia"/>
          <w:b/>
          <w:bCs/>
          <w:lang w:val="en-US" w:eastAsia="zh-Hans"/>
        </w:rPr>
        <w:t>编辑或重新合成 3D 场景模型并不简单</w:t>
      </w: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在本文中，我们提出了神经稀疏体素场 (NSVF)，这是一种用于快速和高质量自由视点渲染的新隐式表示。 NSVF 不是使用单个隐函数对整个空间进行建模，而是由一组以稀疏体素八叉树组织的体素有界隐式字段组成。具体来说，我们在</w:t>
      </w:r>
      <w:r>
        <w:rPr>
          <w:rFonts w:hint="eastAsia"/>
          <w:b/>
          <w:bCs/>
          <w:lang w:val="en-US" w:eastAsia="zh-Hans"/>
        </w:rPr>
        <w:t>体素的每个顶点分配一个体素嵌入，并通过在相应体素的八个顶点处聚合体素嵌入来获得体素内部查询点的表示</w:t>
      </w:r>
      <w:r>
        <w:rPr>
          <w:rFonts w:hint="eastAsia"/>
          <w:lang w:val="en-US" w:eastAsia="zh-Hans"/>
        </w:rPr>
        <w:t>。这进一步通过多层感知器网络 (MLP) 来预测该查询点的几何形状和外观。我们的方法可以通过可微分的光线行进操作从场景的一组 2D 图像中逐步学习 NSVF，从粗到细。在训练期间，</w:t>
      </w:r>
      <w:r>
        <w:rPr>
          <w:rFonts w:hint="eastAsia"/>
          <w:b/>
          <w:bCs/>
          <w:lang w:val="en-US" w:eastAsia="zh-Hans"/>
        </w:rPr>
        <w:t>不包含场景信息的稀疏体素将被修剪</w:t>
      </w:r>
      <w:r>
        <w:rPr>
          <w:rFonts w:hint="eastAsia"/>
          <w:lang w:val="en-US" w:eastAsia="zh-Hans"/>
        </w:rPr>
        <w:t>，以允许网络专注于具有场景内容的体积区域的隐函数学习。使用稀疏体素，可以通过跳过没有场景内容的空体素来大大加快推理时的渲染速度。</w:t>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我们的方法在推理时通常比最先进的方法（即 NeRF（Mildenhall 等人，2020 年））快 10 倍以上，同时获得更高质量的结果。 我们在各种具有挑战性的任务上广泛评估了我们的方法，包括多对象学习、动态和室内场景的自由视点渲染。 我们的方法可用于编辑和合成场景。 总而言之，我们的技术贡献是：</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我们提出了由一组体素有界隐式字段组成的 NSVF，其中对于每个体素，体素嵌入被学习以编码局部属性以实现高质量渲染；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NSVF 利用稀疏体素结构实现高效渲染；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我们引入了一种渐进式训练策略，该策略以端到端的方式从一组有姿势的 2D 图像中通过可微分的光线行进操作有效地学习底层稀疏体素结构。</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背景</w:t>
      </w:r>
    </w:p>
    <w:p>
      <w:pPr>
        <w:rPr>
          <w:rFonts w:hint="eastAsia"/>
          <w:lang w:val="en-US" w:eastAsia="zh-Hans"/>
        </w:rPr>
      </w:pPr>
      <w:r>
        <w:rPr>
          <w:rFonts w:hint="eastAsia"/>
          <w:lang w:val="en-US" w:eastAsia="zh-Hans"/>
        </w:rPr>
        <w:t>现有的神经场景表示和神经渲染方法通常旨在学习将空间位置映射到隐式描述场景的局部几何形状和外观的特征表示的函数，其中可以使用计算机图形学中的渲染技术合成该场景的新视角。为此，渲染过程以可微分的方式制定，以便可以通过最小化渲染和场景的 2D 图像之间的差异来训练对场景表示进行编码的神经网络。 在本节中，我们将描述使用隐式场的现有表示和渲染方法及其局限性。</w:t>
      </w:r>
    </w:p>
    <w:p>
      <w:pPr>
        <w:rPr>
          <w:rFonts w:hint="eastAsia"/>
          <w:lang w:val="en-US" w:eastAsia="zh-Hans"/>
        </w:rPr>
      </w:pPr>
    </w:p>
    <w:p>
      <w:pPr>
        <w:pStyle w:val="4"/>
        <w:bidi w:val="0"/>
        <w:rPr>
          <w:rFonts w:hint="default"/>
          <w:lang w:eastAsia="zh-Hans"/>
        </w:rPr>
      </w:pPr>
      <w:r>
        <w:rPr>
          <w:rFonts w:hint="eastAsia"/>
          <w:lang w:val="en-US" w:eastAsia="zh-Hans"/>
        </w:rPr>
        <w:t>Neural Rendering with Implicit Fields</w:t>
      </w:r>
      <w:r>
        <w:rPr>
          <w:rFonts w:hint="default"/>
          <w:lang w:eastAsia="zh-Hans"/>
        </w:rPr>
        <w:t xml:space="preserve"> 隐式场的神经渲染</w:t>
      </w:r>
    </w:p>
    <w:p>
      <w:pPr>
        <w:rPr>
          <w:rFonts w:hint="eastAsia"/>
          <w:lang w:val="en-US" w:eastAsia="zh-Hans"/>
        </w:rPr>
      </w:pPr>
      <w:r>
        <w:rPr>
          <w:rFonts w:hint="eastAsia"/>
          <w:lang w:val="en-US" w:eastAsia="zh-Hans"/>
        </w:rPr>
        <w:t xml:space="preserve">让我们将场景表示为隐函数 </w:t>
      </w:r>
      <w:r>
        <w:drawing>
          <wp:inline distT="0" distB="0" distL="114300" distR="114300">
            <wp:extent cx="681355" cy="1479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1355" cy="147955"/>
                    </a:xfrm>
                    <a:prstGeom prst="rect">
                      <a:avLst/>
                    </a:prstGeom>
                    <a:noFill/>
                    <a:ln w="9525">
                      <a:noFill/>
                    </a:ln>
                  </pic:spPr>
                </pic:pic>
              </a:graphicData>
            </a:graphic>
          </wp:inline>
        </w:drawing>
      </w:r>
      <w:r>
        <w:rPr>
          <w:rFonts w:hint="eastAsia"/>
          <w:lang w:val="en-US" w:eastAsia="zh-Hans"/>
        </w:rPr>
        <w:t xml:space="preserve">，其中 θ 是底层神经网络的参数。 该函数描述了场景颜色 c 及其在空间位置 p 和光线方向 v 处的概率密度 ω。给定位置 </w:t>
      </w:r>
      <w:r>
        <w:drawing>
          <wp:inline distT="0" distB="0" distL="114300" distR="114300">
            <wp:extent cx="314325" cy="100330"/>
            <wp:effectExtent l="0" t="0" r="158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4325" cy="100330"/>
                    </a:xfrm>
                    <a:prstGeom prst="rect">
                      <a:avLst/>
                    </a:prstGeom>
                    <a:noFill/>
                    <a:ln w="9525">
                      <a:noFill/>
                    </a:ln>
                  </pic:spPr>
                </pic:pic>
              </a:graphicData>
            </a:graphic>
          </wp:inline>
        </w:drawing>
      </w:r>
      <w:r>
        <w:rPr>
          <w:rFonts w:hint="eastAsia"/>
          <w:lang w:val="en-US" w:eastAsia="zh-Hans"/>
        </w:rPr>
        <w:t>处的针孔相机，我们通过从相机拍摄光线来把大小为 H × W 的二维图像渲染成 3D 场景。 因此，我们评估体积渲染积分以计算相机光线的颜色</w:t>
      </w:r>
      <w:r>
        <w:drawing>
          <wp:inline distT="0" distB="0" distL="114300" distR="114300">
            <wp:extent cx="652780" cy="952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52780" cy="95250"/>
                    </a:xfrm>
                    <a:prstGeom prst="rect">
                      <a:avLst/>
                    </a:prstGeom>
                    <a:noFill/>
                    <a:ln w="9525">
                      <a:noFill/>
                    </a:ln>
                  </pic:spPr>
                </pic:pic>
              </a:graphicData>
            </a:graphic>
          </wp:inline>
        </w:drawing>
      </w:r>
      <w:r>
        <w:rPr>
          <w:rFonts w:hint="eastAsia"/>
          <w:lang w:val="en-US" w:eastAsia="zh-Hans"/>
        </w:rPr>
        <w:t>为：</w:t>
      </w:r>
    </w:p>
    <w:p>
      <w:pPr>
        <w:jc w:val="center"/>
        <w:rPr>
          <w:rFonts w:hint="eastAsia"/>
          <w:lang w:val="en-US" w:eastAsia="zh-Hans"/>
        </w:rPr>
      </w:pPr>
      <w:r>
        <w:drawing>
          <wp:inline distT="0" distB="0" distL="114300" distR="114300">
            <wp:extent cx="3114675" cy="262255"/>
            <wp:effectExtent l="0" t="0" r="952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14675" cy="2622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请注意，为了鼓励场景表示是多视角一致的，ω 被限制为仅 p(z) 的函数，而 c 将 p(z) 和 v 作为输入来建模与视角相关的颜色。 评估该积分的不同渲染策略是可行的。</w:t>
      </w:r>
    </w:p>
    <w:p>
      <w:pPr>
        <w:rPr>
          <w:rFonts w:hint="eastAsia"/>
          <w:lang w:val="en-US" w:eastAsia="zh-Hans"/>
        </w:rPr>
      </w:pPr>
    </w:p>
    <w:p>
      <w:pPr>
        <w:rPr>
          <w:rFonts w:hint="eastAsia"/>
          <w:lang w:val="en-US" w:eastAsia="zh-Hans"/>
        </w:rPr>
      </w:pPr>
      <w:r>
        <w:rPr>
          <w:rFonts w:hint="eastAsia"/>
          <w:b/>
          <w:bCs/>
          <w:lang w:val="en-US" w:eastAsia="zh-Hans"/>
        </w:rPr>
        <w:t>Surface Rendering</w:t>
      </w:r>
      <w:r>
        <w:rPr>
          <w:rFonts w:hint="eastAsia"/>
          <w:lang w:val="en-US" w:eastAsia="zh-Hans"/>
        </w:rPr>
        <w:t>。 基于表面的方法 (Sitzmann et al., 2019b; Liu et al., 2019b; Niemeyer et al., 2019) 假设 ω(p(z)) 是狄拉克函数 δ(p(z)) p(z∗ )) 其中 p(z∗) 是相机光线与场景几何的交点。</w:t>
      </w:r>
    </w:p>
    <w:p>
      <w:pPr>
        <w:rPr>
          <w:rFonts w:hint="eastAsia"/>
          <w:lang w:val="en-US" w:eastAsia="zh-Hans"/>
        </w:rPr>
      </w:pPr>
    </w:p>
    <w:p>
      <w:pPr>
        <w:rPr>
          <w:rFonts w:hint="eastAsia"/>
          <w:b w:val="0"/>
          <w:bCs w:val="0"/>
          <w:lang w:val="en-US" w:eastAsia="zh-Hans"/>
        </w:rPr>
      </w:pPr>
      <w:r>
        <w:rPr>
          <w:rFonts w:hint="eastAsia"/>
          <w:b/>
          <w:bCs/>
          <w:lang w:val="en-US" w:eastAsia="zh-Hans"/>
        </w:rPr>
        <w:t>Volume Rendering.</w:t>
      </w:r>
      <w:r>
        <w:rPr>
          <w:rFonts w:hint="eastAsia"/>
          <w:b w:val="0"/>
          <w:bCs w:val="0"/>
          <w:lang w:val="en-US" w:eastAsia="zh-Hans"/>
        </w:rPr>
        <w:t>（Lombardi 等人，2019 年；Mildenhall 等人，2020 年）通过在每条相机光线上密集采样点并将采样点的颜色和密度累积到 2D 图像中来估计方程</w:t>
      </w:r>
      <w:r>
        <w:rPr>
          <w:rFonts w:hint="default"/>
          <w:b w:val="0"/>
          <w:bCs w:val="0"/>
          <w:lang w:eastAsia="zh-Hans"/>
        </w:rPr>
        <w:t>(1)</w:t>
      </w:r>
      <w:r>
        <w:rPr>
          <w:rFonts w:hint="eastAsia"/>
          <w:b w:val="0"/>
          <w:bCs w:val="0"/>
          <w:lang w:val="en-US" w:eastAsia="zh-Hans"/>
        </w:rPr>
        <w:t>中的积分 C(p0, v)。例如，最先进的方法 NeRF（Mildenhall 等人，2020 年）估计 C(p0, v) 为：</w:t>
      </w:r>
    </w:p>
    <w:p>
      <w:pPr>
        <w:jc w:val="center"/>
      </w:pPr>
      <w:r>
        <w:drawing>
          <wp:inline distT="0" distB="0" distL="114300" distR="114300">
            <wp:extent cx="2891155" cy="357505"/>
            <wp:effectExtent l="0" t="0" r="4445"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891155" cy="357505"/>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1162050" cy="133350"/>
            <wp:effectExtent l="0" t="0" r="6350"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162050" cy="133350"/>
                    </a:xfrm>
                    <a:prstGeom prst="rect">
                      <a:avLst/>
                    </a:prstGeom>
                    <a:noFill/>
                    <a:ln w="9525">
                      <a:noFill/>
                    </a:ln>
                  </pic:spPr>
                </pic:pic>
              </a:graphicData>
            </a:graphic>
          </wp:inline>
        </w:drawing>
      </w:r>
      <w:r>
        <w:t xml:space="preserve"> </w:t>
      </w:r>
      <w:r>
        <w:rPr>
          <w:rFonts w:hint="eastAsia"/>
          <w:lang w:eastAsia="zh-Hans"/>
        </w:rPr>
        <w:t>，</w:t>
      </w:r>
      <w:r>
        <w:rPr>
          <w:rFonts w:hint="eastAsia"/>
          <w:lang w:val="en-US" w:eastAsia="zh-Hans"/>
        </w:rPr>
        <w:t>然后</w:t>
      </w:r>
      <w:r>
        <w:rPr>
          <w:rFonts w:hint="default"/>
          <w:lang w:eastAsia="zh-Hans"/>
        </w:rPr>
        <w:t xml:space="preserve"> </w:t>
      </w:r>
      <w:r>
        <w:drawing>
          <wp:inline distT="0" distB="0" distL="114300" distR="114300">
            <wp:extent cx="1167130" cy="128905"/>
            <wp:effectExtent l="0" t="0" r="127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67130" cy="128905"/>
                    </a:xfrm>
                    <a:prstGeom prst="rect">
                      <a:avLst/>
                    </a:prstGeom>
                    <a:noFill/>
                    <a:ln w="9525">
                      <a:noFill/>
                    </a:ln>
                  </pic:spPr>
                </pic:pic>
              </a:graphicData>
            </a:graphic>
          </wp:inline>
        </w:drawing>
      </w:r>
      <w:r>
        <w:rPr>
          <w:rFonts w:hint="eastAsia"/>
          <w:lang w:val="en-US" w:eastAsia="zh-Hans"/>
        </w:rPr>
        <w:t>和</w:t>
      </w:r>
      <w:r>
        <w:drawing>
          <wp:inline distT="0" distB="0" distL="114300" distR="114300">
            <wp:extent cx="548005" cy="161925"/>
            <wp:effectExtent l="0" t="0" r="1079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8005" cy="161925"/>
                    </a:xfrm>
                    <a:prstGeom prst="rect">
                      <a:avLst/>
                    </a:prstGeom>
                    <a:noFill/>
                    <a:ln w="9525">
                      <a:noFill/>
                    </a:ln>
                  </pic:spPr>
                </pic:pic>
              </a:graphicData>
            </a:graphic>
          </wp:inline>
        </w:drawing>
      </w:r>
      <w:r>
        <w:rPr>
          <w:rFonts w:hint="eastAsia"/>
          <w:lang w:val="en-US" w:eastAsia="zh-Hans"/>
        </w:rPr>
        <w:t>则是采样点的颜色和体积密度。</w:t>
      </w:r>
    </w:p>
    <w:p>
      <w:pPr>
        <w:jc w:val="left"/>
        <w:rPr>
          <w:rFonts w:hint="eastAsia"/>
          <w:lang w:val="en-US" w:eastAsia="zh-Hans"/>
        </w:rPr>
      </w:pPr>
    </w:p>
    <w:p>
      <w:pPr>
        <w:pStyle w:val="4"/>
        <w:bidi w:val="0"/>
        <w:rPr>
          <w:rFonts w:hint="eastAsia"/>
          <w:lang w:val="en-US" w:eastAsia="zh-Hans"/>
        </w:rPr>
      </w:pPr>
      <w:r>
        <w:rPr>
          <w:rFonts w:hint="eastAsia"/>
          <w:lang w:val="en-US" w:eastAsia="zh-Hans"/>
        </w:rPr>
        <w:t>现在方法的局限性</w:t>
      </w:r>
    </w:p>
    <w:p>
      <w:pPr>
        <w:rPr>
          <w:rFonts w:hint="eastAsia"/>
          <w:lang w:val="en-US" w:eastAsia="zh-Hans"/>
        </w:rPr>
      </w:pPr>
      <w:r>
        <w:rPr>
          <w:rFonts w:hint="eastAsia"/>
          <w:lang w:val="en-US" w:eastAsia="zh-Hans"/>
        </w:rPr>
        <w:t>对于表面渲染，</w:t>
      </w:r>
      <w:r>
        <w:rPr>
          <w:rFonts w:hint="eastAsia"/>
          <w:b/>
          <w:bCs/>
          <w:lang w:val="en-US" w:eastAsia="zh-Hans"/>
        </w:rPr>
        <w:t>至关重要的是找到一个准确的表面</w:t>
      </w:r>
      <w:r>
        <w:rPr>
          <w:rFonts w:hint="eastAsia"/>
          <w:lang w:val="en-US" w:eastAsia="zh-Hans"/>
        </w:rPr>
        <w:t>，使学习到的颜色在多视角中保持一致，这对训练收敛很困难且有害，从而导致渲染中的模糊。</w:t>
      </w:r>
      <w:r>
        <w:rPr>
          <w:rFonts w:hint="eastAsia"/>
          <w:b/>
          <w:bCs/>
          <w:lang w:val="en-US" w:eastAsia="zh-Hans"/>
        </w:rPr>
        <w:t>体积渲染方法需要沿光线采样大量点以进行颜色累积，以实现高质量渲染</w:t>
      </w:r>
      <w:r>
        <w:rPr>
          <w:rFonts w:hint="eastAsia"/>
          <w:lang w:val="en-US" w:eastAsia="zh-Hans"/>
        </w:rPr>
        <w:t>。然而，像 NeRF 那样沿射线评估每个采样点是低效的。例如，NeRF 渲染 800 × 800 图像需要大约 30 秒。</w:t>
      </w:r>
      <w:r>
        <w:rPr>
          <w:rFonts w:hint="eastAsia"/>
          <w:b/>
          <w:bCs/>
          <w:lang w:val="en-US" w:eastAsia="zh-Hans"/>
        </w:rPr>
        <w:t>我们的主要观点是，尽可能防止在没有相关场景内容的空白空间中采样点很重要</w:t>
      </w:r>
      <w:r>
        <w:rPr>
          <w:rFonts w:hint="eastAsia"/>
          <w:lang w:val="en-US" w:eastAsia="zh-Hans"/>
        </w:rPr>
        <w:t>。尽管 NeRF 沿射线执行重要性采样，但由于为每条射线分配了固定的计算预算，它无法利用这个机会来提高渲染速度。我们受到经典计算机图形技术的启发，例如边界体积层次结构（BVH，Rubin 和 Whitted，1980）和稀疏体素八叉树（SVO，Laine 和 Karras，2010），它们旨在以稀疏层次结构对场景进行建模光线追踪加速。在这种编码中，空间位置的局部属性仅取决于空间位置所属的叶节点的局部邻域。在本文中，我们展示了如何在 3D 场景的神经网络编码隐式字段中使用分层稀疏体积表示，以实现详细编码和高效、高质量的可微体积渲染，即使是大型场景也是如此。</w:t>
      </w:r>
    </w:p>
    <w:p>
      <w:pPr>
        <w:rPr>
          <w:rFonts w:hint="eastAsia"/>
          <w:lang w:val="en-US" w:eastAsia="zh-Hans"/>
        </w:rPr>
      </w:pPr>
    </w:p>
    <w:p>
      <w:pPr>
        <w:pStyle w:val="3"/>
        <w:bidi w:val="0"/>
        <w:rPr>
          <w:rFonts w:hint="eastAsia"/>
          <w:lang w:val="en-US" w:eastAsia="zh-Hans"/>
        </w:rPr>
      </w:pPr>
      <w:r>
        <w:rPr>
          <w:rFonts w:hint="eastAsia"/>
          <w:lang w:val="en-US" w:eastAsia="zh-Hans"/>
        </w:rPr>
        <w:t>Neural Sparse Voxel Fields</w:t>
      </w:r>
    </w:p>
    <w:p>
      <w:pPr>
        <w:rPr>
          <w:rFonts w:hint="eastAsia"/>
          <w:lang w:val="en-US" w:eastAsia="zh-Hans"/>
        </w:rPr>
      </w:pPr>
      <w:r>
        <w:rPr>
          <w:rFonts w:hint="eastAsia"/>
          <w:lang w:val="en-US" w:eastAsia="zh-Hans"/>
        </w:rPr>
        <w:t>在本节中，我们将介绍神经稀疏体素场 (NSVF)，这是一种</w:t>
      </w:r>
      <w:r>
        <w:rPr>
          <w:rFonts w:hint="eastAsia"/>
          <w:b/>
          <w:bCs/>
          <w:lang w:val="en-US" w:eastAsia="zh-Hans"/>
        </w:rPr>
        <w:t>将神经隐式场与显式稀疏体素结构相结合的混合场景表示</w:t>
      </w:r>
      <w:r>
        <w:rPr>
          <w:rFonts w:hint="eastAsia"/>
          <w:lang w:val="en-US" w:eastAsia="zh-Hans"/>
        </w:rPr>
        <w:t>。 NSVF 不是将整个场景表示为单个隐式场，而是由一组以稀疏体素八叉树组织的体素有界隐式场组成。 在下文中，我们描述了 NSVF 的构建块 - 一个体素有界隐式场（第 3.1 节） - 随后是 NSVF 的渲染算法（第 3.2 节）和渐进式学习策略（第 3.3 节）。</w:t>
      </w:r>
    </w:p>
    <w:p>
      <w:pPr>
        <w:rPr>
          <w:rFonts w:hint="eastAsia"/>
          <w:lang w:val="en-US" w:eastAsia="zh-Hans"/>
        </w:rPr>
      </w:pPr>
    </w:p>
    <w:p>
      <w:pPr>
        <w:pStyle w:val="4"/>
        <w:bidi w:val="0"/>
        <w:rPr>
          <w:rFonts w:hint="default"/>
          <w:lang w:eastAsia="zh-Hans"/>
        </w:rPr>
      </w:pPr>
      <w:r>
        <w:rPr>
          <w:rFonts w:hint="eastAsia"/>
          <w:lang w:val="en-US" w:eastAsia="zh-Hans"/>
        </w:rPr>
        <w:t>Voxel-bounded Implicit Fields</w:t>
      </w:r>
      <w:r>
        <w:rPr>
          <w:rFonts w:hint="default"/>
          <w:lang w:eastAsia="zh-Hans"/>
        </w:rPr>
        <w:t xml:space="preserve"> 体素有界隐式场</w:t>
      </w:r>
    </w:p>
    <w:p>
      <w:pPr>
        <w:rPr>
          <w:rFonts w:hint="default"/>
          <w:lang w:eastAsia="zh-Hans"/>
        </w:rPr>
      </w:pPr>
      <w:r>
        <w:rPr>
          <w:rFonts w:hint="default"/>
          <w:lang w:eastAsia="zh-Hans"/>
        </w:rPr>
        <w:t>我们假设场景的相关非空部分包含在一组稀疏（</w:t>
      </w:r>
      <w:r>
        <w:rPr>
          <w:rFonts w:hint="eastAsia"/>
          <w:lang w:val="en-US" w:eastAsia="zh-Hans"/>
        </w:rPr>
        <w:t>有</w:t>
      </w:r>
      <w:r>
        <w:rPr>
          <w:rFonts w:hint="default"/>
          <w:lang w:eastAsia="zh-Hans"/>
        </w:rPr>
        <w:t xml:space="preserve">界）体素 </w:t>
      </w:r>
      <w:r>
        <w:drawing>
          <wp:inline distT="0" distB="0" distL="114300" distR="114300">
            <wp:extent cx="619125" cy="104775"/>
            <wp:effectExtent l="0" t="0" r="15875"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619125" cy="104775"/>
                    </a:xfrm>
                    <a:prstGeom prst="rect">
                      <a:avLst/>
                    </a:prstGeom>
                    <a:noFill/>
                    <a:ln w="9525">
                      <a:noFill/>
                    </a:ln>
                  </pic:spPr>
                </pic:pic>
              </a:graphicData>
            </a:graphic>
          </wp:inline>
        </w:drawing>
      </w:r>
      <w:r>
        <w:rPr>
          <w:rFonts w:hint="default"/>
          <w:lang w:eastAsia="zh-Hans"/>
        </w:rPr>
        <w:t>，并且场景被建模为一组体素有界隐函数：</w:t>
      </w:r>
      <w:r>
        <w:drawing>
          <wp:inline distT="0" distB="0" distL="114300" distR="114300">
            <wp:extent cx="895350" cy="119380"/>
            <wp:effectExtent l="0" t="0" r="190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895350" cy="119380"/>
                    </a:xfrm>
                    <a:prstGeom prst="rect">
                      <a:avLst/>
                    </a:prstGeom>
                    <a:noFill/>
                    <a:ln w="9525">
                      <a:noFill/>
                    </a:ln>
                  </pic:spPr>
                </pic:pic>
              </a:graphicData>
            </a:graphic>
          </wp:inline>
        </w:drawing>
      </w:r>
      <w:r>
        <w:rPr>
          <w:rFonts w:hint="default"/>
          <w:lang w:eastAsia="zh-Hans"/>
        </w:rPr>
        <w:t xml:space="preserve"> </w:t>
      </w:r>
      <w:r>
        <w:rPr>
          <w:rFonts w:hint="eastAsia"/>
          <w:lang w:val="en-US" w:eastAsia="zh-Hans"/>
        </w:rPr>
        <w:t>其中</w:t>
      </w:r>
      <w:r>
        <w:rPr>
          <w:rFonts w:hint="default"/>
          <w:lang w:eastAsia="zh-Hans"/>
        </w:rPr>
        <w:t xml:space="preserve">p ∈ Vi 。 每个 </w:t>
      </w:r>
      <w:r>
        <w:drawing>
          <wp:inline distT="0" distB="0" distL="114300" distR="114300">
            <wp:extent cx="119380" cy="114300"/>
            <wp:effectExtent l="0" t="0" r="762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19380" cy="114300"/>
                    </a:xfrm>
                    <a:prstGeom prst="rect">
                      <a:avLst/>
                    </a:prstGeom>
                    <a:noFill/>
                    <a:ln w="9525">
                      <a:noFill/>
                    </a:ln>
                  </pic:spPr>
                </pic:pic>
              </a:graphicData>
            </a:graphic>
          </wp:inline>
        </w:drawing>
      </w:r>
      <w:r>
        <w:t xml:space="preserve"> </w:t>
      </w:r>
      <w:r>
        <w:rPr>
          <w:rFonts w:hint="default"/>
          <w:lang w:eastAsia="zh-Hans"/>
        </w:rPr>
        <w:t>都被建模为具有共享参数 θ 的多层感知器 (MLP)：</w:t>
      </w:r>
    </w:p>
    <w:p>
      <w:pPr>
        <w:jc w:val="center"/>
        <w:rPr>
          <w:rFonts w:hint="default"/>
          <w:lang w:eastAsia="zh-Hans"/>
        </w:rPr>
      </w:pPr>
      <w:r>
        <w:drawing>
          <wp:inline distT="0" distB="0" distL="114300" distR="114300">
            <wp:extent cx="2348230" cy="167005"/>
            <wp:effectExtent l="0" t="0" r="1397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348230" cy="167005"/>
                    </a:xfrm>
                    <a:prstGeom prst="rect">
                      <a:avLst/>
                    </a:prstGeom>
                    <a:noFill/>
                    <a:ln w="9525">
                      <a:noFill/>
                    </a:ln>
                  </pic:spPr>
                </pic:pic>
              </a:graphicData>
            </a:graphic>
          </wp:inline>
        </w:drawing>
      </w:r>
    </w:p>
    <w:p>
      <w:pPr>
        <w:rPr>
          <w:rFonts w:hint="default"/>
          <w:lang w:val="en-US" w:eastAsia="zh-Hans"/>
        </w:rPr>
      </w:pPr>
      <w:r>
        <w:rPr>
          <w:rFonts w:hint="eastAsia"/>
          <w:lang w:val="en-US" w:eastAsia="zh-Hans"/>
        </w:rPr>
        <w:t>这里</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和</w:t>
      </w:r>
      <w:r>
        <w:rPr>
          <w:rFonts w:hint="default"/>
          <w:lang w:eastAsia="zh-Hans"/>
        </w:rPr>
        <w:t xml:space="preserve"> </w:t>
      </w:r>
      <m:oMath>
        <m:r>
          <m:rPr>
            <m:sty m:val="p"/>
          </m:rPr>
          <w:rPr>
            <w:rFonts w:ascii="Cambria Math" w:hAnsi="Cambria Math"/>
          </w:rPr>
          <m:t>σ</m:t>
        </m:r>
      </m:oMath>
      <w:r>
        <w:rPr>
          <w:rFonts w:ascii="Cambria Math" w:hAnsi="Cambria Math"/>
          <w:i w:val="0"/>
        </w:rPr>
        <w:t xml:space="preserve"> </w:t>
      </w:r>
      <w:r>
        <w:rPr>
          <w:rFonts w:hint="eastAsia" w:ascii="Cambria Math" w:hAnsi="Cambria Math"/>
          <w:i w:val="0"/>
          <w:lang w:val="en-US" w:eastAsia="zh-Hans"/>
        </w:rPr>
        <w:t>表示</w:t>
      </w:r>
      <w:r>
        <w:rPr>
          <w:rFonts w:hint="default" w:ascii="Cambria Math" w:hAnsi="Cambria Math"/>
          <w:i w:val="0"/>
          <w:lang w:eastAsia="zh-Hans"/>
        </w:rPr>
        <w:t xml:space="preserve"> 3D </w:t>
      </w:r>
      <w:r>
        <w:rPr>
          <w:rFonts w:hint="eastAsia" w:ascii="Cambria Math" w:hAnsi="Cambria Math"/>
          <w:i w:val="0"/>
          <w:lang w:val="en-US" w:eastAsia="zh-Hans"/>
        </w:rPr>
        <w:t>点</w:t>
      </w:r>
      <w:r>
        <w:rPr>
          <w:rFonts w:hint="default" w:ascii="Cambria Math" w:hAnsi="Cambria Math"/>
          <w:i w:val="0"/>
          <w:lang w:eastAsia="zh-Hans"/>
        </w:rPr>
        <w:t xml:space="preserve"> </w:t>
      </w:r>
      <w:r>
        <w:rPr>
          <w:rFonts w:hint="eastAsia" w:ascii="Cambria Math" w:hAnsi="Cambria Math"/>
          <w:i w:val="0"/>
          <w:lang w:val="en-US" w:eastAsia="zh-Hans"/>
        </w:rPr>
        <w:t>p</w:t>
      </w:r>
      <w:r>
        <w:rPr>
          <w:rFonts w:hint="default" w:ascii="Cambria Math" w:hAnsi="Cambria Math"/>
          <w:i w:val="0"/>
          <w:lang w:eastAsia="zh-Hans"/>
        </w:rPr>
        <w:t xml:space="preserve"> </w:t>
      </w:r>
      <w:r>
        <w:rPr>
          <w:rFonts w:hint="eastAsia" w:ascii="Cambria Math" w:hAnsi="Cambria Math"/>
          <w:i w:val="0"/>
          <w:lang w:val="en-US" w:eastAsia="zh-Hans"/>
        </w:rPr>
        <w:t>的颜色和密度，v</w:t>
      </w:r>
      <w:r>
        <w:rPr>
          <w:rFonts w:hint="default" w:ascii="Cambria Math" w:hAnsi="Cambria Math"/>
          <w:i w:val="0"/>
          <w:lang w:eastAsia="zh-Hans"/>
        </w:rPr>
        <w:t xml:space="preserve"> </w:t>
      </w:r>
      <w:r>
        <w:rPr>
          <w:rFonts w:hint="eastAsia" w:ascii="Cambria Math" w:hAnsi="Cambria Math"/>
          <w:i w:val="0"/>
          <w:lang w:val="en-US" w:eastAsia="zh-Hans"/>
        </w:rPr>
        <w:t>表示光线方向，在点 p的表示</w:t>
      </w:r>
      <w:r>
        <w:rPr>
          <w:rFonts w:hint="default" w:ascii="Cambria Math" w:hAnsi="Cambria Math"/>
          <w:i w:val="0"/>
          <w:lang w:eastAsia="zh-Hans"/>
        </w:rPr>
        <w:t xml:space="preserve"> </w:t>
      </w:r>
      <w:r>
        <w:drawing>
          <wp:inline distT="0" distB="0" distL="114300" distR="114300">
            <wp:extent cx="205105" cy="147955"/>
            <wp:effectExtent l="0" t="0" r="2349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05105" cy="147955"/>
                    </a:xfrm>
                    <a:prstGeom prst="rect">
                      <a:avLst/>
                    </a:prstGeom>
                    <a:noFill/>
                    <a:ln w="9525">
                      <a:noFill/>
                    </a:ln>
                  </pic:spPr>
                </pic:pic>
              </a:graphicData>
            </a:graphic>
          </wp:inline>
        </w:drawing>
      </w:r>
      <w:r>
        <w:t xml:space="preserve"> </w:t>
      </w:r>
      <w:r>
        <w:rPr>
          <w:rFonts w:hint="eastAsia"/>
          <w:lang w:val="en-US" w:eastAsia="zh-Hans"/>
        </w:rPr>
        <w:t>被定义为：</w:t>
      </w:r>
    </w:p>
    <w:p>
      <w:pPr>
        <w:jc w:val="center"/>
      </w:pPr>
      <w:r>
        <w:drawing>
          <wp:inline distT="0" distB="0" distL="114300" distR="114300">
            <wp:extent cx="2486025" cy="138430"/>
            <wp:effectExtent l="0" t="0" r="317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486025" cy="138430"/>
                    </a:xfrm>
                    <a:prstGeom prst="rect">
                      <a:avLst/>
                    </a:prstGeom>
                    <a:noFill/>
                    <a:ln w="9525">
                      <a:noFill/>
                    </a:ln>
                  </pic:spPr>
                </pic:pic>
              </a:graphicData>
            </a:graphic>
          </wp:inline>
        </w:drawing>
      </w:r>
    </w:p>
    <w:p>
      <w:pPr>
        <w:jc w:val="left"/>
        <w:rPr>
          <w:rFonts w:hint="eastAsia" w:eastAsiaTheme="minor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657225" cy="161925"/>
            <wp:effectExtent l="0" t="0" r="31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657225" cy="161925"/>
                    </a:xfrm>
                    <a:prstGeom prst="rect">
                      <a:avLst/>
                    </a:prstGeom>
                    <a:noFill/>
                    <a:ln w="9525">
                      <a:noFill/>
                    </a:ln>
                  </pic:spPr>
                </pic:pic>
              </a:graphicData>
            </a:graphic>
          </wp:inline>
        </w:drawing>
      </w:r>
      <w:r>
        <w:t xml:space="preserve"> </w:t>
      </w:r>
      <w:r>
        <w:rPr>
          <w:rFonts w:hint="eastAsia"/>
          <w:lang w:val="en-US" w:eastAsia="zh-Hans"/>
        </w:rPr>
        <w:t>表示</w:t>
      </w:r>
      <w:r>
        <w:rPr>
          <w:rFonts w:hint="default"/>
          <w:lang w:eastAsia="zh-Hans"/>
        </w:rPr>
        <w:t xml:space="preserve"> V</w:t>
      </w:r>
      <w:r>
        <w:rPr>
          <w:rFonts w:hint="eastAsia"/>
          <w:lang w:val="en-US" w:eastAsia="zh-Hans"/>
        </w:rPr>
        <w:t>i 的八个顶点，</w:t>
      </w:r>
      <w:r>
        <w:drawing>
          <wp:inline distT="0" distB="0" distL="114300" distR="114300">
            <wp:extent cx="929005" cy="157480"/>
            <wp:effectExtent l="0" t="0" r="10795"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29005" cy="157480"/>
                    </a:xfrm>
                    <a:prstGeom prst="rect">
                      <a:avLst/>
                    </a:prstGeom>
                    <a:noFill/>
                    <a:ln w="9525">
                      <a:noFill/>
                    </a:ln>
                  </pic:spPr>
                </pic:pic>
              </a:graphicData>
            </a:graphic>
          </wp:inline>
        </w:drawing>
      </w:r>
      <w:r>
        <w:rPr>
          <w:rFonts w:hint="eastAsia"/>
          <w:lang w:val="en-US" w:eastAsia="zh-Hans"/>
        </w:rPr>
        <w:t>是存储在每个顶点的特征向量。另外，χ(.)是指三线性插值，ζ(.)是后处理函数。 在我们的实验中，ζ(.) 是由 (Vaswani et al., 2017; Mildenhall et al., 2020) 提出的位置编码。</w:t>
      </w:r>
    </w:p>
    <w:p>
      <w:pPr>
        <w:jc w:val="left"/>
      </w:pPr>
    </w:p>
    <w:p>
      <w:pPr>
        <w:jc w:val="left"/>
      </w:pPr>
      <w:r>
        <w:rPr>
          <w:rFonts w:hint="eastAsia"/>
        </w:rPr>
        <w:t xml:space="preserve">与之前大多数工作一样使用点 p 的 3D 坐标作为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hint="eastAsia"/>
        </w:rPr>
        <w:t xml:space="preserve">的输入相比，在 NSVF 中，特征表示 </w:t>
      </w:r>
      <m:oMath>
        <m:sSub>
          <m:sSubPr>
            <m:ctrlPr>
              <w:rPr>
                <w:rFonts w:ascii="Cambria Math" w:hAnsi="Cambria Math"/>
                <w:i/>
              </w:rPr>
            </m:ctrlPr>
          </m:sSubPr>
          <m:e>
            <m:r>
              <w:rPr>
                <w:rFonts w:ascii="Cambria Math" w:hAnsi="Cambria Math"/>
                <w:lang w:val="en-US"/>
              </w:rPr>
              <m:t>g</m:t>
            </m:r>
            <m:ctrlPr>
              <w:rPr>
                <w:rFonts w:ascii="Cambria Math" w:hAnsi="Cambria Math"/>
                <w:i/>
              </w:rPr>
            </m:ctrlPr>
          </m:e>
          <m:sub>
            <m:r>
              <w:rPr>
                <w:rFonts w:ascii="Cambria Math" w:hAnsi="Cambria Math"/>
                <w:lang w:val="en-US"/>
              </w:rPr>
              <m:t>i</m:t>
            </m:r>
            <m:ctrlPr>
              <w:rPr>
                <w:rFonts w:ascii="Cambria Math" w:hAnsi="Cambria Math"/>
                <w:i/>
              </w:rPr>
            </m:ctrlPr>
          </m:sub>
        </m:sSub>
      </m:oMath>
      <w:r>
        <w:rPr>
          <w:rFonts w:ascii="Cambria Math" w:hAnsi="Cambria Math"/>
          <w:i w:val="0"/>
        </w:rPr>
        <w:t>(p)</w:t>
      </w:r>
      <w:r>
        <w:rPr>
          <w:rFonts w:hint="eastAsia"/>
        </w:rPr>
        <w:t xml:space="preserve"> 由相应体素的八个体素嵌入聚合，其中区域特定信息（例如几何、 材料、颜色）可以嵌入。 它显着简化了后续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hint="eastAsia"/>
        </w:rPr>
        <w:t xml:space="preserve"> 的学习，并促进了高质量的渲染。</w:t>
      </w:r>
    </w:p>
    <w:p>
      <w:pPr>
        <w:jc w:val="left"/>
      </w:pPr>
      <w:r>
        <w:rPr>
          <w:rFonts w:hint="eastAsia"/>
          <w:b/>
          <w:bCs/>
        </w:rPr>
        <w:t>Special Cases.</w:t>
      </w:r>
      <w:r>
        <w:rPr>
          <w:rFonts w:hint="eastAsia"/>
        </w:rPr>
        <w:t xml:space="preserve"> NSVF 包含两类早期作品作为特例。 (1) 当</w:t>
      </w:r>
      <w:r>
        <w:drawing>
          <wp:inline distT="0" distB="0" distL="114300" distR="114300">
            <wp:extent cx="262255" cy="147955"/>
            <wp:effectExtent l="0" t="0" r="171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2255" cy="147955"/>
                    </a:xfrm>
                    <a:prstGeom prst="rect">
                      <a:avLst/>
                    </a:prstGeom>
                    <a:noFill/>
                    <a:ln w="9525">
                      <a:noFill/>
                    </a:ln>
                  </pic:spPr>
                </pic:pic>
              </a:graphicData>
            </a:graphic>
          </wp:inline>
        </w:drawing>
      </w:r>
      <w:r>
        <w:rPr>
          <w:rFonts w:hint="eastAsia"/>
        </w:rPr>
        <w:t xml:space="preserve"> = </w:t>
      </w:r>
      <m:oMath>
        <m:sSubSup>
          <m:sSubSupPr>
            <m:ctrlPr>
              <w:rPr>
                <w:rFonts w:ascii="Cambria Math" w:hAnsi="Cambria Math"/>
                <w:i/>
              </w:rPr>
            </m:ctrlPr>
          </m:sSubSup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up>
            <m:r>
              <w:rPr>
                <w:rFonts w:ascii="Cambria Math" w:hAnsi="Cambria Math"/>
                <w:lang w:val="en-US"/>
              </w:rPr>
              <m:t>*</m:t>
            </m:r>
            <m:ctrlPr>
              <w:rPr>
                <w:rFonts w:ascii="Cambria Math" w:hAnsi="Cambria Math"/>
                <w:i/>
              </w:rPr>
            </m:ctrlPr>
          </m:sup>
        </m:sSubSup>
      </m:oMath>
      <w:r>
        <w:rPr>
          <w:rFonts w:hint="eastAsia"/>
        </w:rPr>
        <w:t xml:space="preserve"> 且ζ(.) 为位置编码时， </w:t>
      </w:r>
      <w:r>
        <w:drawing>
          <wp:inline distT="0" distB="0" distL="114300" distR="114300">
            <wp:extent cx="1290955" cy="1479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1290955" cy="147955"/>
                    </a:xfrm>
                    <a:prstGeom prst="rect">
                      <a:avLst/>
                    </a:prstGeom>
                    <a:noFill/>
                    <a:ln w="9525">
                      <a:noFill/>
                    </a:ln>
                  </pic:spPr>
                </pic:pic>
              </a:graphicData>
            </a:graphic>
          </wp:inline>
        </w:drawing>
      </w:r>
      <w:r>
        <w:rPr>
          <w:rFonts w:hint="eastAsia"/>
        </w:rPr>
        <w:t>，这意味着 NeRF (Mildenhall et al., 2020) 是 NSVF 的特例。 (2) 当</w:t>
      </w:r>
      <w:r>
        <w:drawing>
          <wp:inline distT="0" distB="0" distL="114300" distR="114300">
            <wp:extent cx="638175" cy="114300"/>
            <wp:effectExtent l="0" t="0" r="2222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38175" cy="114300"/>
                    </a:xfrm>
                    <a:prstGeom prst="rect">
                      <a:avLst/>
                    </a:prstGeom>
                    <a:noFill/>
                    <a:ln w="9525">
                      <a:noFill/>
                    </a:ln>
                  </pic:spPr>
                </pic:pic>
              </a:graphicData>
            </a:graphic>
          </wp:inline>
        </w:drawing>
      </w:r>
      <w:r>
        <w:rPr>
          <w:rFonts w:hint="eastAsia"/>
        </w:rPr>
        <w:t xml:space="preserve"> ζ(.) 和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ascii="Cambria Math" w:hAnsi="Cambria Math"/>
          <w:i w:val="0"/>
        </w:rPr>
        <w:t xml:space="preserve"> </w:t>
      </w:r>
      <w:r>
        <w:rPr>
          <w:rFonts w:hint="eastAsia"/>
        </w:rPr>
        <w:t xml:space="preserve">是恒等函数时，我们的模型等价于使用显式体素存储颜色和密度的模型，例如，Neural Volumes (Lombardi 等人，2019 年）。 </w:t>
      </w:r>
    </w:p>
    <w:p>
      <w:pPr>
        <w:jc w:val="left"/>
      </w:pPr>
    </w:p>
    <w:p>
      <w:pPr>
        <w:pStyle w:val="4"/>
        <w:bidi w:val="0"/>
        <w:rPr>
          <w:rFonts w:hint="eastAsia"/>
          <w:lang w:val="en-US" w:eastAsia="zh-Hans"/>
        </w:rPr>
      </w:pPr>
      <w:r>
        <w:rPr>
          <w:rFonts w:hint="eastAsia"/>
          <w:lang w:val="en-US" w:eastAsia="zh-Hans"/>
        </w:rPr>
        <w:t>体渲染</w:t>
      </w:r>
    </w:p>
    <w:p>
      <w:pPr>
        <w:rPr>
          <w:rFonts w:hint="eastAsia"/>
          <w:lang w:val="en-US" w:eastAsia="zh-Hans"/>
        </w:rPr>
      </w:pPr>
      <w:r>
        <w:rPr>
          <w:rFonts w:hint="eastAsia"/>
          <w:lang w:val="en-US" w:eastAsia="zh-Hans"/>
        </w:rPr>
        <w:t>NSVF 在任何点 p ∈ V 对场景的颜色和密度进行编码。 与渲染模拟整个空间的神经隐式表示相比，渲染 NSVF 效率更高，因为它避免了空白空间中的采样点。 渲染分两步进行：（1）光线-体素相交； (2) 在体素内的光线行进。 我们在附录图 8 中说明了整个 pipeline，即下图所示</w:t>
      </w:r>
    </w:p>
    <w:p>
      <w:pPr>
        <w:jc w:val="center"/>
        <w:rPr>
          <w:rFonts w:hint="eastAsia"/>
          <w:lang w:val="en-US" w:eastAsia="zh-Hans"/>
        </w:rPr>
      </w:pPr>
      <w:r>
        <w:drawing>
          <wp:inline distT="0" distB="0" distL="114300" distR="114300">
            <wp:extent cx="2633980" cy="700405"/>
            <wp:effectExtent l="0" t="0" r="762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633980" cy="700405"/>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b/>
          <w:bCs/>
          <w:lang w:val="en-US" w:eastAsia="zh-Hans"/>
        </w:rPr>
        <w:t>Ray-voxel Intersection</w:t>
      </w:r>
      <w:r>
        <w:rPr>
          <w:rFonts w:hint="eastAsia"/>
          <w:lang w:val="en-US" w:eastAsia="zh-Hans"/>
        </w:rPr>
        <w:t>.</w:t>
      </w:r>
      <w:r>
        <w:rPr>
          <w:rFonts w:hint="default"/>
          <w:lang w:eastAsia="zh-Hans"/>
        </w:rPr>
        <w:t xml:space="preserve"> 我们首先对每条</w:t>
      </w:r>
      <w:r>
        <w:rPr>
          <w:rFonts w:hint="eastAsia"/>
          <w:lang w:val="en-US" w:eastAsia="zh-Hans"/>
        </w:rPr>
        <w:t>光</w:t>
      </w:r>
      <w:r>
        <w:rPr>
          <w:rFonts w:hint="default"/>
          <w:lang w:eastAsia="zh-Hans"/>
        </w:rPr>
        <w:t>线应用轴对齐边界框相交测试（AABB 测试）（Haines，1989）。 它通过比较从</w:t>
      </w:r>
      <w:r>
        <w:rPr>
          <w:rFonts w:hint="eastAsia"/>
          <w:lang w:val="en-US" w:eastAsia="zh-Hans"/>
        </w:rPr>
        <w:t>光</w:t>
      </w:r>
      <w:r>
        <w:rPr>
          <w:rFonts w:hint="default"/>
          <w:lang w:eastAsia="zh-Hans"/>
        </w:rPr>
        <w:t>线原点到体素的六个边界平面中的每一个的距离来检查</w:t>
      </w:r>
      <w:r>
        <w:rPr>
          <w:rFonts w:hint="eastAsia"/>
          <w:lang w:val="en-US" w:eastAsia="zh-Hans"/>
        </w:rPr>
        <w:t>光</w:t>
      </w:r>
      <w:r>
        <w:rPr>
          <w:rFonts w:hint="default"/>
          <w:lang w:eastAsia="zh-Hans"/>
        </w:rPr>
        <w:t xml:space="preserve">线是否与体素相交。 </w:t>
      </w:r>
      <w:r>
        <w:rPr>
          <w:rFonts w:hint="default"/>
          <w:b/>
          <w:bCs/>
          <w:lang w:eastAsia="zh-Hans"/>
        </w:rPr>
        <w:t>AABB 测试非常有效，尤其是对于分层八叉树结构（例如 NSVF），因为它可以轻松地实时处理数百万个体素</w:t>
      </w:r>
      <w:r>
        <w:rPr>
          <w:rFonts w:hint="default"/>
          <w:lang w:eastAsia="zh-Hans"/>
        </w:rPr>
        <w:t>。 我们的实验表明，NSVF 表示中的 10k ∼ 100k 稀疏体素足以对复杂场景进行逼真的渲染。</w:t>
      </w:r>
    </w:p>
    <w:p>
      <w:pPr>
        <w:rPr>
          <w:rFonts w:hint="default"/>
          <w:lang w:eastAsia="zh-Hans"/>
        </w:rPr>
      </w:pPr>
    </w:p>
    <w:p>
      <w:pPr>
        <w:rPr>
          <w:rFonts w:hint="eastAsia"/>
          <w:lang w:val="en-US" w:eastAsia="zh-Hans"/>
        </w:rPr>
      </w:pPr>
      <w:r>
        <w:rPr>
          <w:rFonts w:hint="eastAsia"/>
          <w:b/>
          <w:bCs/>
          <w:lang w:val="en-US" w:eastAsia="zh-Hans"/>
        </w:rPr>
        <w:t>Ray Marching inside Voxels.</w:t>
      </w:r>
      <w:r>
        <w:rPr>
          <w:rFonts w:hint="default"/>
          <w:b/>
          <w:bCs/>
          <w:lang w:eastAsia="zh-Hans"/>
        </w:rPr>
        <w:t xml:space="preserve"> </w:t>
      </w:r>
      <w:r>
        <w:rPr>
          <w:rFonts w:hint="eastAsia" w:ascii="Songti SC Regular" w:hAnsi="Songti SC Regular" w:eastAsia="Songti SC Regular" w:cs="Songti SC Regular"/>
          <w:b w:val="0"/>
          <w:bCs w:val="0"/>
          <w:lang w:eastAsia="zh-Hans"/>
        </w:rPr>
        <w:t>我们通过使用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沿</w:t>
      </w:r>
      <w:r>
        <w:rPr>
          <w:rFonts w:hint="eastAsia" w:ascii="Songti SC Regular" w:hAnsi="Songti SC Regular" w:eastAsia="Songti SC Regular" w:cs="Songti SC Regular"/>
          <w:b w:val="0"/>
          <w:bCs w:val="0"/>
          <w:lang w:val="en-US" w:eastAsia="zh-Hans"/>
        </w:rPr>
        <w:t>光线</w:t>
      </w:r>
      <w:r>
        <w:rPr>
          <w:rFonts w:hint="eastAsia" w:ascii="Songti SC Regular" w:hAnsi="Songti SC Regular" w:eastAsia="Songti SC Regular" w:cs="Songti SC Regular"/>
          <w:b w:val="0"/>
          <w:bCs w:val="0"/>
          <w:lang w:eastAsia="zh-Hans"/>
        </w:rPr>
        <w:t>采样点来返回颜色 C(p0, v)。 为了处理光线错过所有对象的情况，我们在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的右侧额外添加了一个背景项</w:t>
      </w:r>
      <w:r>
        <w:rPr>
          <w:rFonts w:hint="default" w:ascii="Songti SC Regular" w:hAnsi="Songti SC Regular" w:eastAsia="Songti SC Regular" w:cs="Songti SC Regular"/>
          <w:b w:val="0"/>
          <w:bCs w:val="0"/>
          <w:lang w:eastAsia="zh-Hans"/>
        </w:rPr>
        <w:t xml:space="preserve"> </w:t>
      </w:r>
      <w:r>
        <w:drawing>
          <wp:inline distT="0" distB="0" distL="114300" distR="114300">
            <wp:extent cx="490855" cy="123825"/>
            <wp:effectExtent l="0" t="0" r="1714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0855" cy="123825"/>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 xml:space="preserve">。 其中我们定义透明度 </w:t>
      </w:r>
      <w:r>
        <w:drawing>
          <wp:inline distT="0" distB="0" distL="114300" distR="114300">
            <wp:extent cx="967105" cy="138430"/>
            <wp:effectExtent l="0" t="0" r="2349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967105" cy="138430"/>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w:t>
      </w:r>
      <m:oMath>
        <m:sSub>
          <m:sSubPr>
            <m:ctrlPr>
              <w:rPr>
                <w:rFonts w:ascii="Cambria Math" w:hAnsi="Cambria Math" w:cs="Songti SC Regular"/>
                <w:bCs w:val="0"/>
                <w:i/>
              </w:rPr>
            </m:ctrlPr>
          </m:sSubPr>
          <m:e>
            <m:r>
              <w:rPr>
                <w:rFonts w:ascii="Cambria Math" w:hAnsi="Cambria Math" w:cs="Songti SC Regular"/>
                <w:lang w:val="en-US"/>
              </w:rPr>
              <m:t>c</m:t>
            </m:r>
            <m:ctrlPr>
              <w:rPr>
                <w:rFonts w:ascii="Cambria Math" w:hAnsi="Cambria Math" w:cs="Songti SC Regular"/>
                <w:bCs w:val="0"/>
                <w:i/>
              </w:rPr>
            </m:ctrlPr>
          </m:e>
          <m:sub>
            <m:r>
              <w:rPr>
                <w:rFonts w:ascii="Cambria Math" w:hAnsi="Cambria Math" w:cs="Songti SC Regular"/>
                <w:lang w:val="en-US"/>
              </w:rPr>
              <m:t>bg</m:t>
            </m:r>
            <m:ctrlPr>
              <w:rPr>
                <w:rFonts w:ascii="Cambria Math" w:hAnsi="Cambria Math" w:cs="Songti SC Regular"/>
                <w:bCs w:val="0"/>
                <w:i/>
              </w:rPr>
            </m:ctrlPr>
          </m:sub>
        </m:sSub>
      </m:oMath>
      <w:r>
        <w:rPr>
          <w:rFonts w:hint="eastAsia" w:ascii="Songti SC Regular" w:hAnsi="Songti SC Regular" w:eastAsia="Songti SC Regular" w:cs="Songti SC Regular"/>
          <w:b w:val="0"/>
          <w:bCs w:val="0"/>
          <w:lang w:eastAsia="zh-Hans"/>
        </w:rPr>
        <w:t xml:space="preserve"> 是可学习的背景 RGB 值。正如第 2 节中所讨论的，</w:t>
      </w:r>
      <w:r>
        <w:rPr>
          <w:rFonts w:hint="eastAsia" w:ascii="Songti SC Bold" w:hAnsi="Songti SC Bold" w:eastAsia="Songti SC Bold" w:cs="Songti SC Bold"/>
          <w:b/>
          <w:bCs/>
          <w:lang w:eastAsia="zh-Hans"/>
        </w:rPr>
        <w:t>体渲染需要在非空空间中沿着光线的密集样本来实现高质量渲染</w:t>
      </w:r>
      <w:r>
        <w:rPr>
          <w:rFonts w:hint="eastAsia" w:ascii="Songti SC Regular" w:hAnsi="Songti SC Regular" w:eastAsia="Songti SC Regular" w:cs="Songti SC Regular"/>
          <w:b w:val="0"/>
          <w:bCs w:val="0"/>
          <w:lang w:eastAsia="zh-Hans"/>
        </w:rPr>
        <w:t>。在整个空间中的均匀采样点进行密集评估（</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(a)）是低效的，因为经常且不必要地测试空白区域。为了专注于更重要区域的采样，Mildenhall 等人。 (2020) 学习了两个网络，其中第二个网络使用第一个网络估计的分布中的样本进行训练（</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(b)）。然而，这进一步增加了训练和推理的复杂性。相比之下，</w:t>
      </w:r>
      <w:r>
        <w:rPr>
          <w:rFonts w:hint="eastAsia" w:ascii="Songti SC Bold" w:hAnsi="Songti SC Bold" w:eastAsia="Songti SC Bold" w:cs="Songti SC Bold"/>
          <w:b/>
          <w:bCs/>
          <w:lang w:eastAsia="zh-Hans"/>
        </w:rPr>
        <w:t>NSVF 不采用二次采样阶段</w:t>
      </w:r>
      <w:r>
        <w:rPr>
          <w:rFonts w:hint="eastAsia" w:ascii="Songti SC Regular" w:hAnsi="Songti SC Regular" w:eastAsia="Songti SC Regular" w:cs="Songti SC Regular"/>
          <w:b w:val="0"/>
          <w:bCs w:val="0"/>
          <w:lang w:eastAsia="zh-Hans"/>
        </w:rPr>
        <w:t>，同时实现更好的视觉质量。如图 1 (c) 所示，我们使用基于稀疏体素的</w:t>
      </w:r>
      <w:r>
        <w:rPr>
          <w:rFonts w:hint="eastAsia" w:ascii="Songti SC Regular" w:hAnsi="Songti SC Regular" w:eastAsia="Songti SC Regular" w:cs="Songti SC Regular"/>
          <w:b w:val="0"/>
          <w:bCs w:val="0"/>
          <w:lang w:val="en-US" w:eastAsia="zh-Hans"/>
        </w:rPr>
        <w:t>抛弃</w:t>
      </w:r>
      <w:r>
        <w:rPr>
          <w:rFonts w:hint="eastAsia" w:ascii="Songti SC Regular" w:hAnsi="Songti SC Regular" w:eastAsia="Songti SC Regular" w:cs="Songti SC Regular"/>
          <w:b w:val="0"/>
          <w:bCs w:val="0"/>
          <w:lang w:eastAsia="zh-Hans"/>
        </w:rPr>
        <w:t>采样创建了一组查询点。与上述方法相比，我们能够以相同的评估成本进行更密集的采样。我们包括所有体素交点作为附加样本，并使用中点规则执行颜色累积。我们的方法在算法 1 中进行了总结，其中我们额外返回透明度 A 和预期深度 Z，可进一步用于可视化具有有限差异的法线。</w:t>
      </w:r>
    </w:p>
    <w:p>
      <w:pPr>
        <w:jc w:val="center"/>
      </w:pPr>
      <w:r>
        <w:drawing>
          <wp:inline distT="0" distB="0" distL="114300" distR="114300">
            <wp:extent cx="3548380" cy="9861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548380" cy="986155"/>
                    </a:xfrm>
                    <a:prstGeom prst="rect">
                      <a:avLst/>
                    </a:prstGeom>
                    <a:noFill/>
                    <a:ln w="9525">
                      <a:noFill/>
                    </a:ln>
                  </pic:spPr>
                </pic:pic>
              </a:graphicData>
            </a:graphic>
          </wp:inline>
        </w:drawing>
      </w:r>
    </w:p>
    <w:p>
      <w:pPr>
        <w:jc w:val="center"/>
      </w:pPr>
      <w:r>
        <w:drawing>
          <wp:inline distT="0" distB="0" distL="114300" distR="114300">
            <wp:extent cx="3215005" cy="1557655"/>
            <wp:effectExtent l="0" t="0" r="10795" b="1714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7"/>
                    <a:stretch>
                      <a:fillRect/>
                    </a:stretch>
                  </pic:blipFill>
                  <pic:spPr>
                    <a:xfrm>
                      <a:off x="0" y="0"/>
                      <a:ext cx="3215005" cy="1557655"/>
                    </a:xfrm>
                    <a:prstGeom prst="rect">
                      <a:avLst/>
                    </a:prstGeom>
                    <a:noFill/>
                    <a:ln w="9525">
                      <a:noFill/>
                    </a:ln>
                  </pic:spPr>
                </pic:pic>
              </a:graphicData>
            </a:graphic>
          </wp:inline>
        </w:drawing>
      </w:r>
    </w:p>
    <w:p>
      <w:pPr>
        <w:jc w:val="left"/>
      </w:pPr>
    </w:p>
    <w:p>
      <w:pPr>
        <w:jc w:val="left"/>
      </w:pPr>
    </w:p>
    <w:p>
      <w:pPr>
        <w:jc w:val="left"/>
        <w:rPr>
          <w:rFonts w:hint="default"/>
        </w:rPr>
      </w:pPr>
      <w:r>
        <w:rPr>
          <w:rFonts w:hint="eastAsia"/>
          <w:b/>
          <w:bCs/>
        </w:rPr>
        <w:t>Early Termination</w:t>
      </w:r>
      <w:r>
        <w:rPr>
          <w:rFonts w:hint="eastAsia"/>
          <w:b/>
          <w:bCs/>
          <w:lang w:eastAsia="zh-Hans"/>
        </w:rPr>
        <w:t>（</w:t>
      </w:r>
      <w:r>
        <w:rPr>
          <w:rFonts w:hint="eastAsia"/>
          <w:b/>
          <w:bCs/>
          <w:lang w:val="en-US" w:eastAsia="zh-Hans"/>
        </w:rPr>
        <w:t>提前终止</w:t>
      </w:r>
      <w:r>
        <w:rPr>
          <w:rFonts w:hint="eastAsia"/>
          <w:b/>
          <w:bCs/>
          <w:lang w:eastAsia="zh-Hans"/>
        </w:rPr>
        <w:t>）</w:t>
      </w:r>
      <w:r>
        <w:rPr>
          <w:rFonts w:hint="eastAsia"/>
        </w:rPr>
        <w:t>.</w:t>
      </w:r>
      <w:r>
        <w:rPr>
          <w:rFonts w:hint="default"/>
        </w:rPr>
        <w:t xml:space="preserve"> NSVF 可以同样好地表示透明和实体对象。 然而，对于实体表面，建议体渲染沿着光线分散表面颜色，这意味着在表面后面需要许多不必要的累积步骤才能使累积透明度</w:t>
      </w:r>
      <w:r>
        <w:drawing>
          <wp:inline distT="0" distB="0" distL="114300" distR="114300">
            <wp:extent cx="338455" cy="119380"/>
            <wp:effectExtent l="0" t="0" r="1714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38455" cy="119380"/>
                    </a:xfrm>
                    <a:prstGeom prst="rect">
                      <a:avLst/>
                    </a:prstGeom>
                    <a:noFill/>
                    <a:ln w="9525">
                      <a:noFill/>
                    </a:ln>
                  </pic:spPr>
                </pic:pic>
              </a:graphicData>
            </a:graphic>
          </wp:inline>
        </w:drawing>
      </w:r>
      <w:r>
        <w:rPr>
          <w:rFonts w:hint="default"/>
        </w:rPr>
        <w:t xml:space="preserve">达到 0。因此我们使用启发式和当累积透明度 </w:t>
      </w:r>
      <w:r>
        <w:drawing>
          <wp:inline distT="0" distB="0" distL="114300" distR="114300">
            <wp:extent cx="338455" cy="119380"/>
            <wp:effectExtent l="0" t="0" r="171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38455" cy="119380"/>
                    </a:xfrm>
                    <a:prstGeom prst="rect">
                      <a:avLst/>
                    </a:prstGeom>
                    <a:noFill/>
                    <a:ln w="9525">
                      <a:noFill/>
                    </a:ln>
                  </pic:spPr>
                </pic:pic>
              </a:graphicData>
            </a:graphic>
          </wp:inline>
        </w:drawing>
      </w:r>
      <w:r>
        <w:t xml:space="preserve"> </w:t>
      </w:r>
      <w:r>
        <w:rPr>
          <w:rFonts w:hint="default"/>
        </w:rPr>
        <w:t xml:space="preserve">低于某个阈值时，停止评估点。在我们的实验中，我们发现设置 </w:t>
      </w:r>
      <m:oMath>
        <m:r>
          <m:rPr>
            <m:sty m:val="p"/>
          </m:rPr>
          <w:rPr>
            <w:rFonts w:ascii="Cambria Math" w:hAnsi="Cambria Math"/>
          </w:rPr>
          <m:t>∈</m:t>
        </m:r>
      </m:oMath>
      <w:r>
        <w:rPr>
          <w:rFonts w:hint="default"/>
        </w:rPr>
        <w:t>= 0.01 显着加速了渲染过程，而不会导致任何明显的质量下降。</w:t>
      </w:r>
    </w:p>
    <w:p>
      <w:pPr>
        <w:pStyle w:val="4"/>
        <w:bidi w:val="0"/>
        <w:rPr>
          <w:rFonts w:hint="eastAsia"/>
          <w:lang w:val="en-US" w:eastAsia="zh-Hans"/>
        </w:rPr>
      </w:pPr>
      <w:r>
        <w:rPr>
          <w:rFonts w:hint="eastAsia"/>
          <w:lang w:val="en-US" w:eastAsia="zh-Hans"/>
        </w:rPr>
        <w:t>学习</w:t>
      </w:r>
    </w:p>
    <w:p>
      <w:pPr>
        <w:rPr>
          <w:rFonts w:hint="eastAsia"/>
          <w:lang w:val="en-US" w:eastAsia="zh-Hans"/>
        </w:rPr>
      </w:pPr>
      <w:r>
        <w:rPr>
          <w:rFonts w:hint="eastAsia"/>
          <w:lang w:val="en-US" w:eastAsia="zh-Hans"/>
        </w:rPr>
        <w:t>由于我们的渲染过程是完全可微的，NSVF 可以通过将渲染的输出结果与一组目标图像进行比较，通过反向传播进行端到端优化，无需任何 3D 监督。 为此，将以下损失最小化：</w:t>
      </w:r>
    </w:p>
    <w:p>
      <w:pPr>
        <w:jc w:val="center"/>
        <w:rPr>
          <w:rFonts w:hint="eastAsia"/>
          <w:lang w:val="en-US" w:eastAsia="zh-Hans"/>
        </w:rPr>
      </w:pPr>
      <w:r>
        <w:drawing>
          <wp:inline distT="0" distB="0" distL="114300" distR="114300">
            <wp:extent cx="2862580" cy="285750"/>
            <wp:effectExtent l="0" t="0" r="7620"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2862580" cy="28575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其中 R 是一批采样光线，C* 是相机光线的真实颜色，Ω(.) 是 Lombardi(2019) 等人提出的 beta 分布正则化器。 接下来，我们提出了一种渐进式训练策略，以更好地促进学习和推理。</w:t>
      </w:r>
    </w:p>
    <w:p>
      <w:pPr>
        <w:jc w:val="left"/>
      </w:pPr>
    </w:p>
    <w:p>
      <w:pPr>
        <w:jc w:val="left"/>
        <w:rPr>
          <w:rFonts w:hint="default"/>
          <w:b w:val="0"/>
          <w:bCs w:val="0"/>
        </w:rPr>
      </w:pPr>
      <w:r>
        <w:rPr>
          <w:rFonts w:hint="eastAsia"/>
          <w:b/>
          <w:bCs/>
        </w:rPr>
        <w:t>Voxel Initialization</w:t>
      </w:r>
      <w:r>
        <w:rPr>
          <w:rFonts w:hint="default"/>
          <w:b w:val="0"/>
          <w:bCs w:val="0"/>
        </w:rPr>
        <w:t xml:space="preserve"> 我们首先学习用于细分初始边界框（具有体积 V ）的</w:t>
      </w:r>
      <w:r>
        <w:rPr>
          <w:rFonts w:hint="eastAsia"/>
          <w:b w:val="0"/>
          <w:bCs w:val="0"/>
          <w:lang w:val="en-US" w:eastAsia="zh-Hans"/>
        </w:rPr>
        <w:t>一组</w:t>
      </w:r>
      <w:r>
        <w:rPr>
          <w:rFonts w:hint="default"/>
          <w:b w:val="0"/>
          <w:bCs w:val="0"/>
        </w:rPr>
        <w:t>初始体素的隐函数，该边界框以足够的</w:t>
      </w:r>
      <w:r>
        <w:rPr>
          <w:rFonts w:hint="eastAsia"/>
          <w:b w:val="0"/>
          <w:bCs w:val="0"/>
          <w:lang w:val="en-US" w:eastAsia="zh-Hans"/>
        </w:rPr>
        <w:t>间隔</w:t>
      </w:r>
      <w:r>
        <w:rPr>
          <w:rFonts w:hint="default"/>
          <w:b w:val="0"/>
          <w:bCs w:val="0"/>
        </w:rPr>
        <w:t xml:space="preserve">粗略包围场景。 初始体素大小设置为 </w:t>
      </w:r>
      <w:r>
        <w:drawing>
          <wp:inline distT="0" distB="0" distL="114300" distR="114300">
            <wp:extent cx="528955" cy="128905"/>
            <wp:effectExtent l="0" t="0" r="4445" b="234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8955" cy="128905"/>
                    </a:xfrm>
                    <a:prstGeom prst="rect">
                      <a:avLst/>
                    </a:prstGeom>
                    <a:noFill/>
                    <a:ln w="9525">
                      <a:noFill/>
                    </a:ln>
                  </pic:spPr>
                </pic:pic>
              </a:graphicData>
            </a:graphic>
          </wp:inline>
        </w:drawing>
      </w:r>
      <w:r>
        <w:rPr>
          <w:rFonts w:hint="default"/>
          <w:b w:val="0"/>
          <w:bCs w:val="0"/>
        </w:rPr>
        <w:t>。 如果粗</w:t>
      </w:r>
      <w:r>
        <w:rPr>
          <w:rFonts w:hint="eastAsia"/>
          <w:b w:val="0"/>
          <w:bCs w:val="0"/>
          <w:lang w:val="en-US" w:eastAsia="zh-Hans"/>
        </w:rPr>
        <w:t>粒度的</w:t>
      </w:r>
      <w:r>
        <w:rPr>
          <w:rFonts w:hint="default"/>
          <w:b w:val="0"/>
          <w:bCs w:val="0"/>
        </w:rPr>
        <w:t>几何（例如扫描点云或视觉船体输出）可用，初始体素也可以通过对粗</w:t>
      </w:r>
      <w:r>
        <w:rPr>
          <w:rFonts w:hint="eastAsia"/>
          <w:b w:val="0"/>
          <w:bCs w:val="0"/>
          <w:lang w:val="en-US" w:eastAsia="zh-Hans"/>
        </w:rPr>
        <w:t>粒度的</w:t>
      </w:r>
      <w:bookmarkStart w:id="0" w:name="_GoBack"/>
      <w:bookmarkEnd w:id="0"/>
      <w:r>
        <w:rPr>
          <w:rFonts w:hint="default"/>
          <w:b w:val="0"/>
          <w:bCs w:val="0"/>
        </w:rPr>
        <w:t>几何进行体素化来初始化。</w:t>
      </w:r>
    </w:p>
    <w:p>
      <w:pPr>
        <w:jc w:val="left"/>
        <w:rPr>
          <w:rFonts w:hint="default"/>
          <w:b w:val="0"/>
          <w:bCs w:val="0"/>
        </w:rPr>
      </w:pPr>
    </w:p>
    <w:p>
      <w:pPr>
        <w:jc w:val="left"/>
        <w:rPr>
          <w:rFonts w:hint="default"/>
          <w:b/>
          <w:bCs/>
        </w:rPr>
      </w:pPr>
      <w:r>
        <w:rPr>
          <w:rFonts w:hint="default"/>
          <w:b/>
          <w:bCs/>
        </w:rPr>
        <w:t xml:space="preserve">Self-Pruning </w:t>
      </w:r>
      <w:r>
        <w:rPr>
          <w:rFonts w:hint="default"/>
          <w:b w:val="0"/>
          <w:bCs w:val="0"/>
        </w:rPr>
        <w:t>现有的基于体积的神经渲染工作（Lombardi 等人，2019 年；Mildenhall 等人，2020 年）表明，</w:t>
      </w:r>
      <w:r>
        <w:rPr>
          <w:rFonts w:hint="default"/>
          <w:b/>
          <w:bCs/>
        </w:rPr>
        <w:t>在训练后提取粗略的场景几何图形是可行的</w:t>
      </w:r>
      <w:r>
        <w:rPr>
          <w:rFonts w:hint="default"/>
          <w:b w:val="0"/>
          <w:bCs w:val="0"/>
        </w:rPr>
        <w:t>。 基于这一观察，我们提出了一种策略——自剪枝——</w:t>
      </w:r>
      <w:r>
        <w:rPr>
          <w:rFonts w:hint="default"/>
          <w:b/>
          <w:bCs/>
        </w:rPr>
        <w:t>一种在训练期间基于粗几何信息有效去除非必要体素的策略，可以使用模型对密度的预测进一步描述</w:t>
      </w:r>
      <w:r>
        <w:rPr>
          <w:rFonts w:hint="default"/>
          <w:b w:val="0"/>
          <w:bCs w:val="0"/>
        </w:rPr>
        <w:t>。 也就是说，我们确定要修剪的体素如下</w:t>
      </w:r>
      <w:r>
        <w:rPr>
          <w:rFonts w:hint="default"/>
          <w:b/>
          <w:bCs/>
        </w:rPr>
        <w:t>：</w:t>
      </w:r>
    </w:p>
    <w:p>
      <w:pPr>
        <w:jc w:val="center"/>
        <w:rPr>
          <w:rFonts w:hint="default"/>
          <w:b/>
          <w:bCs/>
        </w:rPr>
      </w:pPr>
      <w:r>
        <w:drawing>
          <wp:inline distT="0" distB="0" distL="114300" distR="114300">
            <wp:extent cx="2872105" cy="233680"/>
            <wp:effectExtent l="0" t="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2872105" cy="233680"/>
                    </a:xfrm>
                    <a:prstGeom prst="rect">
                      <a:avLst/>
                    </a:prstGeom>
                    <a:noFill/>
                    <a:ln w="9525">
                      <a:noFill/>
                    </a:ln>
                  </pic:spPr>
                </pic:pic>
              </a:graphicData>
            </a:graphic>
          </wp:inline>
        </w:drawing>
      </w:r>
    </w:p>
    <w:p>
      <w:pPr>
        <w:jc w:val="left"/>
        <w:rPr>
          <w:rFonts w:hint="default"/>
          <w:b w:val="0"/>
          <w:bCs w:val="0"/>
        </w:rPr>
      </w:pPr>
      <w:r>
        <w:rPr>
          <w:rFonts w:hint="default"/>
          <w:b w:val="0"/>
          <w:bCs w:val="0"/>
        </w:rPr>
        <w:t xml:space="preserve">其中 </w:t>
      </w:r>
      <w:r>
        <w:drawing>
          <wp:inline distT="0" distB="0" distL="114300" distR="114300">
            <wp:extent cx="309880" cy="161925"/>
            <wp:effectExtent l="0" t="0" r="2032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09880" cy="161925"/>
                    </a:xfrm>
                    <a:prstGeom prst="rect">
                      <a:avLst/>
                    </a:prstGeom>
                    <a:noFill/>
                    <a:ln w="9525">
                      <a:noFill/>
                    </a:ln>
                  </pic:spPr>
                </pic:pic>
              </a:graphicData>
            </a:graphic>
          </wp:inline>
        </w:drawing>
      </w:r>
      <w:r>
        <w:rPr>
          <w:rFonts w:hint="default"/>
          <w:b w:val="0"/>
          <w:bCs w:val="0"/>
        </w:rPr>
        <w:t xml:space="preserve">是体素 Vi 内的 G 个均匀采样点（在我们的实验中 G = </w:t>
      </w:r>
      <m:oMath>
        <m:sSup>
          <m:sSupPr>
            <m:ctrlPr>
              <w:rPr>
                <w:rFonts w:ascii="Cambria Math" w:hAnsi="Cambria Math"/>
                <w:bCs w:val="0"/>
                <w:i/>
              </w:rPr>
            </m:ctrlPr>
          </m:sSupPr>
          <m:e>
            <m:r>
              <w:rPr>
                <w:rFonts w:ascii="Cambria Math" w:hAnsi="Cambria Math"/>
                <w:lang w:val="en-US"/>
              </w:rPr>
              <m:t>16</m:t>
            </m:r>
            <m:ctrlPr>
              <w:rPr>
                <w:rFonts w:ascii="Cambria Math" w:hAnsi="Cambria Math"/>
                <w:bCs w:val="0"/>
                <w:i/>
              </w:rPr>
            </m:ctrlPr>
          </m:e>
          <m:sup>
            <m:r>
              <w:rPr>
                <w:rFonts w:ascii="Cambria Math" w:hAnsi="Cambria Math"/>
                <w:lang w:val="en-US"/>
              </w:rPr>
              <m:t>3</m:t>
            </m:r>
            <m:ctrlPr>
              <w:rPr>
                <w:rFonts w:ascii="Cambria Math" w:hAnsi="Cambria Math"/>
                <w:bCs w:val="0"/>
                <w:i/>
              </w:rPr>
            </m:ctrlPr>
          </m:sup>
        </m:sSup>
      </m:oMath>
      <w:r>
        <w:rPr>
          <w:rFonts w:hint="default"/>
          <w:b w:val="0"/>
          <w:bCs w:val="0"/>
        </w:rPr>
        <w:t>），</w:t>
      </w:r>
      <w:r>
        <w:drawing>
          <wp:inline distT="0" distB="0" distL="114300" distR="114300">
            <wp:extent cx="390525" cy="123825"/>
            <wp:effectExtent l="0" t="0" r="1587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390525" cy="123825"/>
                    </a:xfrm>
                    <a:prstGeom prst="rect">
                      <a:avLst/>
                    </a:prstGeom>
                    <a:noFill/>
                    <a:ln w="9525">
                      <a:noFill/>
                    </a:ln>
                  </pic:spPr>
                </pic:pic>
              </a:graphicData>
            </a:graphic>
          </wp:inline>
        </w:drawing>
      </w:r>
      <w:r>
        <w:rPr>
          <w:rFonts w:hint="default"/>
          <w:b w:val="0"/>
          <w:bCs w:val="0"/>
        </w:rPr>
        <w:t>是点 pj 处的预测密度，γ 是一个阈值（</w:t>
      </w:r>
      <w:r>
        <w:rPr>
          <w:rFonts w:hint="eastAsia"/>
          <w:b w:val="0"/>
          <w:bCs w:val="0"/>
          <w:lang w:val="en-US" w:eastAsia="zh-Hans"/>
        </w:rPr>
        <w:t>在我们所有实验中</w:t>
      </w:r>
      <w:r>
        <w:rPr>
          <w:rFonts w:hint="default"/>
          <w:b w:val="0"/>
          <w:bCs w:val="0"/>
        </w:rPr>
        <w:t xml:space="preserve"> γ = 0.5</w:t>
      </w:r>
      <w:r>
        <w:rPr>
          <w:rFonts w:hint="eastAsia"/>
          <w:b w:val="0"/>
          <w:bCs w:val="0"/>
          <w:lang w:eastAsia="zh-Hans"/>
        </w:rPr>
        <w:t>）</w:t>
      </w:r>
      <w:r>
        <w:rPr>
          <w:rFonts w:hint="default"/>
          <w:b w:val="0"/>
          <w:bCs w:val="0"/>
        </w:rPr>
        <w:t>。 由于此修剪过程不依赖于其他处理模块或输入提示，因此我们将其称为自修剪。</w:t>
      </w:r>
      <w:r>
        <w:rPr>
          <w:rFonts w:hint="default"/>
          <w:b/>
          <w:bCs/>
        </w:rPr>
        <w:t xml:space="preserve"> 在粗略的场景几何体出现后，我们定期对体素进行自我修剪</w:t>
      </w:r>
      <w:r>
        <w:rPr>
          <w:rFonts w:hint="default"/>
          <w:b w:val="0"/>
          <w:bCs w:val="0"/>
        </w:rPr>
        <w:t>。</w:t>
      </w:r>
    </w:p>
    <w:p>
      <w:pPr>
        <w:jc w:val="left"/>
        <w:rPr>
          <w:rFonts w:hint="default"/>
          <w:b w:val="0"/>
          <w:bCs w:val="0"/>
        </w:rPr>
      </w:pPr>
    </w:p>
    <w:p>
      <w:pPr>
        <w:jc w:val="left"/>
        <w:rPr>
          <w:rFonts w:hint="default"/>
          <w:b w:val="0"/>
          <w:bCs w:val="0"/>
        </w:rPr>
      </w:pPr>
      <w:r>
        <w:rPr>
          <w:rFonts w:hint="default"/>
          <w:b/>
          <w:bCs/>
        </w:rPr>
        <w:t>Progressive Training</w:t>
      </w:r>
      <w:r>
        <w:rPr>
          <w:rFonts w:hint="default"/>
          <w:b w:val="0"/>
          <w:bCs w:val="0"/>
        </w:rPr>
        <w:t xml:space="preserve"> </w:t>
      </w:r>
      <w:r>
        <w:rPr>
          <w:rFonts w:hint="default"/>
          <w:b/>
          <w:bCs/>
        </w:rPr>
        <w:t>上述修剪策略使我们能够逐步调整体素化以适应底层场景结构，并自适应地为重要区域分配计算和内存资源</w:t>
      </w:r>
      <w:r>
        <w:rPr>
          <w:rFonts w:hint="default"/>
          <w:b w:val="0"/>
          <w:bCs w:val="0"/>
        </w:rPr>
        <w:t xml:space="preserve">。 假设学习从初始光线行进步长 τ 和体素大小 l 开始。 经过一定的训练步骤后，我们将 τ 和 l 减半以用于下一阶段。 具体来说，当体素大小减半时，我们将每个体素细分为 </w:t>
      </w:r>
      <m:oMath>
        <m:sSup>
          <m:sSupPr>
            <m:ctrlPr>
              <w:rPr>
                <w:rFonts w:ascii="Cambria Math" w:hAnsi="Cambria Math"/>
                <w:bCs w:val="0"/>
                <w:i/>
              </w:rPr>
            </m:ctrlPr>
          </m:sSupPr>
          <m:e>
            <m:r>
              <w:rPr>
                <w:rFonts w:ascii="Cambria Math" w:hAnsi="Cambria Math"/>
                <w:lang w:val="en-US"/>
              </w:rPr>
              <m:t>2</m:t>
            </m:r>
            <m:ctrlPr>
              <w:rPr>
                <w:rFonts w:ascii="Cambria Math" w:hAnsi="Cambria Math"/>
                <w:bCs w:val="0"/>
                <w:i/>
              </w:rPr>
            </m:ctrlPr>
          </m:e>
          <m:sup>
            <m:r>
              <w:rPr>
                <w:rFonts w:ascii="Cambria Math" w:hAnsi="Cambria Math"/>
                <w:lang w:val="en-US"/>
              </w:rPr>
              <m:t>3</m:t>
            </m:r>
            <m:ctrlPr>
              <w:rPr>
                <w:rFonts w:ascii="Cambria Math" w:hAnsi="Cambria Math"/>
                <w:bCs w:val="0"/>
                <w:i/>
              </w:rPr>
            </m:ctrlPr>
          </m:sup>
        </m:sSup>
      </m:oMath>
      <w:r>
        <w:rPr>
          <w:rFonts w:hint="default"/>
          <w:b w:val="0"/>
          <w:bCs w:val="0"/>
        </w:rPr>
        <w:t xml:space="preserve"> 个子体素，并且通</w:t>
      </w:r>
      <w:r>
        <w:rPr>
          <w:rFonts w:hint="default"/>
          <w:b/>
          <w:bCs/>
        </w:rPr>
        <w:t>过原始八个体素顶点处的特征表示的三线性插值初始化新顶点的特征表示</w:t>
      </w:r>
      <w:r>
        <w:rPr>
          <w:rFonts w:hint="default"/>
          <w:b w:val="0"/>
          <w:bCs w:val="0"/>
        </w:rPr>
        <w:t>（即第 3.1 节中的 g~(.)） . 请注意，当使用嵌入作为体素表示时，</w:t>
      </w:r>
      <w:r>
        <w:rPr>
          <w:rFonts w:hint="default"/>
          <w:b/>
          <w:bCs/>
        </w:rPr>
        <w:t>我们实质上是逐步增加模型容量以了解场景的更多细节</w:t>
      </w:r>
      <w:r>
        <w:rPr>
          <w:rFonts w:hint="default"/>
          <w:b w:val="0"/>
          <w:bCs w:val="0"/>
        </w:rPr>
        <w:t>。 在我们的实验中，我们训练了 4 个阶段的合成场景和 3 个阶段的真实场景</w:t>
      </w:r>
      <w:r>
        <w:rPr>
          <w:rFonts w:hint="eastAsia"/>
          <w:b w:val="0"/>
          <w:bCs w:val="0"/>
          <w:lang w:eastAsia="zh-Hans"/>
        </w:rPr>
        <w:t>。</w:t>
      </w:r>
      <w:r>
        <w:rPr>
          <w:rFonts w:hint="default"/>
          <w:b w:val="0"/>
          <w:bCs w:val="0"/>
        </w:rPr>
        <w:t>自修剪和渐进式训练的说明如</w:t>
      </w:r>
      <w:r>
        <w:rPr>
          <w:rFonts w:hint="eastAsia"/>
          <w:b w:val="0"/>
          <w:bCs w:val="0"/>
          <w:lang w:val="en-US" w:eastAsia="zh-Hans"/>
        </w:rPr>
        <w:t>下</w:t>
      </w:r>
      <w:r>
        <w:rPr>
          <w:rFonts w:hint="default"/>
          <w:b w:val="0"/>
          <w:bCs w:val="0"/>
        </w:rPr>
        <w:t>图 2 所示。</w:t>
      </w:r>
    </w:p>
    <w:p>
      <w:pPr>
        <w:jc w:val="left"/>
        <w:rPr>
          <w:rFonts w:hint="default"/>
          <w:b/>
          <w:bCs/>
        </w:rPr>
      </w:pPr>
    </w:p>
    <w:p>
      <w:pPr>
        <w:jc w:val="center"/>
      </w:pPr>
      <w:r>
        <w:drawing>
          <wp:inline distT="0" distB="0" distL="114300" distR="114300">
            <wp:extent cx="3424555" cy="700405"/>
            <wp:effectExtent l="0" t="0" r="444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3424555" cy="700405"/>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实验</w:t>
      </w:r>
    </w:p>
    <w:p>
      <w:pPr>
        <w:rPr>
          <w:rFonts w:hint="eastAsia"/>
          <w:lang w:val="en-US" w:eastAsia="zh-Hans"/>
        </w:rPr>
      </w:pPr>
      <w:r>
        <w:rPr>
          <w:rFonts w:hint="eastAsia"/>
          <w:lang w:val="en-US" w:eastAsia="zh-Hans"/>
        </w:rPr>
        <w:t xml:space="preserve">我们在多个任务上评估提议的 NSVF，包括多场景学习、动态和大规模室内场景的渲染以及场景编辑和合成。 我们还进行消融研究以验证渐进式训练中不同类型的特征表示和不同选项。 有关架构、实现、数据集预处理和其他结果的更多详细信息，请参阅附录。 另请参阅显示渲染质量的补充视频。 </w:t>
      </w:r>
    </w:p>
    <w:p>
      <w:pPr>
        <w:pStyle w:val="4"/>
        <w:bidi w:val="0"/>
        <w:rPr>
          <w:rFonts w:hint="eastAsia"/>
          <w:lang w:val="en-US" w:eastAsia="zh-Hans"/>
        </w:rPr>
      </w:pPr>
      <w:r>
        <w:rPr>
          <w:rFonts w:hint="eastAsia"/>
          <w:lang w:val="en-US" w:eastAsia="zh-Hans"/>
        </w:rPr>
        <w:t>实验设置</w:t>
      </w:r>
    </w:p>
    <w:p>
      <w:pPr>
        <w:rPr>
          <w:rFonts w:hint="eastAsia"/>
          <w:lang w:val="en-US" w:eastAsia="zh-Hans"/>
        </w:rPr>
      </w:pPr>
      <w:r>
        <w:rPr>
          <w:rFonts w:hint="default"/>
          <w:b/>
          <w:bCs/>
          <w:lang w:eastAsia="zh-Hans"/>
        </w:rPr>
        <w:t>D</w:t>
      </w:r>
      <w:r>
        <w:rPr>
          <w:rFonts w:hint="eastAsia"/>
          <w:b/>
          <w:bCs/>
          <w:lang w:val="en-US" w:eastAsia="zh-Hans"/>
        </w:rPr>
        <w:t>ataset</w:t>
      </w:r>
      <w:r>
        <w:rPr>
          <w:rFonts w:hint="eastAsia"/>
          <w:lang w:val="en-US" w:eastAsia="zh-Hans"/>
        </w:rPr>
        <w:t>。</w:t>
      </w:r>
    </w:p>
    <w:p>
      <w:pPr>
        <w:numPr>
          <w:ilvl w:val="0"/>
          <w:numId w:val="2"/>
        </w:numPr>
        <w:rPr>
          <w:rFonts w:hint="eastAsia"/>
          <w:lang w:val="en-US" w:eastAsia="zh-Hans"/>
        </w:rPr>
      </w:pPr>
      <w:r>
        <w:rPr>
          <w:rFonts w:hint="eastAsia"/>
          <w:lang w:val="en-US" w:eastAsia="zh-Hans"/>
        </w:rPr>
        <w:t>Synthetic-NeRF：Mildenhall(2020)等人使用的包括八个物体的合成数据集。</w:t>
      </w:r>
    </w:p>
    <w:p>
      <w:pPr>
        <w:numPr>
          <w:ilvl w:val="0"/>
          <w:numId w:val="2"/>
        </w:numPr>
        <w:rPr>
          <w:rFonts w:hint="eastAsia"/>
          <w:lang w:val="en-US" w:eastAsia="zh-Hans"/>
        </w:rPr>
      </w:pPr>
      <w:r>
        <w:rPr>
          <w:rFonts w:hint="eastAsia"/>
          <w:lang w:val="en-US" w:eastAsia="zh-Hans"/>
        </w:rPr>
        <w:t>Synthetic-NSVF：我们另外渲染了八个具有更复杂几何形状和照明效果的相同分辨率的物体。</w:t>
      </w:r>
    </w:p>
    <w:p>
      <w:pPr>
        <w:numPr>
          <w:ilvl w:val="0"/>
          <w:numId w:val="2"/>
        </w:numPr>
        <w:rPr>
          <w:rFonts w:hint="eastAsia"/>
          <w:lang w:val="en-US" w:eastAsia="zh-Hans"/>
        </w:rPr>
      </w:pPr>
      <w:r>
        <w:rPr>
          <w:rFonts w:hint="eastAsia"/>
          <w:lang w:val="en-US" w:eastAsia="zh-Hans"/>
        </w:rPr>
        <w:t>BlendedMVS：我们在 Yao(2020) 等人数据集的四个物体上进行测试。渲染图像与真实图像混合以获得逼真的环境照明。</w:t>
      </w:r>
    </w:p>
    <w:p>
      <w:pPr>
        <w:numPr>
          <w:ilvl w:val="0"/>
          <w:numId w:val="2"/>
        </w:numPr>
        <w:rPr>
          <w:rFonts w:hint="eastAsia"/>
          <w:lang w:val="en-US" w:eastAsia="zh-Hans"/>
        </w:rPr>
      </w:pPr>
      <w:r>
        <w:rPr>
          <w:rFonts w:hint="eastAsia"/>
          <w:lang w:val="en-US" w:eastAsia="zh-Hans"/>
        </w:rPr>
        <w:t xml:space="preserve">Tanks &amp; Temples:：我们评估了来自 Knapitsch（2017） 等人的五个物体。我们使用图像并自己标记对象掩码。 </w:t>
      </w:r>
    </w:p>
    <w:p>
      <w:pPr>
        <w:numPr>
          <w:ilvl w:val="0"/>
          <w:numId w:val="2"/>
        </w:numPr>
        <w:rPr>
          <w:rFonts w:hint="eastAsia"/>
          <w:lang w:val="en-US" w:eastAsia="zh-Hans"/>
        </w:rPr>
      </w:pPr>
      <w:r>
        <w:rPr>
          <w:rFonts w:hint="eastAsia"/>
          <w:lang w:val="en-US" w:eastAsia="zh-Hans"/>
        </w:rPr>
        <w:t xml:space="preserve">ScanNet：我们使用 ScanNet 的两个真实场景（Dai 等，2017）。 我们从原始视频中提取 RGB 和深度图像。 </w:t>
      </w:r>
    </w:p>
    <w:p>
      <w:pPr>
        <w:numPr>
          <w:ilvl w:val="0"/>
          <w:numId w:val="2"/>
        </w:numPr>
        <w:rPr>
          <w:rFonts w:hint="eastAsia"/>
          <w:lang w:val="en-US" w:eastAsia="zh-Hans"/>
        </w:rPr>
      </w:pPr>
      <w:r>
        <w:rPr>
          <w:rFonts w:hint="eastAsia"/>
          <w:lang w:val="en-US" w:eastAsia="zh-Hans"/>
        </w:rPr>
        <w:t>Maria 序列：这个序列由 Volucap 提供，带有一个在移动的女性的200 帧的网格。 我们渲染每个网格以创建数据集。</w:t>
      </w:r>
    </w:p>
    <w:p>
      <w:pPr>
        <w:jc w:val="left"/>
      </w:pPr>
    </w:p>
    <w:p>
      <w:pPr>
        <w:jc w:val="left"/>
        <w:rPr>
          <w:rFonts w:hint="eastAsia"/>
          <w:lang w:val="en-US" w:eastAsia="zh-Hans"/>
        </w:rPr>
      </w:pPr>
      <w:r>
        <w:rPr>
          <w:b/>
          <w:bCs/>
        </w:rPr>
        <w:t>B</w:t>
      </w:r>
      <w:r>
        <w:rPr>
          <w:rFonts w:hint="eastAsia"/>
          <w:b/>
          <w:bCs/>
          <w:lang w:val="en-US" w:eastAsia="zh-Hans"/>
        </w:rPr>
        <w:t>aselines</w:t>
      </w:r>
      <w:r>
        <w:rPr>
          <w:rFonts w:hint="eastAsia"/>
          <w:lang w:val="en-US" w:eastAsia="zh-Hans"/>
        </w:rPr>
        <w:t>。我们采用以下三种最近提出的方法作为基线：</w:t>
      </w:r>
    </w:p>
    <w:p>
      <w:pPr>
        <w:numPr>
          <w:ilvl w:val="0"/>
          <w:numId w:val="3"/>
        </w:numPr>
        <w:ind w:left="420" w:leftChars="0" w:hanging="420" w:firstLineChars="0"/>
        <w:jc w:val="left"/>
        <w:rPr>
          <w:rFonts w:hint="eastAsia"/>
          <w:lang w:val="en-US" w:eastAsia="zh-Hans"/>
        </w:rPr>
      </w:pPr>
      <w:r>
        <w:rPr>
          <w:rFonts w:hint="eastAsia"/>
          <w:lang w:val="en-US" w:eastAsia="zh-Hans"/>
        </w:rPr>
        <w:t>场景表示网络（SRN、Sitzmann 等人，2019b）、</w:t>
      </w:r>
    </w:p>
    <w:p>
      <w:pPr>
        <w:numPr>
          <w:ilvl w:val="0"/>
          <w:numId w:val="3"/>
        </w:numPr>
        <w:ind w:left="420" w:leftChars="0" w:hanging="420" w:firstLineChars="0"/>
        <w:jc w:val="left"/>
        <w:rPr>
          <w:rFonts w:hint="eastAsia"/>
          <w:lang w:val="en-US" w:eastAsia="zh-Hans"/>
        </w:rPr>
      </w:pPr>
      <w:r>
        <w:rPr>
          <w:rFonts w:hint="eastAsia"/>
          <w:lang w:val="en-US" w:eastAsia="zh-Hans"/>
        </w:rPr>
        <w:t>神经体积（NV、Lombardi 等人，2019 年）</w:t>
      </w:r>
    </w:p>
    <w:p>
      <w:pPr>
        <w:numPr>
          <w:ilvl w:val="0"/>
          <w:numId w:val="3"/>
        </w:numPr>
        <w:ind w:left="420" w:leftChars="0" w:hanging="420" w:firstLineChars="0"/>
        <w:jc w:val="left"/>
        <w:rPr>
          <w:rFonts w:hint="eastAsia"/>
          <w:lang w:val="en-US" w:eastAsia="zh-Hans"/>
        </w:rPr>
      </w:pPr>
      <w:r>
        <w:rPr>
          <w:rFonts w:hint="eastAsia"/>
          <w:lang w:val="en-US" w:eastAsia="zh-Hans"/>
        </w:rPr>
        <w:t>神经辐射场（NeRF、Mildenhall 等人） ., 2020)</w:t>
      </w:r>
    </w:p>
    <w:p>
      <w:pPr>
        <w:numPr>
          <w:ilvl w:val="0"/>
          <w:numId w:val="0"/>
        </w:numPr>
        <w:ind w:leftChars="0"/>
        <w:jc w:val="left"/>
        <w:rPr>
          <w:rFonts w:hint="eastAsia"/>
          <w:lang w:val="en-US" w:eastAsia="zh-Hans"/>
        </w:rPr>
      </w:pPr>
      <w:r>
        <w:rPr>
          <w:rFonts w:hint="eastAsia"/>
          <w:lang w:val="en-US" w:eastAsia="zh-Hans"/>
        </w:rPr>
        <w:t>分别代表基于表面的渲染、显式和隐式体积渲染。 有关实现细节，请参阅附录。</w:t>
      </w:r>
    </w:p>
    <w:p>
      <w:pPr>
        <w:jc w:val="left"/>
        <w:rPr>
          <w:rFonts w:hint="eastAsia"/>
          <w:lang w:val="en-US" w:eastAsia="zh-Hans"/>
        </w:rPr>
      </w:pPr>
    </w:p>
    <w:p>
      <w:pPr>
        <w:jc w:val="left"/>
        <w:rPr>
          <w:rFonts w:hint="eastAsia"/>
          <w:lang w:val="en-US" w:eastAsia="zh-Hans"/>
        </w:rPr>
      </w:pPr>
      <w:r>
        <w:rPr>
          <w:rFonts w:hint="eastAsia"/>
          <w:b/>
          <w:bCs/>
          <w:lang w:val="en-US" w:eastAsia="zh-Hans"/>
        </w:rPr>
        <w:t>实现细节</w:t>
      </w:r>
      <w:r>
        <w:rPr>
          <w:rFonts w:hint="eastAsia"/>
          <w:lang w:val="en-US" w:eastAsia="zh-Hans"/>
        </w:rPr>
        <w:t>。我们使用每个顶点的 32 维可学习体素嵌入对 NSVF 进行建模，并应用（Mildenhall 等人，2020）提出的位置编码。 整体网络架构如下图 9 所示。对于所有场景，我们在 8 个 Nvidia V100 GPU 上使用 32 张图像的批量大小训练 NSVF，并且对于每张图像我们采样 2048 条光线。 为了提高训练效率，我们使用了一种偏置采样策略，只对命中至少一个体素的光线进行采样。 对于所有实验，我们每 2500 步定期修剪体素，并分别在 5k、25k 和 75k 处逐步将体素和步长减半。 我们的开源代码库地址是</w:t>
      </w:r>
      <w:r>
        <w:rPr>
          <w:rFonts w:hint="default"/>
          <w:lang w:eastAsia="zh-Hans"/>
        </w:rPr>
        <w:t xml:space="preserve"> </w:t>
      </w:r>
      <w:r>
        <w:rPr>
          <w:rFonts w:hint="eastAsia"/>
          <w:lang w:val="en-US" w:eastAsia="zh-Hans"/>
        </w:rPr>
        <w:fldChar w:fldCharType="begin"/>
      </w:r>
      <w:r>
        <w:rPr>
          <w:rFonts w:hint="eastAsia"/>
          <w:lang w:val="en-US" w:eastAsia="zh-Hans"/>
        </w:rPr>
        <w:instrText xml:space="preserve"> HYPERLINK "https://github.com/facebookresearch/NSVF" </w:instrText>
      </w:r>
      <w:r>
        <w:rPr>
          <w:rFonts w:hint="eastAsia"/>
          <w:lang w:val="en-US" w:eastAsia="zh-Hans"/>
        </w:rPr>
        <w:fldChar w:fldCharType="separate"/>
      </w:r>
      <w:r>
        <w:rPr>
          <w:rStyle w:val="6"/>
          <w:rFonts w:hint="eastAsia"/>
          <w:lang w:val="en-US" w:eastAsia="zh-Hans"/>
        </w:rPr>
        <w:t>https://github.com/facebookresearch/NSVF</w:t>
      </w:r>
      <w:r>
        <w:rPr>
          <w:rFonts w:hint="eastAsia"/>
          <w:lang w:val="en-US" w:eastAsia="zh-Hans"/>
        </w:rPr>
        <w:fldChar w:fldCharType="end"/>
      </w:r>
    </w:p>
    <w:p>
      <w:pPr>
        <w:jc w:val="center"/>
        <w:rPr>
          <w:rFonts w:hint="eastAsia"/>
          <w:lang w:val="en-US" w:eastAsia="zh-Hans"/>
        </w:rPr>
      </w:pPr>
      <w:r>
        <w:drawing>
          <wp:inline distT="0" distB="0" distL="114300" distR="114300">
            <wp:extent cx="2605405" cy="828675"/>
            <wp:effectExtent l="0" t="0" r="1079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2605405" cy="828675"/>
                    </a:xfrm>
                    <a:prstGeom prst="rect">
                      <a:avLst/>
                    </a:prstGeom>
                    <a:noFill/>
                    <a:ln w="9525">
                      <a:noFill/>
                    </a:ln>
                  </pic:spPr>
                </pic:pic>
              </a:graphicData>
            </a:graphic>
          </wp:inline>
        </w:drawing>
      </w:r>
    </w:p>
    <w:p>
      <w:pPr>
        <w:pStyle w:val="4"/>
        <w:bidi w:val="0"/>
        <w:rPr>
          <w:rFonts w:hint="eastAsia"/>
          <w:lang w:val="en-US" w:eastAsia="zh-Hans"/>
        </w:rPr>
      </w:pPr>
      <w:r>
        <w:rPr>
          <w:rFonts w:hint="eastAsia"/>
          <w:lang w:val="en-US" w:eastAsia="zh-Hans"/>
        </w:rPr>
        <w:t>结果</w:t>
      </w:r>
    </w:p>
    <w:p>
      <w:pPr>
        <w:rPr>
          <w:rFonts w:hint="eastAsia"/>
          <w:lang w:eastAsia="zh-Hans"/>
        </w:rPr>
      </w:pPr>
      <w:r>
        <w:rPr>
          <w:rFonts w:hint="eastAsia"/>
          <w:lang w:val="en-US" w:eastAsia="zh-Hans"/>
        </w:rPr>
        <w:t>质量比较。我们在下图 3 中展示了定性比较。SRN 倾向于产生过于平滑的渲染和不正确的几何图形； NV 和 NeRF 效果更好，但仍然无法像 NSVF 那样清晰地合成图像。 NSVF 可以在具有复杂几何形状、薄结构和照明效果的各种场景上实现照片般逼真的效果。</w:t>
      </w:r>
    </w:p>
    <w:p>
      <w:pPr>
        <w:jc w:val="center"/>
      </w:pPr>
      <w:r>
        <w:drawing>
          <wp:inline distT="0" distB="0" distL="114300" distR="114300">
            <wp:extent cx="3543300" cy="2143125"/>
            <wp:effectExtent l="0" t="0" r="1270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3543300" cy="2143125"/>
                    </a:xfrm>
                    <a:prstGeom prst="rect">
                      <a:avLst/>
                    </a:prstGeom>
                    <a:noFill/>
                    <a:ln w="9525">
                      <a:noFill/>
                    </a:ln>
                  </pic:spPr>
                </pic:pic>
              </a:graphicData>
            </a:graphic>
          </wp:inline>
        </w:drawing>
      </w:r>
    </w:p>
    <w:p>
      <w:pPr>
        <w:jc w:val="left"/>
        <w:rPr>
          <w:rFonts w:hint="default"/>
          <w:lang w:eastAsia="zh-Hans"/>
        </w:rPr>
      </w:pPr>
      <w:r>
        <w:rPr>
          <w:rFonts w:hint="default"/>
          <w:lang w:eastAsia="zh-Hans"/>
        </w:rPr>
        <w:t>此外，如</w:t>
      </w:r>
      <w:r>
        <w:rPr>
          <w:rFonts w:hint="eastAsia"/>
          <w:lang w:val="en-US" w:eastAsia="zh-Hans"/>
        </w:rPr>
        <w:t>下</w:t>
      </w:r>
      <w:r>
        <w:rPr>
          <w:rFonts w:hint="default"/>
          <w:lang w:eastAsia="zh-Hans"/>
        </w:rPr>
        <w:t>表 1 所示，NSVF 在所有指标的所有四个数据集上均显着优于三个基线。 请注意，具有提前终止 (</w:t>
      </w:r>
      <m:oMath>
        <m:r>
          <m:rPr>
            <m:sty m:val="p"/>
          </m:rPr>
          <w:rPr>
            <w:rFonts w:ascii="Cambria Math" w:hAnsi="Cambria Math"/>
          </w:rPr>
          <m:t>∈</m:t>
        </m:r>
      </m:oMath>
      <w:r>
        <w:rPr>
          <w:rFonts w:hint="default"/>
          <w:lang w:eastAsia="zh-Hans"/>
        </w:rPr>
        <w:t xml:space="preserve">= 0.01) 的 NSVF 产生的质量与没有提前终止的 NSVF 几乎相同（在表 1 中表示为 </w:t>
      </w:r>
      <m:oMath>
        <m:sSup>
          <m:sSupPr>
            <m:ctrlPr>
              <w:rPr>
                <w:rFonts w:ascii="Cambria Math" w:hAnsi="Cambria Math"/>
                <w:i/>
              </w:rPr>
            </m:ctrlPr>
          </m:sSupPr>
          <m:e>
            <m:r>
              <w:rPr>
                <w:rFonts w:ascii="Cambria Math" w:hAnsi="Cambria Math"/>
                <w:lang w:val="en-US"/>
              </w:rPr>
              <m:t>NSVF</m:t>
            </m:r>
            <m:ctrlPr>
              <w:rPr>
                <w:rFonts w:ascii="Cambria Math" w:hAnsi="Cambria Math"/>
                <w:i/>
              </w:rPr>
            </m:ctrlPr>
          </m:e>
          <m:sup>
            <m:r>
              <w:rPr>
                <w:rFonts w:ascii="Cambria Math" w:hAnsi="Cambria Math"/>
                <w:lang w:val="en-US"/>
              </w:rPr>
              <m:t>0</m:t>
            </m:r>
            <m:ctrlPr>
              <w:rPr>
                <w:rFonts w:ascii="Cambria Math" w:hAnsi="Cambria Math"/>
                <w:i/>
              </w:rPr>
            </m:ctrlPr>
          </m:sup>
        </m:sSup>
      </m:oMath>
      <w:r>
        <w:rPr>
          <w:rFonts w:hint="default"/>
          <w:lang w:eastAsia="zh-Hans"/>
        </w:rPr>
        <w:t>）。 这表明提前终止不会导致明显的质量下降，同时显着加速计算，如下所示。</w:t>
      </w:r>
    </w:p>
    <w:p>
      <w:pPr>
        <w:jc w:val="left"/>
        <w:rPr>
          <w:rFonts w:hint="default"/>
          <w:lang w:eastAsia="zh-Hans"/>
        </w:rPr>
      </w:pPr>
    </w:p>
    <w:p>
      <w:pPr>
        <w:jc w:val="left"/>
        <w:rPr>
          <w:rFonts w:hint="default"/>
          <w:lang w:eastAsia="zh-Hans"/>
        </w:rPr>
      </w:pPr>
    </w:p>
    <w:p>
      <w:pPr>
        <w:jc w:val="center"/>
      </w:pPr>
      <w:r>
        <w:drawing>
          <wp:inline distT="0" distB="0" distL="114300" distR="114300">
            <wp:extent cx="3500755" cy="748030"/>
            <wp:effectExtent l="0" t="0" r="4445" b="139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3500755" cy="748030"/>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速度比较。我们在下图 4 中提供了四个数据集模型的速度比较，其中我们将 Synthetic-NeRF 和 Synthetic NSVF 的结果合并在同一图中，这是因为考虑到它们的图像大小相同。 对于我们的方法，如图 4 (a)</w:t>
      </w:r>
      <w:r>
        <w:rPr>
          <w:rFonts w:hint="default"/>
          <w:lang w:eastAsia="zh-Hans"/>
        </w:rPr>
        <w:t>-</w:t>
      </w:r>
      <w:r>
        <w:rPr>
          <w:rFonts w:hint="eastAsia"/>
          <w:lang w:val="en-US" w:eastAsia="zh-Hans"/>
        </w:rPr>
        <w:t xml:space="preserve"> (c) 所示</w:t>
      </w:r>
      <w:r>
        <w:rPr>
          <w:rFonts w:hint="eastAsia"/>
          <w:b/>
          <w:bCs/>
          <w:lang w:val="en-US" w:eastAsia="zh-Hans"/>
        </w:rPr>
        <w:t>平均渲染时间与前景与背景的平均比率相关</w:t>
      </w:r>
      <w:r>
        <w:rPr>
          <w:rFonts w:hint="eastAsia"/>
          <w:lang w:val="en-US" w:eastAsia="zh-Hans"/>
        </w:rPr>
        <w:t xml:space="preserve">。这是因为前景的平均比例越高，与体素相交的光线就越多。 因此，需要更多的评估时间。 </w:t>
      </w:r>
      <w:r>
        <w:rPr>
          <w:rFonts w:hint="eastAsia"/>
          <w:b/>
          <w:bCs/>
          <w:lang w:val="en-US" w:eastAsia="zh-Hans"/>
        </w:rPr>
        <w:t>平均渲染时间也与相交体素的数量相关</w:t>
      </w:r>
      <w:r>
        <w:rPr>
          <w:rFonts w:hint="eastAsia"/>
          <w:lang w:val="en-US" w:eastAsia="zh-Hans"/>
        </w:rPr>
        <w:t>。 当光线在实体对象的渲染中与大量体素相交时，提前终止通过避免表面后面的许多不必要的累积步骤来显着减少渲染时间。 这两个因素可以在图 4 (d) 中看到，我们展示了一个缩小示例。</w:t>
      </w:r>
    </w:p>
    <w:p>
      <w:pPr>
        <w:jc w:val="center"/>
        <w:rPr>
          <w:rFonts w:hint="default"/>
          <w:lang w:eastAsia="zh-Hans"/>
        </w:rPr>
      </w:pPr>
      <w:r>
        <w:drawing>
          <wp:inline distT="0" distB="0" distL="114300" distR="114300">
            <wp:extent cx="3533775" cy="986155"/>
            <wp:effectExtent l="0" t="0" r="2222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3533775" cy="986155"/>
                    </a:xfrm>
                    <a:prstGeom prst="rect">
                      <a:avLst/>
                    </a:prstGeom>
                    <a:noFill/>
                    <a:ln w="9525">
                      <a:noFill/>
                    </a:ln>
                  </pic:spPr>
                </pic:pic>
              </a:graphicData>
            </a:graphic>
          </wp:inline>
        </w:drawing>
      </w:r>
    </w:p>
    <w:p>
      <w:pPr>
        <w:rPr>
          <w:rFonts w:hint="default"/>
          <w:lang w:eastAsia="zh-Hans"/>
        </w:rPr>
      </w:pPr>
      <w:r>
        <w:rPr>
          <w:rFonts w:hint="default"/>
          <w:lang w:eastAsia="zh-Hans"/>
        </w:rPr>
        <w:t>对于其他方法，渲染时间几乎是恒定的。 这是因为他们必须以固定步长评估所有像素，这表明无论光线是否击中场景，无论场景复杂度如何，都会沿每条光线采样固定数量的点。 一般来说，我们的方法比最先进的方法 NeRF 快 10~20 倍，并接近 SRN 和 NV。</w:t>
      </w:r>
    </w:p>
    <w:p>
      <w:pPr>
        <w:rPr>
          <w:rFonts w:hint="eastAsia"/>
          <w:lang w:val="en-US" w:eastAsia="zh-Hans"/>
        </w:rPr>
      </w:pPr>
    </w:p>
    <w:p>
      <w:pPr>
        <w:rPr>
          <w:rFonts w:hint="eastAsia"/>
          <w:lang w:val="en-US" w:eastAsia="zh-Hans"/>
        </w:rPr>
      </w:pPr>
      <w:r>
        <w:rPr>
          <w:rFonts w:hint="eastAsia"/>
          <w:lang w:val="en-US" w:eastAsia="zh-Hans"/>
        </w:rPr>
        <w:t>存储比较。NSVF 网络权重的存储使用量从 3.2 ∼ 16MB（包括 MLP 的约 2MB）不等，具体取决于所使用的体素数量（10 ∼ 100K）。 NeRF 有两个（粗略和精细）稍深的 MLP，总存储使用量约为 5MB。</w:t>
      </w:r>
    </w:p>
    <w:p>
      <w:pPr>
        <w:rPr>
          <w:rFonts w:hint="eastAsia"/>
          <w:lang w:val="en-US" w:eastAsia="zh-Hans"/>
        </w:rPr>
      </w:pPr>
    </w:p>
    <w:p>
      <w:pPr>
        <w:pStyle w:val="4"/>
        <w:bidi w:val="0"/>
        <w:rPr>
          <w:rFonts w:hint="eastAsia"/>
          <w:lang w:val="en-US" w:eastAsia="zh-Hans"/>
        </w:rPr>
      </w:pPr>
      <w:r>
        <w:rPr>
          <w:rFonts w:hint="eastAsia"/>
          <w:lang w:val="en-US" w:eastAsia="zh-Hans"/>
        </w:rPr>
        <w:t>对室内场景和动态场景的渲染</w:t>
      </w:r>
    </w:p>
    <w:p>
      <w:pPr>
        <w:rPr>
          <w:rFonts w:hint="eastAsia"/>
          <w:lang w:val="en-US" w:eastAsia="zh-Hans"/>
        </w:rPr>
      </w:pPr>
      <w:r>
        <w:rPr>
          <w:rFonts w:hint="eastAsia"/>
          <w:lang w:val="en-US" w:eastAsia="zh-Hans"/>
        </w:rPr>
        <w:t>我们证明了我们的方法在具有挑战性的由内向外重建场景下对 ScanNet 数据集的有效性。 我们的结果如下图 5 所示，其中初始体素建立在深度图像的点云上。</w:t>
      </w:r>
    </w:p>
    <w:p>
      <w:pPr>
        <w:jc w:val="center"/>
        <w:rPr>
          <w:rFonts w:hint="eastAsia"/>
          <w:lang w:val="en-US" w:eastAsia="zh-Hans"/>
        </w:rPr>
      </w:pPr>
      <w:r>
        <w:drawing>
          <wp:inline distT="0" distB="0" distL="114300" distR="114300">
            <wp:extent cx="3476625" cy="866775"/>
            <wp:effectExtent l="0" t="0" r="3175" b="222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3476625" cy="8667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如上图 5 所示，我们还使用 Maria Se 序列在具有动态场景的语料库上验证了我们的方法。 为了适应 NSVF 的时间序列，我们应用了 Sitzmann(2019b) 等人提出的超网络。 我们还在附录中包含了定量比较，这表明 NSVF 在两种情况下都优于所有基线。</w:t>
      </w:r>
    </w:p>
    <w:p>
      <w:pPr>
        <w:rPr>
          <w:rFonts w:hint="eastAsia"/>
          <w:lang w:val="en-US" w:eastAsia="zh-Hans"/>
        </w:rPr>
      </w:pPr>
    </w:p>
    <w:p>
      <w:pPr>
        <w:rPr>
          <w:rFonts w:hint="eastAsia"/>
          <w:lang w:val="en-US" w:eastAsia="zh-Hans"/>
        </w:rPr>
      </w:pPr>
      <w:r>
        <w:rPr>
          <w:rFonts w:hint="eastAsia"/>
          <w:b/>
          <w:bCs/>
          <w:lang w:val="en-US" w:eastAsia="zh-Hans"/>
        </w:rPr>
        <w:t>多场景学习</w:t>
      </w:r>
      <w:r>
        <w:rPr>
          <w:rFonts w:hint="eastAsia"/>
          <w:lang w:val="en-US" w:eastAsia="zh-Hans"/>
        </w:rPr>
        <w:t xml:space="preserve">。我们为来自 Synthetic-NeRF 的所有 8 个物体以及来自 Synthetic-NSVF 的 2 个附加物体（酒架、火车）训练了一个模型。 我们对每个场景使用不同的体素嵌入，但共享相同的 MLP 来预测密度和颜色。为了进行比较，我们基于hypernetwork（Ha 等人，2016 年）在相同的数据集上训练 NeRF 模型。 </w:t>
      </w:r>
      <w:r>
        <w:rPr>
          <w:rFonts w:hint="eastAsia"/>
          <w:b/>
          <w:bCs/>
          <w:lang w:val="en-US" w:eastAsia="zh-Hans"/>
        </w:rPr>
        <w:t>如果没有体素嵌入，NeRF 必须使用网络参数对所有场景细节进行编码</w:t>
      </w:r>
      <w:r>
        <w:rPr>
          <w:rFonts w:hint="eastAsia"/>
          <w:lang w:val="en-US" w:eastAsia="zh-Hans"/>
        </w:rPr>
        <w:t>，这导致与单个场景学习结果相比质量急剧下降。 表 2 表明我们的方法在多场景学习任务上明显优于 NeRF。</w:t>
      </w:r>
    </w:p>
    <w:p>
      <w:pPr>
        <w:jc w:val="center"/>
      </w:pPr>
      <w:r>
        <w:drawing>
          <wp:inline distT="0" distB="0" distL="114300" distR="114300">
            <wp:extent cx="1367155" cy="466725"/>
            <wp:effectExtent l="0" t="0" r="444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1367155" cy="466725"/>
                    </a:xfrm>
                    <a:prstGeom prst="rect">
                      <a:avLst/>
                    </a:prstGeom>
                    <a:noFill/>
                    <a:ln w="9525">
                      <a:noFill/>
                    </a:ln>
                  </pic:spPr>
                </pic:pic>
              </a:graphicData>
            </a:graphic>
          </wp:inline>
        </w:drawing>
      </w:r>
    </w:p>
    <w:p>
      <w:pPr>
        <w:jc w:val="left"/>
        <w:rPr>
          <w:rFonts w:hint="eastAsia"/>
          <w:lang w:val="en-US" w:eastAsia="zh-Hans"/>
        </w:rPr>
      </w:pPr>
      <w:r>
        <w:rPr>
          <w:rFonts w:hint="eastAsia"/>
          <w:b/>
          <w:bCs/>
          <w:lang w:val="en-US" w:eastAsia="zh-Hans"/>
        </w:rPr>
        <w:t>场景编辑和场景构成</w:t>
      </w:r>
      <w:r>
        <w:rPr>
          <w:rFonts w:hint="eastAsia"/>
          <w:lang w:val="en-US" w:eastAsia="zh-Hans"/>
        </w:rPr>
        <w:t>。如下图 6 所示，学习到的多对象模型可以很容易地通过复制和移动体素来组成更复杂的场景，并且可以在没有开销的情况下以相同的方式进行渲染。 此外，我们的方法还通过直接调整稀疏体素的存在来支持场景编辑（参见图 6 中酒架的重新组合）。</w:t>
      </w:r>
    </w:p>
    <w:p>
      <w:pPr>
        <w:jc w:val="center"/>
      </w:pPr>
      <w:r>
        <w:drawing>
          <wp:inline distT="0" distB="0" distL="114300" distR="114300">
            <wp:extent cx="2110105" cy="1219200"/>
            <wp:effectExtent l="0" t="0" r="2349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2110105" cy="1219200"/>
                    </a:xfrm>
                    <a:prstGeom prst="rect">
                      <a:avLst/>
                    </a:prstGeom>
                    <a:noFill/>
                    <a:ln w="9525">
                      <a:noFill/>
                    </a:ln>
                  </pic:spPr>
                </pic:pic>
              </a:graphicData>
            </a:graphic>
          </wp:inline>
        </w:drawing>
      </w:r>
    </w:p>
    <w:p>
      <w:pPr>
        <w:pStyle w:val="4"/>
        <w:bidi w:val="0"/>
        <w:rPr>
          <w:rFonts w:hint="eastAsia"/>
          <w:lang w:val="en-US" w:eastAsia="zh-Hans"/>
        </w:rPr>
      </w:pPr>
      <w:r>
        <w:t>A</w:t>
      </w:r>
      <w:r>
        <w:rPr>
          <w:rFonts w:hint="eastAsia"/>
          <w:lang w:val="en-US" w:eastAsia="zh-Hans"/>
        </w:rPr>
        <w:t>lbation</w:t>
      </w:r>
      <w:r>
        <w:rPr>
          <w:rFonts w:hint="default"/>
          <w:lang w:eastAsia="zh-Hans"/>
        </w:rPr>
        <w:t xml:space="preserve"> S</w:t>
      </w:r>
      <w:r>
        <w:rPr>
          <w:rFonts w:hint="eastAsia"/>
          <w:lang w:val="en-US" w:eastAsia="zh-Hans"/>
        </w:rPr>
        <w:t>tudies</w:t>
      </w:r>
    </w:p>
    <w:p>
      <w:pPr>
        <w:rPr>
          <w:rFonts w:hint="eastAsia"/>
          <w:lang w:eastAsia="zh-Hans"/>
        </w:rPr>
      </w:pPr>
      <w:r>
        <w:rPr>
          <w:rFonts w:hint="eastAsia"/>
          <w:lang w:eastAsia="zh-Hans"/>
        </w:rPr>
        <w:t>我们使用 Synthetic-NSVF 数据集中的一个对象（wineholder），该数据集由具有复杂局部模式（网格）的部分组成，用于消融研究。</w:t>
      </w:r>
    </w:p>
    <w:p>
      <w:pPr>
        <w:rPr>
          <w:rFonts w:hint="eastAsia"/>
          <w:lang w:eastAsia="zh-Hans"/>
        </w:rPr>
      </w:pPr>
    </w:p>
    <w:p>
      <w:pPr>
        <w:rPr>
          <w:rFonts w:hint="eastAsia"/>
          <w:lang w:eastAsia="zh-Hans"/>
        </w:rPr>
      </w:pPr>
      <w:r>
        <w:rPr>
          <w:rFonts w:hint="eastAsia"/>
          <w:b/>
          <w:bCs/>
          <w:lang w:eastAsia="zh-Hans"/>
        </w:rPr>
        <w:t>Effect of Voxel Representations</w:t>
      </w:r>
      <w:r>
        <w:rPr>
          <w:rFonts w:hint="default"/>
          <w:b/>
          <w:bCs/>
          <w:lang w:eastAsia="zh-Hans"/>
        </w:rPr>
        <w:t>(</w:t>
      </w:r>
      <w:r>
        <w:rPr>
          <w:rFonts w:hint="eastAsia"/>
          <w:b/>
          <w:bCs/>
          <w:lang w:val="en-US" w:eastAsia="zh-Hans"/>
        </w:rPr>
        <w:t>体素表示的影响</w:t>
      </w:r>
      <w:r>
        <w:rPr>
          <w:rFonts w:hint="default"/>
          <w:b/>
          <w:bCs/>
          <w:lang w:eastAsia="zh-Hans"/>
        </w:rPr>
        <w:t>)</w:t>
      </w:r>
      <w:r>
        <w:rPr>
          <w:rFonts w:hint="eastAsia"/>
          <w:lang w:eastAsia="zh-Hans"/>
        </w:rPr>
        <w:t>。</w:t>
      </w:r>
      <w:r>
        <w:rPr>
          <w:rFonts w:hint="eastAsia"/>
          <w:lang w:val="en-US" w:eastAsia="zh-Hans"/>
        </w:rPr>
        <w:t>下图 7 显示了用于编码空间位置的不同类型特征表示的比较（</w:t>
      </w:r>
      <w:r>
        <w:rPr>
          <w:rFonts w:hint="default"/>
          <w:lang w:eastAsia="zh-Hans"/>
        </w:rPr>
        <w:t>POS</w:t>
      </w:r>
      <w:r>
        <w:rPr>
          <w:rFonts w:hint="eastAsia"/>
          <w:lang w:val="en-US" w:eastAsia="zh-Hans"/>
        </w:rPr>
        <w:t xml:space="preserve"> 表示使用位置编码，</w:t>
      </w:r>
      <w:r>
        <w:rPr>
          <w:rFonts w:hint="default"/>
          <w:lang w:eastAsia="zh-Hans"/>
        </w:rPr>
        <w:t>EMB</w:t>
      </w:r>
      <w:r>
        <w:rPr>
          <w:rFonts w:hint="eastAsia"/>
          <w:lang w:val="en-US" w:eastAsia="zh-Hans"/>
        </w:rPr>
        <w:t xml:space="preserve"> 表示使用体素嵌入）。</w:t>
      </w:r>
      <w:r>
        <w:rPr>
          <w:rFonts w:hint="eastAsia"/>
          <w:b/>
          <w:bCs/>
          <w:lang w:val="en-US" w:eastAsia="zh-Hans"/>
        </w:rPr>
        <w:t xml:space="preserve"> 体素嵌入比使用位置编码带来了更大的质量改进</w:t>
      </w:r>
      <w:r>
        <w:rPr>
          <w:rFonts w:hint="eastAsia"/>
          <w:lang w:val="en-US" w:eastAsia="zh-Hans"/>
        </w:rPr>
        <w:t>。 此外，通过位置编码和体素嵌入，该模型实现了最佳质量，尤其是在恢复高频模式方面。</w:t>
      </w:r>
    </w:p>
    <w:p>
      <w:pPr>
        <w:jc w:val="center"/>
        <w:rPr>
          <w:rFonts w:hint="eastAsia"/>
          <w:lang w:eastAsia="zh-Hans"/>
        </w:rPr>
      </w:pPr>
      <w:r>
        <w:drawing>
          <wp:inline distT="0" distB="0" distL="114300" distR="114300">
            <wp:extent cx="3491230" cy="590550"/>
            <wp:effectExtent l="0" t="0" r="1397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3491230" cy="590550"/>
                    </a:xfrm>
                    <a:prstGeom prst="rect">
                      <a:avLst/>
                    </a:prstGeom>
                    <a:noFill/>
                    <a:ln w="9525">
                      <a:noFill/>
                    </a:ln>
                  </pic:spPr>
                </pic:pic>
              </a:graphicData>
            </a:graphic>
          </wp:inline>
        </w:drawing>
      </w:r>
    </w:p>
    <w:p>
      <w:pPr>
        <w:rPr>
          <w:rFonts w:hint="eastAsia"/>
          <w:lang w:eastAsia="zh-Hans"/>
        </w:rPr>
      </w:pPr>
      <w:r>
        <w:rPr>
          <w:rFonts w:hint="eastAsia"/>
          <w:b/>
          <w:bCs/>
          <w:lang w:eastAsia="zh-Hans"/>
        </w:rPr>
        <w:t>Effect of Progressive Training</w:t>
      </w:r>
      <w:r>
        <w:rPr>
          <w:rFonts w:hint="eastAsia"/>
          <w:lang w:eastAsia="zh-Hans"/>
        </w:rPr>
        <w:t>。我们还研究了渐进式训练的不同选项（见</w:t>
      </w:r>
      <w:r>
        <w:rPr>
          <w:rFonts w:hint="eastAsia"/>
          <w:lang w:val="en-US" w:eastAsia="zh-Hans"/>
        </w:rPr>
        <w:t>下</w:t>
      </w:r>
      <w:r>
        <w:rPr>
          <w:rFonts w:hint="eastAsia"/>
          <w:lang w:eastAsia="zh-Hans"/>
        </w:rPr>
        <w:t xml:space="preserve">表 3）。 请注意，所有模型都仅使用体素嵌入进行训练。 </w:t>
      </w:r>
      <w:r>
        <w:rPr>
          <w:rFonts w:hint="eastAsia"/>
          <w:b/>
          <w:bCs/>
          <w:lang w:eastAsia="zh-Hans"/>
        </w:rPr>
        <w:t>通过更多轮渐进式训练，性能得到改善。 但是经过一定的轮数后，随着渲染时间的增加，质量只会缓慢提高</w:t>
      </w:r>
      <w:r>
        <w:rPr>
          <w:rFonts w:hint="eastAsia"/>
          <w:lang w:eastAsia="zh-Hans"/>
        </w:rPr>
        <w:t>。 基于这一观察，我们的模型在实验中进行了 3-4 轮渐进式训练。</w:t>
      </w:r>
    </w:p>
    <w:p>
      <w:pPr>
        <w:jc w:val="center"/>
      </w:pPr>
      <w:r>
        <w:drawing>
          <wp:inline distT="0" distB="0" distL="114300" distR="114300">
            <wp:extent cx="1576705" cy="647700"/>
            <wp:effectExtent l="0" t="0" r="23495"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1576705" cy="647700"/>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相关工作</w:t>
      </w:r>
    </w:p>
    <w:p>
      <w:pPr>
        <w:rPr>
          <w:rFonts w:hint="eastAsia"/>
          <w:lang w:val="en-US" w:eastAsia="zh-Hans"/>
        </w:rPr>
      </w:pPr>
      <w:r>
        <w:rPr>
          <w:rFonts w:hint="eastAsia"/>
          <w:b/>
          <w:bCs/>
          <w:lang w:val="en-US" w:eastAsia="zh-Hans"/>
        </w:rPr>
        <w:t>神经渲染</w:t>
      </w:r>
      <w:r>
        <w:rPr>
          <w:rFonts w:hint="eastAsia"/>
          <w:lang w:val="en-US" w:eastAsia="zh-Hans"/>
        </w:rPr>
        <w:t>。最近的工作通过用神经网络替换或增强传统的图形渲染（通常称为神经渲染）显示了令人印象深刻的结果。 我们向读者推荐最近关于神经渲染的调查（Tewari 等人，2020 年；Kato 等人，2020 年）。</w:t>
      </w:r>
    </w:p>
    <w:p>
      <w:pPr>
        <w:numPr>
          <w:ilvl w:val="0"/>
          <w:numId w:val="3"/>
        </w:numPr>
        <w:ind w:left="420" w:leftChars="0" w:hanging="420" w:firstLineChars="0"/>
        <w:rPr>
          <w:rFonts w:hint="eastAsia"/>
          <w:lang w:val="en-US" w:eastAsia="zh-Hans"/>
        </w:rPr>
      </w:pPr>
      <w:r>
        <w:rPr>
          <w:rFonts w:hint="eastAsia"/>
          <w:b/>
          <w:bCs/>
          <w:lang w:val="en-US" w:eastAsia="zh-Hans"/>
        </w:rPr>
        <w:t>带有 3D 输入的新视角合成</w:t>
      </w:r>
      <w:r>
        <w:rPr>
          <w:rFonts w:hint="eastAsia"/>
          <w:lang w:val="en-US" w:eastAsia="zh-Hans"/>
        </w:rPr>
        <w:t>：DeepBlending（Hedman 等人，2018 年）在几何代理上基于图像的渲染预测混合权重。 其他方法（Thies et al., 2019; Kim et al., 2018; Liu et al., 2019a, 2020; Meshry et al., 2019; Martin Brualla et al., 2018; Aliev et al., 2019）首先将给定的具有显式或神经纹理的几何图形渲染为粗略的 RGB 图像或特征图，然后将其转换为高质量图像。 但是，</w:t>
      </w:r>
      <w:r>
        <w:rPr>
          <w:rFonts w:hint="eastAsia"/>
          <w:b/>
          <w:bCs/>
          <w:lang w:val="en-US" w:eastAsia="zh-Hans"/>
        </w:rPr>
        <w:t>这些作品需要 3D 几何体作为输入，并且性能会受到几何体质量的影响</w:t>
      </w:r>
      <w:r>
        <w:rPr>
          <w:rFonts w:hint="eastAsia"/>
          <w:lang w:val="en-US" w:eastAsia="zh-Hans"/>
        </w:rPr>
        <w:t xml:space="preserve">。 </w:t>
      </w:r>
    </w:p>
    <w:p>
      <w:pPr>
        <w:numPr>
          <w:ilvl w:val="0"/>
          <w:numId w:val="3"/>
        </w:numPr>
        <w:ind w:left="420" w:leftChars="0" w:hanging="420" w:firstLineChars="0"/>
        <w:rPr>
          <w:rFonts w:hint="eastAsia"/>
          <w:lang w:val="en-US" w:eastAsia="zh-Hans"/>
        </w:rPr>
      </w:pPr>
      <w:r>
        <w:rPr>
          <w:rFonts w:hint="eastAsia"/>
          <w:b/>
          <w:bCs/>
          <w:lang w:val="en-US" w:eastAsia="zh-Hans"/>
        </w:rPr>
        <w:t>不带有 3</w:t>
      </w:r>
      <w:r>
        <w:rPr>
          <w:rFonts w:hint="default"/>
          <w:b/>
          <w:bCs/>
          <w:lang w:eastAsia="zh-Hans"/>
        </w:rPr>
        <w:t>D</w:t>
      </w:r>
      <w:r>
        <w:rPr>
          <w:rFonts w:hint="eastAsia"/>
          <w:b/>
          <w:bCs/>
          <w:lang w:val="en-US" w:eastAsia="zh-Hans"/>
        </w:rPr>
        <w:t xml:space="preserve"> 输入的新视角合成</w:t>
      </w:r>
      <w:r>
        <w:rPr>
          <w:rFonts w:hint="eastAsia"/>
          <w:lang w:val="en-US" w:eastAsia="zh-Hans"/>
        </w:rPr>
        <w:t>：其他方法从 2D 图像学习新视角合成的场景表示。 生成查询网络 (GQN)（Eslami 等人，2018 年）学习 3D 场景的矢量化嵌入，并从新视角中对其进行渲染。 然而，</w:t>
      </w:r>
      <w:r>
        <w:rPr>
          <w:rFonts w:hint="eastAsia"/>
          <w:b/>
          <w:bCs/>
          <w:lang w:val="en-US" w:eastAsia="zh-Hans"/>
        </w:rPr>
        <w:t>它们不像 NSVF 那样明确地学习几何场景结构，并且它们的渲染相当粗糙</w:t>
      </w:r>
      <w:r>
        <w:rPr>
          <w:rFonts w:hint="eastAsia"/>
          <w:lang w:val="en-US" w:eastAsia="zh-Hans"/>
        </w:rPr>
        <w:t>。 后续工作学习了更多 3D 结构感知表示和伴随的渲染器（Flynn 等人，2016 年；Zhou 等人，2018 年；Mildenhall 等人，2019 年），以多平面图像 (MPI) 作为代理，仅渲染受限制的 插入输入视图的新颖视图范围。 阮福等。 (2018, 2019); 刘等人。 (2019c) 使用基于 CNN 的解码器进行可微渲染以渲染表示为粗粒度体素网格的场景。 然而，由于 2D 卷积核，这种基于 CNN 的解码器无法确保视图一致性。</w:t>
      </w:r>
    </w:p>
    <w:p>
      <w:pPr>
        <w:rPr>
          <w:rFonts w:hint="eastAsia"/>
          <w:lang w:val="en-US" w:eastAsia="zh-Hans"/>
        </w:rPr>
      </w:pPr>
    </w:p>
    <w:p>
      <w:pPr>
        <w:rPr>
          <w:rFonts w:hint="eastAsia"/>
          <w:lang w:val="en-US" w:eastAsia="zh-Hans"/>
        </w:rPr>
      </w:pPr>
      <w:r>
        <w:rPr>
          <w:rFonts w:hint="eastAsia"/>
          <w:b/>
          <w:bCs/>
          <w:lang w:val="en-US" w:eastAsia="zh-Hans"/>
        </w:rPr>
        <w:t>神经隐式表示</w:t>
      </w:r>
      <w:r>
        <w:rPr>
          <w:rFonts w:hint="eastAsia"/>
          <w:lang w:val="en-US" w:eastAsia="zh-Hans"/>
        </w:rPr>
        <w:t>。已经有相关研究工作使用隐式表示来使用神经网络对 3D 几何进行建模。 与显式表示（如点云、网格、体素）相比，</w:t>
      </w:r>
      <w:r>
        <w:rPr>
          <w:rFonts w:hint="eastAsia"/>
          <w:b/>
          <w:bCs/>
          <w:lang w:val="en-US" w:eastAsia="zh-Hans"/>
        </w:rPr>
        <w:t>隐式表示是连续的并且具有高空间分辨率</w:t>
      </w:r>
      <w:r>
        <w:rPr>
          <w:rFonts w:hint="eastAsia"/>
          <w:lang w:val="en-US" w:eastAsia="zh-Hans"/>
        </w:rPr>
        <w:t>。 大多数作品在训练期间</w:t>
      </w:r>
      <w:r>
        <w:rPr>
          <w:rFonts w:hint="eastAsia"/>
          <w:b/>
          <w:bCs/>
          <w:lang w:val="en-US" w:eastAsia="zh-Hans"/>
        </w:rPr>
        <w:t>需要 3D 监督</w:t>
      </w:r>
      <w:r>
        <w:rPr>
          <w:rFonts w:hint="eastAsia"/>
          <w:lang w:val="en-US" w:eastAsia="zh-Hans"/>
        </w:rPr>
        <w:t>来推断任何 3D 点的 SDF 值或占用概率（Michalkiewicz 等人，2019 年；Mescheder 等人，2019 年；Chen 和 Zhang，2019 年；Park 等人，2019 年； Peng 等，2020），而其他作品仅从具有可微渲染器的图像中学习 3D 表示（Liu 等，2019d；Saito 等，2019，2020；Niemeyer 等，2019；Jiang 等，2020 ）。</w:t>
      </w: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限制和未来的工作</w:t>
      </w:r>
    </w:p>
    <w:p>
      <w:pPr>
        <w:rPr>
          <w:rFonts w:hint="eastAsia"/>
          <w:lang w:val="en-US" w:eastAsia="zh-Hans"/>
        </w:rPr>
      </w:pPr>
      <w:r>
        <w:rPr>
          <w:rFonts w:hint="eastAsia"/>
          <w:lang w:val="en-US" w:eastAsia="zh-Hans"/>
        </w:rPr>
        <w:t>尽管 NSVF 可以有效地生成高质量的新视角并显着优于现有方法，但存在三个主要限制：</w:t>
      </w:r>
    </w:p>
    <w:p>
      <w:pPr>
        <w:rPr>
          <w:rFonts w:hint="eastAsia"/>
          <w:lang w:val="en-US" w:eastAsia="zh-Hans"/>
        </w:rPr>
      </w:pPr>
    </w:p>
    <w:p>
      <w:pPr>
        <w:rPr>
          <w:rFonts w:hint="eastAsia"/>
          <w:lang w:val="en-US" w:eastAsia="zh-Hans"/>
        </w:rPr>
      </w:pPr>
      <w:r>
        <w:rPr>
          <w:rFonts w:hint="eastAsia"/>
          <w:lang w:val="en-US" w:eastAsia="zh-Hans"/>
        </w:rPr>
        <w:t>(i) 我们的方法无法处理背景复杂的场景。我们假设一个简单的常数背景项 (</w:t>
      </w:r>
      <m:oMath>
        <m:sSub>
          <m:sSubPr>
            <m:ctrlPr>
              <w:rPr>
                <w:rFonts w:ascii="Cambria Math" w:hAnsi="Cambria Math"/>
                <w:i/>
                <w:lang w:val="en-US"/>
              </w:rPr>
            </m:ctrlPr>
          </m:sSubPr>
          <m:e>
            <m:r>
              <m:rPr/>
              <w:rPr>
                <w:rFonts w:ascii="Cambria Math" w:hAnsi="Cambria Math"/>
                <w:lang w:val="en-US"/>
              </w:rPr>
              <m:t>c</m:t>
            </m:r>
            <m:ctrlPr>
              <w:rPr>
                <w:rFonts w:ascii="Cambria Math" w:hAnsi="Cambria Math"/>
                <w:i/>
                <w:lang w:val="en-US"/>
              </w:rPr>
            </m:ctrlPr>
          </m:e>
          <m:sub>
            <m:r>
              <m:rPr/>
              <w:rPr>
                <w:rFonts w:ascii="Cambria Math" w:hAnsi="Cambria Math"/>
                <w:lang w:val="en-US"/>
              </w:rPr>
              <m:t>bg</m:t>
            </m:r>
            <m:ctrlPr>
              <w:rPr>
                <w:rFonts w:ascii="Cambria Math" w:hAnsi="Cambria Math"/>
                <w:i/>
                <w:lang w:val="en-US"/>
              </w:rPr>
            </m:ctrlPr>
          </m:sub>
        </m:sSub>
      </m:oMath>
      <w:r>
        <w:rPr>
          <w:rFonts w:hint="eastAsia"/>
          <w:lang w:val="en-US" w:eastAsia="zh-Hans"/>
        </w:rPr>
        <w:t>)。但是，从不同的角度观看真实场景时，通常会有不同的背景。这使得在不干扰目标场景学习的情况下正确捕捉它们的效果变得具有挑战性。</w:t>
      </w:r>
    </w:p>
    <w:p>
      <w:pPr>
        <w:rPr>
          <w:rFonts w:hint="eastAsia"/>
          <w:lang w:val="en-US" w:eastAsia="zh-Hans"/>
        </w:rPr>
      </w:pPr>
    </w:p>
    <w:p>
      <w:pPr>
        <w:rPr>
          <w:rFonts w:hint="eastAsia"/>
          <w:lang w:val="en-US" w:eastAsia="zh-Hans"/>
        </w:rPr>
      </w:pPr>
      <w:r>
        <w:rPr>
          <w:rFonts w:hint="eastAsia"/>
          <w:lang w:val="en-US" w:eastAsia="zh-Hans"/>
        </w:rPr>
        <w:t>(ii) 我们在所有实验中将自我修剪的阈值设置为 0.5。虽然这对一般场景很有效，但如果阈值设置不正确，对于非常薄的结构可能会发生不正确的修剪。</w:t>
      </w:r>
    </w:p>
    <w:p>
      <w:pPr>
        <w:rPr>
          <w:rFonts w:hint="eastAsia"/>
          <w:lang w:val="en-US" w:eastAsia="zh-Hans"/>
        </w:rPr>
      </w:pPr>
    </w:p>
    <w:p>
      <w:pPr>
        <w:rPr>
          <w:rFonts w:hint="eastAsia"/>
          <w:lang w:val="en-US" w:eastAsia="zh-Hans"/>
        </w:rPr>
      </w:pPr>
      <w:r>
        <w:rPr>
          <w:rFonts w:hint="eastAsia"/>
          <w:lang w:val="en-US" w:eastAsia="zh-Hans"/>
        </w:rPr>
        <w:t>(iii) 类似于 Sitzmann 等人。 (2019b);米尔登霍尔等人。 (2020)，NSVF 学习颜色和密度作为查询点位置和相机光线方向的“黑箱”函数。因此，渲染性能高度依赖于训练图像的分布，当训练数据不足以预测复杂的几何、材料和光照效果时，可能会产生严重的伪影（见下图 14，玻璃瓶上的折射没有学习）正确）。未来一个可能的方向是将传统的辐射和渲染方程作为物理归纳偏置纳入神经渲染框架。这可以潜在地提高神经网络模型的鲁棒性和泛化能力。</w:t>
      </w:r>
    </w:p>
    <w:p>
      <w:pPr>
        <w:jc w:val="center"/>
      </w:pPr>
      <w:r>
        <w:drawing>
          <wp:inline distT="0" distB="0" distL="114300" distR="114300">
            <wp:extent cx="2205355" cy="881380"/>
            <wp:effectExtent l="0" t="0" r="4445"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4"/>
                    <a:stretch>
                      <a:fillRect/>
                    </a:stretch>
                  </pic:blipFill>
                  <pic:spPr>
                    <a:xfrm>
                      <a:off x="0" y="0"/>
                      <a:ext cx="2205355" cy="881380"/>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(iv) 当前的学习范式需要已知的相机姿势作为输入来初始化光线及其方向。 对于真实世界的图像，目前没有处理相机校准中不可避免的错误的机制。 当我们的目标数据由多个对象的单视图图像组成时，在实际应用中获得准确配准的姿态就更加困难。 未来研究的一个有前途的途径是使用无监督技术，如 GAN（Nguyen-Phuoc 等人，2019）同时预测相机姿势以获得高质量的自由视角渲染结果。</w:t>
      </w:r>
    </w:p>
    <w:p>
      <w:pPr>
        <w:rPr>
          <w:rFonts w:hint="eastAsia"/>
          <w:lang w:val="en-US" w:eastAsia="zh-Hans"/>
        </w:rPr>
      </w:pPr>
    </w:p>
    <w:p>
      <w:pPr>
        <w:pStyle w:val="3"/>
        <w:bidi w:val="0"/>
        <w:rPr>
          <w:rFonts w:hint="eastAsia"/>
          <w:lang w:val="en-US" w:eastAsia="zh-Hans"/>
        </w:rPr>
      </w:pPr>
      <w:r>
        <w:rPr>
          <w:rFonts w:hint="eastAsia"/>
          <w:lang w:val="en-US" w:eastAsia="zh-Hans"/>
        </w:rPr>
        <w:t>结论</w:t>
      </w:r>
    </w:p>
    <w:p>
      <w:pPr>
        <w:rPr>
          <w:rFonts w:hint="eastAsia"/>
          <w:lang w:val="en-US" w:eastAsia="zh-Hans"/>
        </w:rPr>
      </w:pPr>
      <w:r>
        <w:rPr>
          <w:rFonts w:hint="eastAsia"/>
          <w:lang w:val="en-US" w:eastAsia="zh-Hans"/>
        </w:rPr>
        <w:t>我们提出了 NSVF，一种用于快速和高质量自由视角渲染的混合神经场景表示。 大量实验表明，NSVF 通常比最先进的技术（即 NeRF）快 10 倍以上，同时还能实现更好的质量。 NSVF 可以轻松应用于场景编辑和合成。 我们还演示了各种具有挑战性的任务，包括多场景学习、移动人的自由视角渲染和大规模场景渲染。</w:t>
      </w:r>
    </w:p>
    <w:p>
      <w:pPr>
        <w:rPr>
          <w:rFonts w:hint="eastAsia"/>
          <w:lang w:val="en-US" w:eastAsia="zh-Hans"/>
        </w:rPr>
      </w:pPr>
    </w:p>
    <w:p>
      <w:pPr>
        <w:pStyle w:val="3"/>
        <w:bidi w:val="0"/>
        <w:rPr>
          <w:rFonts w:hint="eastAsia"/>
          <w:lang w:val="en-US" w:eastAsia="zh-Hans"/>
        </w:rPr>
      </w:pPr>
      <w:r>
        <w:rPr>
          <w:rFonts w:hint="eastAsia"/>
          <w:lang w:val="en-US" w:eastAsia="zh-Hans"/>
        </w:rPr>
        <w:t>Broader Impact</w:t>
      </w:r>
    </w:p>
    <w:p>
      <w:pPr>
        <w:rPr>
          <w:rFonts w:hint="eastAsia"/>
          <w:lang w:val="en-US" w:eastAsia="zh-Hans"/>
        </w:rPr>
      </w:pPr>
      <w:r>
        <w:rPr>
          <w:rFonts w:hint="eastAsia"/>
          <w:lang w:val="en-US" w:eastAsia="zh-Hans"/>
        </w:rPr>
        <w:t>NSVF 提供了一种从图像中学习神经隐式场景表示的新方法，能够更好地将网络容量分配给场景的相关部分。通过这种方式，它可以比以前的方法更详细地学习大规模场景的表示，这也导致渲染图像的视觉质量更高。此外，所提出的表示比现有技术的渲染速度要快得多，并且可以更方便地进行场景编辑和合成。这种从图像进行 3D 场景建模和渲染的新方法补充并部分改进了已建立的计算机图形概念，并在许多应用中开辟了新的可能性，例如混合现实、视觉效果和计算机视觉任务的训练数据生成。同时，它展示了学习在其他领域具有潜在相关性的空间感知场景表示的新方法，例如目标场景理解、目标识别、机器人导航或基于图像重建的训练数据生成。</w:t>
      </w:r>
    </w:p>
    <w:p>
      <w:pPr>
        <w:rPr>
          <w:rFonts w:hint="eastAsia"/>
          <w:lang w:val="en-US" w:eastAsia="zh-Hans"/>
        </w:rPr>
      </w:pPr>
    </w:p>
    <w:p>
      <w:pPr>
        <w:rPr>
          <w:rFonts w:hint="eastAsia"/>
          <w:lang w:val="en-US" w:eastAsia="zh-Hans"/>
        </w:rPr>
      </w:pPr>
      <w:r>
        <w:rPr>
          <w:rFonts w:hint="eastAsia"/>
          <w:lang w:val="en-US" w:eastAsia="zh-Hans"/>
        </w:rPr>
        <w:t>仅从 2D 图像中以非常高的视觉保真度捕获和重新渲染真实世界场景模型的能力，也使得在场景中重建和重新渲染人类成为可能。因此，任何对此以及所有相关重建方法的研究和实际应用都必须严格尊重人格权和隐私规定。</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Songti SC Regular">
    <w:panose1 w:val="02010800040101010101"/>
    <w:charset w:val="86"/>
    <w:family w:val="auto"/>
    <w:pitch w:val="default"/>
    <w:sig w:usb0="00000001" w:usb1="080F0000" w:usb2="00000000" w:usb3="00000000" w:csb0="00040000" w:csb1="00000000"/>
  </w:font>
  <w:font w:name="Tamil MN Regular">
    <w:panose1 w:val="00000500000000000000"/>
    <w:charset w:val="00"/>
    <w:family w:val="auto"/>
    <w:pitch w:val="default"/>
    <w:sig w:usb0="00100001" w:usb1="0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MMI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MIB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CMEX10">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NimbusRomNo9L-ReguIt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C76C"/>
    <w:multiLevelType w:val="singleLevel"/>
    <w:tmpl w:val="61B5C76C"/>
    <w:lvl w:ilvl="0" w:tentative="0">
      <w:start w:val="1"/>
      <w:numFmt w:val="bullet"/>
      <w:lvlText w:val=""/>
      <w:lvlJc w:val="left"/>
      <w:pPr>
        <w:ind w:left="420" w:leftChars="0" w:hanging="420" w:firstLineChars="0"/>
      </w:pPr>
      <w:rPr>
        <w:rFonts w:hint="default" w:ascii="Wingdings" w:hAnsi="Wingdings"/>
      </w:rPr>
    </w:lvl>
  </w:abstractNum>
  <w:abstractNum w:abstractNumId="1">
    <w:nsid w:val="61B5FC05"/>
    <w:multiLevelType w:val="singleLevel"/>
    <w:tmpl w:val="61B5FC05"/>
    <w:lvl w:ilvl="0" w:tentative="0">
      <w:start w:val="1"/>
      <w:numFmt w:val="decimal"/>
      <w:suff w:val="space"/>
      <w:lvlText w:val="(%1)"/>
      <w:lvlJc w:val="left"/>
    </w:lvl>
  </w:abstractNum>
  <w:abstractNum w:abstractNumId="2">
    <w:nsid w:val="61B5FCDD"/>
    <w:multiLevelType w:val="singleLevel"/>
    <w:tmpl w:val="61B5FCD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C5BD8"/>
    <w:rsid w:val="04F3D227"/>
    <w:rsid w:val="097D3A43"/>
    <w:rsid w:val="09FB7FFE"/>
    <w:rsid w:val="0BAE3F42"/>
    <w:rsid w:val="0E76F765"/>
    <w:rsid w:val="0FF778C2"/>
    <w:rsid w:val="135E418F"/>
    <w:rsid w:val="16FCBD6C"/>
    <w:rsid w:val="17BE9EDA"/>
    <w:rsid w:val="1A5B949E"/>
    <w:rsid w:val="1A7B2590"/>
    <w:rsid w:val="1AEF4E91"/>
    <w:rsid w:val="1D6FD4A3"/>
    <w:rsid w:val="1EBE1FF1"/>
    <w:rsid w:val="1EEBA538"/>
    <w:rsid w:val="1F75B9CC"/>
    <w:rsid w:val="1FFFE390"/>
    <w:rsid w:val="21AFCD0D"/>
    <w:rsid w:val="21FD780F"/>
    <w:rsid w:val="27BD02D9"/>
    <w:rsid w:val="29DFA85F"/>
    <w:rsid w:val="2D64F184"/>
    <w:rsid w:val="2E7F47D2"/>
    <w:rsid w:val="2ED77D1D"/>
    <w:rsid w:val="2FF33A24"/>
    <w:rsid w:val="2FF78302"/>
    <w:rsid w:val="2FFF8D14"/>
    <w:rsid w:val="35CFDFB9"/>
    <w:rsid w:val="36BF1F3E"/>
    <w:rsid w:val="36BFB94C"/>
    <w:rsid w:val="377ED625"/>
    <w:rsid w:val="37BB4018"/>
    <w:rsid w:val="37F9C4F2"/>
    <w:rsid w:val="3A59A1F9"/>
    <w:rsid w:val="3ACF2982"/>
    <w:rsid w:val="3ADE3108"/>
    <w:rsid w:val="3B5FCB48"/>
    <w:rsid w:val="3BDFC202"/>
    <w:rsid w:val="3BF3BFFF"/>
    <w:rsid w:val="3CF73DBC"/>
    <w:rsid w:val="3DDEF56E"/>
    <w:rsid w:val="3F1FF331"/>
    <w:rsid w:val="3F3DC8D1"/>
    <w:rsid w:val="3F3F80FC"/>
    <w:rsid w:val="3F7BFCBA"/>
    <w:rsid w:val="3FBFECA4"/>
    <w:rsid w:val="436FC526"/>
    <w:rsid w:val="46F92D54"/>
    <w:rsid w:val="4F7DB536"/>
    <w:rsid w:val="55EB1D90"/>
    <w:rsid w:val="57DED64C"/>
    <w:rsid w:val="58D938EF"/>
    <w:rsid w:val="5B7FD2E3"/>
    <w:rsid w:val="5CAF5491"/>
    <w:rsid w:val="5DEB3DAD"/>
    <w:rsid w:val="5ED72CFE"/>
    <w:rsid w:val="5EFDE63A"/>
    <w:rsid w:val="5EFFD47F"/>
    <w:rsid w:val="5F3239C6"/>
    <w:rsid w:val="5F3D284B"/>
    <w:rsid w:val="5F7DFDFD"/>
    <w:rsid w:val="5F7F0EBC"/>
    <w:rsid w:val="5FDC15E0"/>
    <w:rsid w:val="5FDFC8C6"/>
    <w:rsid w:val="6377F107"/>
    <w:rsid w:val="63C88835"/>
    <w:rsid w:val="63FF359A"/>
    <w:rsid w:val="64FBB635"/>
    <w:rsid w:val="674F7E13"/>
    <w:rsid w:val="693751DC"/>
    <w:rsid w:val="6A79B602"/>
    <w:rsid w:val="6CFC01B8"/>
    <w:rsid w:val="6EFE0A65"/>
    <w:rsid w:val="6F9F6DDE"/>
    <w:rsid w:val="6F9F79EE"/>
    <w:rsid w:val="6FAFCD25"/>
    <w:rsid w:val="6FBD2916"/>
    <w:rsid w:val="6FBF93B7"/>
    <w:rsid w:val="6FDB2B34"/>
    <w:rsid w:val="6FDE0EDB"/>
    <w:rsid w:val="6FF77CB4"/>
    <w:rsid w:val="6FFFC205"/>
    <w:rsid w:val="739D1633"/>
    <w:rsid w:val="75FB5A26"/>
    <w:rsid w:val="76AD3C3A"/>
    <w:rsid w:val="777DF9D4"/>
    <w:rsid w:val="777FB1D4"/>
    <w:rsid w:val="77D61EB1"/>
    <w:rsid w:val="77DF5B0E"/>
    <w:rsid w:val="77FCB3AA"/>
    <w:rsid w:val="797F05C6"/>
    <w:rsid w:val="7AAFC36D"/>
    <w:rsid w:val="7AFBD2CF"/>
    <w:rsid w:val="7BB34584"/>
    <w:rsid w:val="7BBFEDC9"/>
    <w:rsid w:val="7BDFEFDB"/>
    <w:rsid w:val="7BFC17C0"/>
    <w:rsid w:val="7BFE9214"/>
    <w:rsid w:val="7C2D41D5"/>
    <w:rsid w:val="7CAD4F42"/>
    <w:rsid w:val="7CED2562"/>
    <w:rsid w:val="7D978276"/>
    <w:rsid w:val="7DB3A444"/>
    <w:rsid w:val="7DBB23E7"/>
    <w:rsid w:val="7DBB2B71"/>
    <w:rsid w:val="7DEF82A2"/>
    <w:rsid w:val="7EA96E7F"/>
    <w:rsid w:val="7EBE77B9"/>
    <w:rsid w:val="7ECE6170"/>
    <w:rsid w:val="7EEC0D15"/>
    <w:rsid w:val="7EEFDE6B"/>
    <w:rsid w:val="7EFC0062"/>
    <w:rsid w:val="7EFD88C9"/>
    <w:rsid w:val="7EFFECE7"/>
    <w:rsid w:val="7F3BE879"/>
    <w:rsid w:val="7F521184"/>
    <w:rsid w:val="7F67CAE6"/>
    <w:rsid w:val="7F7E3130"/>
    <w:rsid w:val="7F7EB11D"/>
    <w:rsid w:val="7F7F61BA"/>
    <w:rsid w:val="7F8777EC"/>
    <w:rsid w:val="7F972CFE"/>
    <w:rsid w:val="7F9F9AC2"/>
    <w:rsid w:val="7F9FC5F4"/>
    <w:rsid w:val="7FBD5568"/>
    <w:rsid w:val="7FC7A6A2"/>
    <w:rsid w:val="7FDCAB87"/>
    <w:rsid w:val="7FEAB8EA"/>
    <w:rsid w:val="7FEF0565"/>
    <w:rsid w:val="7FF3F790"/>
    <w:rsid w:val="7FF8AD39"/>
    <w:rsid w:val="7FFBB954"/>
    <w:rsid w:val="7FFBE962"/>
    <w:rsid w:val="7FFF17A5"/>
    <w:rsid w:val="7FFF3AD4"/>
    <w:rsid w:val="828CCFE4"/>
    <w:rsid w:val="8FDDC571"/>
    <w:rsid w:val="96DF542A"/>
    <w:rsid w:val="97FF7F70"/>
    <w:rsid w:val="9BBE5726"/>
    <w:rsid w:val="9FCB15D6"/>
    <w:rsid w:val="9FFE50FF"/>
    <w:rsid w:val="AB7F063D"/>
    <w:rsid w:val="AE7E7B3C"/>
    <w:rsid w:val="AFA785D2"/>
    <w:rsid w:val="AFC2D0C2"/>
    <w:rsid w:val="B3F7DBC9"/>
    <w:rsid w:val="B4DB5285"/>
    <w:rsid w:val="B7B92F1B"/>
    <w:rsid w:val="B7EF33F7"/>
    <w:rsid w:val="B7FD89A1"/>
    <w:rsid w:val="B8D9B1D3"/>
    <w:rsid w:val="B9BFCDD6"/>
    <w:rsid w:val="BA7F8C66"/>
    <w:rsid w:val="BAF6F28F"/>
    <w:rsid w:val="BBBEC29C"/>
    <w:rsid w:val="BBFEED36"/>
    <w:rsid w:val="BDD9B475"/>
    <w:rsid w:val="BEFD590D"/>
    <w:rsid w:val="BF771F5F"/>
    <w:rsid w:val="BF7E6162"/>
    <w:rsid w:val="BFB8013E"/>
    <w:rsid w:val="BFBF5761"/>
    <w:rsid w:val="BFE23B94"/>
    <w:rsid w:val="BFFF2E1A"/>
    <w:rsid w:val="C9FE6E84"/>
    <w:rsid w:val="CB3FAE5D"/>
    <w:rsid w:val="CBED698D"/>
    <w:rsid w:val="CFEE498D"/>
    <w:rsid w:val="D4BFDA43"/>
    <w:rsid w:val="D7E320A2"/>
    <w:rsid w:val="D7FA8FB1"/>
    <w:rsid w:val="D977B042"/>
    <w:rsid w:val="DBF99F4A"/>
    <w:rsid w:val="DBFFE907"/>
    <w:rsid w:val="DD7FB29D"/>
    <w:rsid w:val="DEBDD1F7"/>
    <w:rsid w:val="DF211A44"/>
    <w:rsid w:val="DF6FD20B"/>
    <w:rsid w:val="DF9DBC95"/>
    <w:rsid w:val="DFE7E8FF"/>
    <w:rsid w:val="DFF53B9D"/>
    <w:rsid w:val="DFF8B71D"/>
    <w:rsid w:val="DFFB391C"/>
    <w:rsid w:val="DFFE5131"/>
    <w:rsid w:val="DFFEE9B1"/>
    <w:rsid w:val="E1FFFD2A"/>
    <w:rsid w:val="E3B7ABFE"/>
    <w:rsid w:val="E4573431"/>
    <w:rsid w:val="E5BF6EDE"/>
    <w:rsid w:val="E75B1E6D"/>
    <w:rsid w:val="E77305B4"/>
    <w:rsid w:val="E77D229D"/>
    <w:rsid w:val="EABEF3CE"/>
    <w:rsid w:val="EC799E48"/>
    <w:rsid w:val="ECD78891"/>
    <w:rsid w:val="ECFAEA52"/>
    <w:rsid w:val="EDE96FCC"/>
    <w:rsid w:val="EDF5D622"/>
    <w:rsid w:val="EEAFBDAD"/>
    <w:rsid w:val="EEBF04EB"/>
    <w:rsid w:val="EEF72243"/>
    <w:rsid w:val="EF6DC810"/>
    <w:rsid w:val="EF6F5E9D"/>
    <w:rsid w:val="EFBBD342"/>
    <w:rsid w:val="EFE7CB09"/>
    <w:rsid w:val="EFFC5BD8"/>
    <w:rsid w:val="EFFF1D60"/>
    <w:rsid w:val="EFFFCCEC"/>
    <w:rsid w:val="F17FA236"/>
    <w:rsid w:val="F2A3665B"/>
    <w:rsid w:val="F3D53D4D"/>
    <w:rsid w:val="F3FFBB68"/>
    <w:rsid w:val="F6DD7E93"/>
    <w:rsid w:val="F6EF2374"/>
    <w:rsid w:val="F6FF239E"/>
    <w:rsid w:val="F74F6A02"/>
    <w:rsid w:val="F7654BD2"/>
    <w:rsid w:val="F7DAA7FF"/>
    <w:rsid w:val="F7F6F74D"/>
    <w:rsid w:val="F7F700FC"/>
    <w:rsid w:val="F7FAE1F9"/>
    <w:rsid w:val="FABFA26C"/>
    <w:rsid w:val="FAF7C001"/>
    <w:rsid w:val="FB1E2138"/>
    <w:rsid w:val="FB3FF1B2"/>
    <w:rsid w:val="FBAF821B"/>
    <w:rsid w:val="FBCFAED3"/>
    <w:rsid w:val="FBDD0D01"/>
    <w:rsid w:val="FBE7E99A"/>
    <w:rsid w:val="FBF5C928"/>
    <w:rsid w:val="FBFDAEA7"/>
    <w:rsid w:val="FC7D38C2"/>
    <w:rsid w:val="FD676FDC"/>
    <w:rsid w:val="FDEF0CDE"/>
    <w:rsid w:val="FDFDF936"/>
    <w:rsid w:val="FDFE1AF5"/>
    <w:rsid w:val="FE1E4310"/>
    <w:rsid w:val="FE9F054B"/>
    <w:rsid w:val="FED31AF0"/>
    <w:rsid w:val="FEE7B0BB"/>
    <w:rsid w:val="FEEF7219"/>
    <w:rsid w:val="FEFD4024"/>
    <w:rsid w:val="FF376C29"/>
    <w:rsid w:val="FF3FA995"/>
    <w:rsid w:val="FF5FE0EB"/>
    <w:rsid w:val="FF83A201"/>
    <w:rsid w:val="FF91EF93"/>
    <w:rsid w:val="FF97241F"/>
    <w:rsid w:val="FFBB488B"/>
    <w:rsid w:val="FFCB91DF"/>
    <w:rsid w:val="FFCF3FD8"/>
    <w:rsid w:val="FFDE6705"/>
    <w:rsid w:val="FFDF0E2E"/>
    <w:rsid w:val="FFE3143D"/>
    <w:rsid w:val="FFF5F154"/>
    <w:rsid w:val="FFF7848B"/>
    <w:rsid w:val="FFFB6BAF"/>
    <w:rsid w:val="FFFD0DD8"/>
    <w:rsid w:val="FFFE2516"/>
    <w:rsid w:val="FFFF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2021-12-12T21:13:00Z</dcterms:created>
  <dc:creator>luocai</dc:creator>
  <cp:lastModifiedBy>luocai</cp:lastModifiedBy>
  <dcterms:modified xsi:type="dcterms:W3CDTF">2021-12-12T23:33:33Z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