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F63A" w14:textId="3EF55C9E" w:rsidR="00BB7A0A" w:rsidRPr="00B44B50" w:rsidRDefault="00BB7A0A" w:rsidP="00B44B50">
      <w:pPr>
        <w:pStyle w:val="div"/>
        <w:spacing w:line="600" w:lineRule="atLeast"/>
        <w:ind w:right="1455" w:firstLineChars="300" w:firstLine="813"/>
        <w:jc w:val="center"/>
        <w:rPr>
          <w:rFonts w:ascii="宋体" w:eastAsia="宋体" w:hAnsi="宋体" w:cs="宋体" w:hint="eastAsia"/>
          <w:b/>
          <w:bCs/>
          <w:color w:val="000000"/>
          <w:sz w:val="27"/>
          <w:szCs w:val="27"/>
        </w:rPr>
      </w:pPr>
      <w:r w:rsidRPr="00B44B50">
        <w:rPr>
          <w:rFonts w:ascii="宋体" w:eastAsia="宋体" w:hAnsi="宋体" w:cs="宋体"/>
          <w:b/>
          <w:bCs/>
          <w:color w:val="000000"/>
          <w:sz w:val="27"/>
          <w:szCs w:val="27"/>
        </w:rPr>
        <w:t>河北省减</w:t>
      </w:r>
      <w:proofErr w:type="gramStart"/>
      <w:r w:rsidRPr="00B44B50">
        <w:rPr>
          <w:rFonts w:ascii="宋体" w:eastAsia="宋体" w:hAnsi="宋体" w:cs="宋体"/>
          <w:b/>
          <w:bCs/>
          <w:color w:val="000000"/>
          <w:sz w:val="27"/>
          <w:szCs w:val="27"/>
        </w:rPr>
        <w:t>污降碳</w:t>
      </w:r>
      <w:proofErr w:type="gramEnd"/>
      <w:r w:rsidRPr="00B44B50">
        <w:rPr>
          <w:rFonts w:ascii="宋体" w:eastAsia="宋体" w:hAnsi="宋体" w:cs="宋体"/>
          <w:b/>
          <w:bCs/>
          <w:color w:val="000000"/>
          <w:sz w:val="27"/>
          <w:szCs w:val="27"/>
        </w:rPr>
        <w:t>协同增效实施方案</w:t>
      </w:r>
    </w:p>
    <w:p w14:paraId="0DA6EF95" w14:textId="77777777" w:rsidR="00BB7A0A" w:rsidRDefault="00BB7A0A">
      <w:pPr>
        <w:spacing w:after="300" w:line="600" w:lineRule="atLeast"/>
        <w:ind w:left="375" w:right="375"/>
        <w:rPr>
          <w:rFonts w:ascii="宋体" w:eastAsia="宋体" w:hAnsi="宋体" w:cs="宋体" w:hint="eastAsia"/>
          <w:color w:val="000000"/>
          <w:sz w:val="27"/>
          <w:szCs w:val="27"/>
        </w:rPr>
      </w:pP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为深入贯彻党的二十大精神，落实党中央、国务院关于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碳达峰碳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中和决策部署，协同推进降碳、减污、扩绿、增长，实现一体谋划、一体部署、一体推进、一体考核，按照省委、省政府部署要求，结合我省实际，制定本实施方案。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一、总体要求</w:t>
      </w:r>
      <w:r>
        <w:rPr>
          <w:rFonts w:ascii="宋体" w:eastAsia="宋体" w:hAnsi="宋体" w:cs="宋体"/>
          <w:color w:val="000000"/>
          <w:sz w:val="27"/>
          <w:szCs w:val="27"/>
        </w:rPr>
        <w:br/>
      </w:r>
      <w:bookmarkStart w:id="0" w:name="tiao_1"/>
      <w:bookmarkEnd w:id="0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（一）</w:t>
      </w:r>
      <w:r>
        <w:rPr>
          <w:rFonts w:ascii="宋体" w:eastAsia="宋体" w:hAnsi="宋体" w:cs="宋体"/>
          <w:color w:val="000000"/>
          <w:sz w:val="27"/>
          <w:szCs w:val="27"/>
        </w:rPr>
        <w:t>指导思想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以习近平新时代中国特色社会主义思想为指导，全面贯彻党的二十大精神，深入贯彻习近平生态文明思想，坚决落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实习近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平总书记对河北工作的重要指示批示，牢固树立和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践行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绿水青山就是金山银山理念，完整、准确、全面贯彻新发展理念，认真落实省委十届二次、三次全会部署要求，统筹产业结构调整、污染治理、生态保护、应对气候变化，协同推进降碳、减污、扩绿、增长，锚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定碳达峰碳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>中和目标，把实现减</w:t>
      </w:r>
      <w:proofErr w:type="gramStart"/>
      <w:r>
        <w:rPr>
          <w:rFonts w:ascii="宋体" w:eastAsia="宋体" w:hAnsi="宋体" w:cs="宋体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color w:val="000000"/>
          <w:sz w:val="27"/>
          <w:szCs w:val="27"/>
        </w:rPr>
        <w:t xml:space="preserve">协同增效作为促进经济社会发展全面绿色转型的总抓手，科学把握污染防治和气候治理的整体性，以结构调整、布局优化为关键，以优化治理路径为重点，以政策协同、机制创新为手段，完善法规标准，强化科技支撑，全面提高环境治理综合效能，实现环境效益、气候效益、经济效益多赢，加快建设经济强省、美丽河北。 </w:t>
      </w:r>
    </w:p>
    <w:p w14:paraId="5841D8CE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" w:name="tiao_2"/>
      <w:bookmarkEnd w:id="1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（二）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工作原则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突出协同增效。坚持系统观念，统筹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碳达峰碳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中和与生态环境保护相关工作，强化目标协同、区域协同、领域协同、任务协同、政策协同、监管协同，增强生态环境政策与能源产业政策协同性，以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碳达峰行动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进一步深化环境治理，以环境治理助推高质量达峰。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强化源头防控。聚焦环境污染物和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碳排放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高度同根同源的特征，紧盯主要源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头，突出主要领域、重点行业和关键环节，强化资源能源节约和高效利用，加快形成有利于减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的产业结构、生产方式和生活方式。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优化技术路径。统筹气、水、土壤、固废、温室气体等领域减排要求，优化治理目标、治理工艺和技术路线，优先采用基于自然的解决方案，加强技术研发应用，强化多污染物与温室气体协同控制，增强污染防治与碳排放治理的协调性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推进机制创新。充分利用现有法律、法规、标准、政策体系和统计、监测、监管能力，完善管理制度、基础能力和市场机制，一体推进减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，形成有效激励约束，有力支撑减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污降碳目标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任务落地实施。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鼓励先行先试。发挥基层积极性和创造力，创新管理方式，形成各具特色的典型做法和有效模式，加强推广应用，实现多层面、多领域减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协同增效。 </w:t>
      </w:r>
    </w:p>
    <w:p w14:paraId="71274115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2" w:name="tiao_3"/>
      <w:bookmarkEnd w:id="2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（三）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主要目标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到2025年，全省减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协同推进的工作格局基本形成；重点区域、重点领域结构优化调整和绿色低碳发展取得明显成效，形成一批可复制、可推广的典型经验；减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污降碳协同度有效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提升。全省单位地区生产总值能源消耗下降达到国家要求，非化石能源占能源消费总量13%以上；单位地区生产总值二氧化碳排放下降达到国家要求；空气质量持续改善，细颗粒物（PM2.5）平均浓度稳定达到国家空气质量二级标准（35微克/立方米），优良天数比率达到77%以上；森林覆盖率达到36.5%，森林蓄积量达到1.95亿立方米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到2030年，全省减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协同能力显著提升，助力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实现碳达峰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目标；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碳达峰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与空气质量改善协同推进取得显著成效；水、土壤、固体废物等污染防治领域协同治理水平显著提高。非化石能源消费比重达到19%以上；空气质量达到国家二级标准；森林覆盖率达到38%左右，森林蓄积量达到2.20亿立方米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二、加强源头防控 </w:t>
      </w:r>
    </w:p>
    <w:p w14:paraId="09F8B233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3" w:name="tiao_4"/>
      <w:bookmarkEnd w:id="3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lastRenderedPageBreak/>
        <w:t xml:space="preserve">　　（四）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强化生态环境分区管控。落实主体功能区战略，构建城市化地区、农产品主产区、重点生态功能区分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类指导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的政策体系，推进减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协同增效。衔接国土空间规划分区和用途管制要求，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将碳达峰碳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中和要求纳入“三线一单”（生态保护红线、环境质量底线、资源利用上线和生态环境准入清单）分区管控体系。增强区域环境质量改善目标对能源和产业布局的引导作用，落实国家以区域环境质量改善和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碳达峰目标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为导向的产业准入及退出清单制度。加大结构调整和布局优化力度，加快推动重点区域、重点流域落后和过剩产能退出。构建绿色产业结构，引导重点行业向环境容量充足、扩散条件较好区域布局，提高集约化、循环化、现代化水平。依法加快城市建成区重污染企业搬迁改造或关闭退出。（省生态环境厅、省发展改革委、省工业和信息化厅、省自然资源厅、省水利厅按职责分工负责，以下均需各市（含定州、辛集市）政府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雄安新区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管委会具体落实，不再列出） </w:t>
      </w:r>
    </w:p>
    <w:p w14:paraId="24D913D7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4" w:name="tiao_5"/>
      <w:bookmarkEnd w:id="4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（五）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加强生态环境准入管理。坚决遏制高耗能、高排放、低水平项目盲目发展，高耗能、高排放项目审批要严格落实产业规划、产业政策、“三线一单”、环评审批、取水许可审批、节能审查以及污染物区域削减替代等要求，采取先进适用的工艺技术和装备，提升高耗能项目能耗准入标准，能耗、物耗、水耗要达到清洁生产先进水平。持续加强产业集群环境治理，明确产业布局和发展方向，落实项目准入类别要求，引导产业向“专精特新”转型。健全以环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评制度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为主体的环境准入体系，优化生态环境影响相关评价方法和准入要求，推进规划环评审查和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项目环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评审批联动，加快构建以排污许可制为核心的固定污染源监管制度体系。严禁违规新增钢铁、焦化、水泥、平板玻璃等产能，合理控制煤化工、煤制油气产能规模。（省生态环境厅、省发展改革委、省工业和信息化厅、省水利厅、省市场监管局按职责分工负责） </w:t>
      </w:r>
    </w:p>
    <w:p w14:paraId="36DAD342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5" w:name="tiao_6"/>
      <w:bookmarkEnd w:id="5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lastRenderedPageBreak/>
        <w:t xml:space="preserve">　　（六）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推动能源绿色低碳转型。统筹能源安全和绿色低碳发展，推动能源供给体系清洁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化低碳化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和终端能源消费电气化。实施可再生能源替代行动，大力发展风能、太阳能、生物质能、海洋能、地热能等，积极推动可再生能源制氢。有序推动抽水蓄能电站规划建设，推进“三个一批”工程，加快提升调节规模。打造冀北清洁能源基地和唐山、沧州、沿太行山光伏发电应用基地，压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茬推进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张家口、承德千万千瓦级风电基地项目建设。加大力度规划建设新能源供给消纳体系，提高现有输电通道可再生能源电量占比。有序推动新型储能应用，深化“新能源＋储能”发展机制。合理控制煤电规模，重点削减散煤等非电用煤，严禁新建自备燃煤机组，推动自备燃煤机组实施清洁能源替代，鼓励自备电厂转为公用电厂。巩固提升“气代煤电代煤”改造成果，健全农村清洁取暖财政补贴、气电保障、运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维管理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常态化保障机制。加大燃煤锅炉淘汰力度，新改扩建工业炉窑采用清洁低碳能源，有序推进工业燃煤和农业用煤天然气替代。到2025年，力争全省光伏发电装机总规模达到6000万千瓦，风电装机总规模达到4600万千瓦，煤炭消费量较2020年下降10%左右；“十五五”时期煤炭消费占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比持续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降低。（省发展改革委、省工业和信息化厅、省自然资源厅、省生态环境厅、省住房城乡建设厅、省农业农村厅、省水利厅、省市场监管局、省财政厅按职责分工负责） </w:t>
      </w:r>
    </w:p>
    <w:p w14:paraId="03E74EA4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6" w:name="tiao_7"/>
      <w:bookmarkEnd w:id="6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（七）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加快形成绿色生活方式。倡导简约适度、绿色低碳、文明健康的生活方式，从源头上减少污染物和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碳排放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。扩大绿色低碳产品供给和消费，完善绿色产品推广机制，贯彻国家统一的绿色产品认证与标识体系，健全能效、水效和环保标识制度。推广绿色包装，推动包装印刷减量化，减少印刷面积和颜色种类。深入开展全社会反对浪费行动，开展节约型机关、绿色家庭、绿色学校、绿色社区、绿色商场和绿色出行等创建。倡导“光盘行动”。推动生态文明教育教学和课程体系建设，培养绿色低碳行为习惯。引导公众优先选择公共交通、自行车和步行等绿色低碳出行方式。发挥公共机构特别是党政机关节能减排引领示范作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用，加大政府绿色采购力度。加快“碳普惠”试点推广，建立公众参与激励机制。开展绿色生活绿色消费统计，建立完善绿色消费激励回馈机制，引导消费者购买节能与新能源汽车、高能效家电、节水型器具等产品。（省发展改革委、省生态环境厅、省工业和信息化厅、省财政厅、省住房城乡建设厅、省交通运输厅、省教育厅、省商务厅、省市场监管局、省机关事务管理局、省统计局、省邮政管理局按职责分工负责）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三、突出重点领域 </w:t>
      </w:r>
    </w:p>
    <w:p w14:paraId="5BC09DE0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7" w:name="tiao_8"/>
      <w:bookmarkEnd w:id="7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（八）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进工业领域协同增效。实施绿色制造工程，探索产品设计、生产工艺、产品分销以及回收处置利用全产业链绿色化，加快工业领域源头减排、过程控制、末端治理、综合利用全流程绿色发展，培育打造一批绿色设计产品、绿色工厂、绿色园区和绿色供应链管理企业。加快企业数字化转型，推进智能车间、智能工厂建设，提高绿色制造效率和效益。推进工业节能和能效水平提升，加强节能审查事中事后监管。依法实施“双超双有高耗能”企业强制性清洁生产审核，开展重点行业清洁生产改造，鼓励企业自愿性清洁生产审核，探索行业、园区和产业集群整体审核，推动一批重点企业达到国际领先水平。推进战略性新兴产业融合化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集群化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发展，到2025年，规模以上高新技术产业增加值占工业增加值比重达到25%左右。开展重点行业企业绩效分级“升A晋B”行动，大力实施激励性绩效分级制度，到2025年，A级、B级企业数量达到3000家以上。严格执行钢铁、水泥、平板玻璃、焦化等行业产能置换政策，逐步减少独立烧结、热轧企业数量，全面淘汰1000立方米以下高炉、步进式烧结机和球团竖炉，推动高炉-转炉长流程炼钢转型为电炉短流程炼钢，到2025年全省电炉钢达到5%-10%。引导未达到超低排放标准和能效基准水平的钢铁企业，对照标杆水平实施改造升级，到2025年全省钢铁企业全部达到环保绩效A级水平，能效达到标杆水平的产能力争达到30%。水泥行业加快原燃料替代，石化行业加快推动减油增化，推广高效低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 xml:space="preserve">碳技术，加快再生有色金属产业发展。推动冶炼副产能源资源与建材、石化、化工行业深度耦合发展。鼓励重点行业企业探索采用多污染物和温室气体协同控制技术工艺，开展协同创新。加快碳捕集、利用与封存试点示范工程建设，加大工业领域推广应用力度。（省工业和信息化厅、省发展改革委、省生态环境厅按职责分工负责） </w:t>
      </w:r>
    </w:p>
    <w:p w14:paraId="07759257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8" w:name="tiao_9"/>
      <w:bookmarkEnd w:id="8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（九）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进交通运输协同增效。立足全国现代商贸物流重要基地建设，加快构建便捷、高效、绿色的现代化综合交通运输体系。推进“公转铁”“公转水”，提高铁路、水运在综合运输中的承运比例。深入实施多式联运示范工程，开展集装箱运输、商品车滚装运输、全程冷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链运输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等多式联运试点示范创建。建设煤炭、钢铁、电力、焦化等大型工矿企业和重要物流园区铁路专用线，全省新建及迁建大宗货物运输量150万吨以上的企业，原则上同步规划建设铁路专用线、专用码头或管廊等。到2025年，沿海港口大宗货物绿色低碳集疏运比例达到85%以上。发展城市绿色配送体系，加强城市慢行交通系统建设。加快新能源车发展，逐步推动公共领域用车电动化，有序推动老旧车辆替换为新能源车辆、非道路移动机械使用新能源清洁能源动力，探索开展中重型电动、燃料电池货车示范应用和商业化运营。到2025年，新能源中重型货车保有量达到3.5万辆，新能源汽车新车销售量达到汽车新车销售总量的20%左右。加快淘汰老旧船舶，推动新能源、清洁能源动力船舶应用。加快港口供电设施建设，推动船舶靠港使用岸电，到2025年，秦皇岛、唐山、黄骅港80%的5万吨级以上泊位（不含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危化品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泊位）具备岸电供应能力。（省交通运输厅、省发展改革委、省工业和信息化厅、省生态环境厅、省住房城乡建设厅、河北海事局、北京铁路局石家庄铁路办事处按职责分工负责） </w:t>
      </w:r>
    </w:p>
    <w:p w14:paraId="447BBFAA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9" w:name="tiao_10"/>
      <w:bookmarkEnd w:id="9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推进城乡建设协同增效。优化城镇布局，合理控制城镇建筑总规模，加强建筑拆建管理，推动超低能耗建筑、近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零碳建筑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规模化发展。实施全过程绿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色低碳建造，大力推广绿色建材，推行装配式建筑及装配化装修。大力发展绿色低碳建筑，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推进雄安新区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近零能耗建筑核心示范区建设，到2025年，全省累计建设近零能耗建筑面积约1350万平方米以上，城镇竣工绿色建筑占当年竣工建筑面积的比例达到100%，星级绿色建筑占比达到50%以上。加快推进既有建筑节能绿色改造，鼓励城镇老旧小区、农村危房等改造过程中同步实施建筑节能绿色改造，鼓励小规模、渐进式更新和微改造。推进建筑废弃物再生利用，构建建筑垃圾全过程管理和资源化利用体系。推动节能绿色改造与清洁取暖同步实施，支持利用太阳能、地热能、生物质能等可再生能源满足建筑供热、制冷及生活热水等用能需求。合理控制城市照明能耗。积极发展光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伏建筑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一体化应用，开展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光储直柔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一体化试点。开展乡村生态振兴示范村创建，在农村人居环境整治提升中统筹考虑减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要求，整体提升乡村绿色建设水平。（省住房城乡建设厅、省自然资源厅、省生态环境厅、省农业农村厅、省发展改革委、省乡村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振兴局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按职责分工负责） </w:t>
      </w:r>
    </w:p>
    <w:p w14:paraId="5A74AF1A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0" w:name="tiao_11"/>
      <w:bookmarkEnd w:id="10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（十一）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进农业领域协同增效。推行农业绿色生产方式，协同推进种植业、畜牧业、渔业节能减排与污染治理。深入实施化肥农药减量增效行动，加强种植业面源污染防治，大力发展高效节水农业，推广优良品种和绿色高效栽培技术，到2025年，主要粮食作物化肥利用率达到43%以上，主要农作物农药利用率达到43%以上。加快老旧农机报废更新，健全报废回收拆解网络，完善更新补贴机制，推广先进适用的低碳节能农机装备。支持培育秸秆综合利用主体，完善秸秆收储运体系，提升秸秆综合利用水平。推进种植业、养殖业大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气氨减排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，加强源头防控，优化肥料、饲料结构。实施畜禽规模养殖场粪污处理设施分级管理，鼓励改进畜禽养殖和粪污处理工艺，到2025年，全省畜禽粪污综合利用率达到85%。严格水产养殖投入品管理，规范水产养殖尾水排放，以秦皇岛、唐山、沧州沿海3市高效渔业产业带为重点，加快水产绿色健康养殖示范场创建。推进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渔船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渔机节能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减排，鼓励建造使用新型节能环保渔船，持续淘汰老旧高耗能渔船。在农业领域大力推广生物质能、太阳能等绿色用能模式，加快农村取暖炊事、农业及农产品加工设施等可再生能源替代。（省农业农村厅、省生态环境厅、省发展改革委按职责分工负责） </w:t>
      </w:r>
    </w:p>
    <w:p w14:paraId="496E6A30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1" w:name="tiao_12"/>
      <w:bookmarkEnd w:id="11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（十二）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推进生态建设协同增效。大力弘扬塞罕坝精神，深入实施北方防沙带、太行山燕山绿化、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雄安新区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千年秀林建设、白洋淀上游规模化林场等重点工程，坚持乔灌草结合、封飞造并举，科学恢复林草植被。全面加强天然林保护修复，保持总量不减，质量持续提高。持续实施“三化”草原治理工程。强化生态保护监管，完善自然保护地、生态保护红线监管制度，落实不同生态功能区分级分区保护、修复、监管要求，强化河湖生态流量管理。加强土地利用变化管理和森林可持续经营。科学推进荒漠化、水土流失综合治理，科学实施重点区域生态保护和修复综合治理项目，建设生态清洁小流域。坚持以自然恢复为主、自然恢复和人工修复相结合的系统治理，推行森林、河流、湖泊、草原、湿地修养生息，提升生态系统质量和稳定性。开展河湖、海洋生态修复，实施曹妃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甸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海草床和白洋淀、衡水湖、滦河口、滦南湿地等生态修复工程。强化生物多样性保护，在燕山、太行山以及坝上地区等重点区域实施生物多样性保护工程，完善白洋淀、衡水湖等重要湿地生物监测网络。加强白洋淀鸟类栖息地管理，推进鸟类调查监测，营造优良栖息环境，切实提升白洋淀鸟类多样性，打造“荷塘苇海、鸟类天堂”胜景。加强城市生态建设，完善城市绿色生态网络，科学规划、合理布局城市生态廊道和生态缓冲带。优化城市绿化树种，降低花粉污染和自然源挥发性有机物排放，优先选择乡土树种。提升城市水体自然岸线保有率。开展生态改善、环境扩容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碳汇提升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等实施效果综合评估，不断提升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生态系统碳汇与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净化功能。（省林业和草原局、省自然资源厅、省水利厅、省生态环境厅、省住房城乡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建设厅、省发展改革委按职责分工负责）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四、优化环境治理 </w:t>
      </w:r>
    </w:p>
    <w:p w14:paraId="2BEC82F0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2" w:name="tiao_13"/>
      <w:bookmarkEnd w:id="12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（十三）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推进大气污染防治协同控制。巩固拓展重点城市空气质量“退后十”成果，统筹加强减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控制，开展重点行业资源利用效率、能源消耗、污染物排放对标行动，提高精细化管理水平。优化治理技术路线，加大氮氧化物、挥发性有机物（VOCs）以及温室气体协同减排力度。一体推进重点行业大气污染深度治理与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节能降碳行动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，巩固重点行业超低排放改造成效，探索开展大气污染物与温室气体排放协同控制改造提升工程试点。以石化、化工、涂装、医药、包装印刷、油品储运销等行业领域为重点，实施原辅材料和产品源头替代、VOCs无组织排放和末端深度治理等提升改造工程。推进大气污染治理设备节能降耗，提高设备自动化智能化运行水平。加强消耗臭氧层物质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氢氟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碳化物管理，加快使用含氢氯氟烃生产线改造，逐步淘汰氢氯氟烃使用。推进移动源大气污染物排放和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碳排放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协同治理。（省生态环境厅、省发展改革委、省工业和信息化厅、省住房城乡建设厅、省交通运输厅、省商务厅按职责分工负责） </w:t>
      </w:r>
    </w:p>
    <w:p w14:paraId="2B680050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3" w:name="tiao_14"/>
      <w:bookmarkEnd w:id="13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（十四）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进水环境治理协同控制。围绕白洋淀流域、京津水源涵养区、环渤海、冀中南、大运河等区域分区施策，探索建立治理、修复一体推进的水环境综合整治模式。大力推进污水资源化利用，提高工业用水效率，推进产业园区用水系统集成优化，实现串联用水、分质用水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一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水多用、梯级利用和再生利用。深化节水型企业创建，在钢铁、石化化工、纺织印染、医药等行业创建一批节水标杆企业。到2025年，单位地区生产总值用水量累计下降15%。构建区域再生水循环利用体系，因地制宜建设人工湿地水质净化工程及再生水调蓄设施，对达标尾水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微污染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河水进一步净化改善后，作为区域内生态、生产、生活补充用水。探索推广污水社区化分类处理和就地回用。建设资源能源标杆再生水厂。推进工业等污水集中处理设施提标改造，加强达标排放管理。推动污水处理厂节能降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耗，鼓励采用高效水力输送、混合搅拌和鼓风曝气装置等高效低能耗设备，推广厂区建设太阳能发电设施，推行污泥沼气热电联产及水源热泵等热能利用技术，鼓励生活垃圾焚烧设施等协同处置污泥，提高污泥处置和综合利用水平。开展城镇污水处理和资源化利用碳排放测算，优化污水处理设施能耗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碳排放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管理。以资源化、生态化和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可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持续化为导向，因地制宜推进农村生活污水集中或分散式治理及就近利用。（省生态环境厅、省发展改革委、省工业和信息化厅、省林业和草原局、省住房城乡建设厅、省水利厅、省农业农村厅按职责分工负责） </w:t>
      </w:r>
    </w:p>
    <w:p w14:paraId="4FE0CFB5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4" w:name="tiao_15"/>
      <w:bookmarkEnd w:id="14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（十五）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推进土壤污染治理协同控制。严格建设用地准入管理，结合留白增绿战略，合理规划污染地块土地用途，农药、化工等行业中重度污染地块优先规划用于拓展生态空间，降低修复能耗。推动严格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管控类受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污染耕地植树造林增汇，研究利用废弃矿山、采煤沉陷区受损土地、已封场垃圾填埋场、污染地块等因地制宜规划建设光伏发电、风力发电等新能源项目。以节能降耗为导向，鼓励绿色低碳修复，优化土壤污染风险管控和修复技术路线。以金属表面处理及热处理加工、基础化学原料制造、炼焦、专用化学品制造等行业企业为重点，优先采用污染阻隔、监测自然衰减等原位风险管控和修复技术。推行施用有机肥、种植绿肥等措施，推广测土配方施肥技术，改良土壤，提高地力。（省生态环境厅、省发展改革委、省自然资源厅、省住房城乡建设厅、省农业农村厅、省林业和草原局按职责分工负责） </w:t>
      </w:r>
    </w:p>
    <w:p w14:paraId="7E8D3A00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5" w:name="tiao_16"/>
      <w:bookmarkEnd w:id="15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（十六）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推进固体废物污染防治协同控制。坚持减量化、资源化、无害化，提升固体废物治理和综合利用水平。全面推进“无废城市”建设，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形成雄安新区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率先突破、各市梯次发展的“无废城市”集群。加快承德国家工业固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废资源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综合利用示范基地以及唐山、邯郸国家大宗固体废弃物综合利用示范基地建设，创建一批无废工业园区、无废企业，推动煤矸石、粉煤灰、尾矿、冶炼渣等工业固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废资源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利用或替代建材生产原料，实现大宗工业固废贮存处置总量趋零增长。推进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退役动力电池、光伏组件、风电机组叶片等新型废弃物回收利用。加快发展再制造产业，推广应用再制造共性关键技术，培育专业化再制造旧件回收企业，支持建设再制造产品交易平台。加快构建新型再生资源回收体系，强化再生资源回收行业监管。推进建筑垃圾源头减量，提升建筑垃圾资源化利用水平。强化生活垃圾收集处理监督管理，大力推进生活垃圾分类，优化处理处置方式，加强可回收物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厨余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垃圾资源化利用，加快生活垃圾焚烧处理全域覆盖，实现全省原生生活垃圾零填埋。加强生活垃圾填埋场垃圾渗滤液、恶臭和温室气体协同控制，推动垃圾填埋场填埋气收集和利用设施建设。有序开展已满填埋设施就地封场治理，推动填埋处理设施向新型功能区转变。因地制宜稳步推进生物质多元化开发利用。禁止持久性有机污染物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和添汞产品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的非法生产，从源头减少含有毒有害化学物质的固体废物产生。（省生态环境厅、省发展改革委、省工业和信息化厅、省住房城乡建设厅、省自然资源厅、省商务厅、省市场监管局按职责分工负责）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五、开展模式创新 </w:t>
      </w:r>
    </w:p>
    <w:p w14:paraId="0AF71DBF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6" w:name="tiao_17"/>
      <w:bookmarkEnd w:id="16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（十七）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开展区域减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协同创新。立足京津冀协同发展，落实“三区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一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基地”功能定位要求，积极承接北京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非首都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功能，加强与京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津减污降碳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联动，强化技术创新和体制机制创新，推动形成以绿色低碳为特征的区域产业体系和能源体系，助力实现区域绿色低碳发展目标。全面推进首都水源涵养功能区和生态环境支撑区建设，筑牢首都生态安全屏障。加快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建设雄安绿色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生态宜居新城区，加强白洋淀全流域系统治理、协同治理，全面推行“六无”标准，探索流域治理减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协同增效新模式，确保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淀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区水质稳定保持Ⅲ类，加快打造“蓝绿交织、清新明亮、水城共融”的生态文明典范城市。沿海区域协同加强海洋环境治理和风险防控，严格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用海管控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，加大岸线、沿海湿地修复保护力度，增强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海洋碳汇能力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。支持大气污染重点传输通道城市开展区域减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协同增效试点，突出目标协同、措施协同、标准协同，整体优化空间布局，加快产业结构、能源结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 xml:space="preserve">构、交通运输结构调整，推进传统产业提升改造，构建绿色低碳工业体系。（省生态环境厅、省发展改革委、省工业和信息化厅、省自然资源厅、省水利厅、省交通运输厅、省科技厅、省林业和草原局、河北海事局按职责分工负责） </w:t>
      </w:r>
    </w:p>
    <w:p w14:paraId="453CD2B9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7" w:name="tiao_18"/>
      <w:bookmarkEnd w:id="17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（十八）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开展城市减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协同创新。统筹污染治理、生态保护以及温室气体减排，因地制宜开展国家环境保护模范城市、森林城市、海绵城市等示范创建，强化减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协同增效要求，推进示范创建目标、路径、措施、效果协同，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以雄安新区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生态文明典范城市建设为带动，创新不同类型城市减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污降碳推进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机制。科学布局城市污水、垃圾、排涝等公共基础设施，完善城市绿地系统，构建城市绿色用能和绿色交通体系，在城市建设、生产生活各领域加强减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协同增效，加快实现城市绿色低碳发展。推动开展城市二氧化碳达峰和空气质量达标试点示范，力争2030年前所有设区市实现“双达”。（省生态环境厅、省发展改革委、省住房城乡建设厅、省交通运输厅、省林业和草原局按职责分工负责） </w:t>
      </w:r>
    </w:p>
    <w:p w14:paraId="496CCEBC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8" w:name="tiao_19"/>
      <w:bookmarkEnd w:id="18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（十九）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开展产业园区减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协同创新。鼓励各类产业园区根据自身主导产业和污染物、碳排放水平，积极探索推进减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协同增效，支持开展减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协同增效试点园区建设。充分考虑园区企业产业链衔接、土地等资源能源集约节约利用，优化园区空间布局。大力推广使用新能源，建设集中供汽供热或清洁低碳能源中心，支持发展光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伏建筑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一体化、多元储能、高效热泵、余热余压利用、智慧能源管控系统等，促进园区能源系统优化和梯级利用。加大园区污水、垃圾集中处理和再生水利用设施建设力度，推广建设涉VOCs“绿岛”项目，开展危险废物集中收集转运、利用处置试点，提升园区污染治理和资源综合利用水平。（省生态环境厅、省发展改革委、省商务厅、省工业和信息化厅、省科技厅、省住房城乡建设厅、省自然资源厅、省水利厅按职责分工负责） </w:t>
      </w:r>
    </w:p>
    <w:p w14:paraId="6E43DFBB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9" w:name="tiao_20"/>
      <w:bookmarkEnd w:id="19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lastRenderedPageBreak/>
        <w:t xml:space="preserve">　　（二十）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开展企业减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协同创新。建立企业减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协同创新的政策激励机制和指标体系，推动重点行业企业开展减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协同增效试点工作。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聚焦低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染与低碳排放、节能与能效提升、节水与水效提升、资源综合利用等关键领域，鼓励企业采取工艺改进、能源替代、节能提效、综合治理等措施实施绿色改造工程，实现生产过程中大气、水和固体废物等多种污染物以及温室气体大幅减排，推动污染物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碳排放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均达到行业先进水平。优选一批具备条件的企业开展减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协同创新行动，支持探索深度减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路径，打造“双近零”排放标杆企业。（省生态环境厅、省发展改革委、省工业和信息化厅按职责分工负责）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六、强化支撑保障 </w:t>
      </w:r>
    </w:p>
    <w:p w14:paraId="3CEAF62E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20" w:name="tiao_21"/>
      <w:bookmarkEnd w:id="20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（二十一）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加强协同技术研发应用。加强减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协同增效基础研究和重点方向交叉研究，在大气污染防治、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碳达峰碳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中和等领域部署实施一批省级重点研发项目，建设一批省级重点实验室等研发平台，形成减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污降碳领域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战略科技力量。推进氢能冶金、二氧化碳合成化学品、炼化系统能量优化、低温室效应制冷剂替代、先进智能电网、储能、碳捕集与利用等技术研发应用，加快高效节能电机、大型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光伏和风力发电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机组、氢能制运储加、可再生能源与建筑一体化、智慧交通等适用技术推广应用。开展烟气超低排放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与碳减排协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同技术创新，开展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水土保持措施碳汇效应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研究。实施生态环境科技帮扶行动，提升减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污降碳科技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成果转化力度和效率。加快重点领域绿色低碳共性技术示范、制造、系统集成和产业化。加强碳排放等计量技术研究，建立健全计量测试服务体系。（省科技厅、省发展改革委、省生态环境厅、省住房城乡建设厅、省水利厅、省交通运输厅、省市场监管局按职责分工负责） </w:t>
      </w:r>
    </w:p>
    <w:p w14:paraId="1CF31642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21" w:name="tiao_22"/>
      <w:bookmarkEnd w:id="21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（二十二）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完善减污降碳法规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标准。推动将协同控制温室气体排放纳入资源能源节约利用、城乡规划建设、生态环境保护等法规。完善生态环境标准体系，制定火电、石灰、砖瓦、耐火材料工业大气污染物排放地方标准。提升建筑节能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和绿色建筑标准。加快完善地区、行业、企业、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产品等碳排放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核查核算标准。落实低碳产品标识制度。（省生态环境厅、省发展改革委、省自然资源厅、省住房城乡建设厅、省工业和信息化厅、省统计局、省司法厅、省市场监管局按职责分工负责） </w:t>
      </w:r>
    </w:p>
    <w:p w14:paraId="34A9A9C2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22" w:name="tiao_23"/>
      <w:bookmarkEnd w:id="22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（二十三）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加强减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协同管理。探索统筹排污许可和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碳排放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管理，衔接减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污降碳管理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要求。在环境影响评价中逐步开展碳排放评价，探索增加减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协同度评价内容。积极参与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全国碳排放权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交易市场建设，严厉打击碳排放数据造假行为，强化日常监管，建立长效机制，严格落实履约制度，科学分配碳排放配额。建立统一规范的碳排放核查核算体系，开展地区、行业、企业、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产品等碳排放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核查核算。开展重点城市、产业园区、重点企业减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协同度评价研究，系统分析环境质量、应对气候变化与政策措施的协同增效程度，探索建立减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协同增效评价指标体系。推动污染物和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碳排放量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大的企业开展环境信息依法披露。开发减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协同增效管理系统，纳入全省生态环境综合管理平台，提高信息化水平。（省生态环境厅、省发展改革委、省工业和信息化厅、省市场监管局、省统计局按职责分工负责） </w:t>
      </w:r>
    </w:p>
    <w:p w14:paraId="6BE251C3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23" w:name="tiao_24"/>
      <w:bookmarkEnd w:id="23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（二十四）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强化减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污降碳经济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政策。加大对绿色低碳投资项目和协同技术应用的财政政策支持，按照生态环境领域事权和支出责任划分改革要求，各级财政部门做好减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污降碳相关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必要经费保障。大力发展绿色金融，全面落实绿色金融指引、能效信贷指引等制度，引导金融机构和社会资本加大对清洁能源、节能环保、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碳减排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以及三个领域协同的支持力度。落实有助于企业绿色低碳发展的绿色电价政策。支持发行绿色公司债券。鼓励创新绿色保险产品和服务。推动保定市国家气候投融资试点建设，支持更多项目纳入国家气候投融资重点项目库。加强清洁生产审核和评价认证结果应用，推动将其作为阶梯电价、用水定额、重污染天气绩效分级管控等差异化政策制定和实施的重要依据。落实生态环境损害赔偿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制度。完善用能权、用水权、排污权、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碳排放权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有偿使用和交易制度。推进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降碳产品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价值实现机制改革，制定出台海洋、公共机构办公建筑、绿色交通等领域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碳汇方法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学，构建科学高效的常态化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降碳产品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交易体系。（省财政厅、省发展改革委、省生态环境厅、省住房城乡建设厅、省水利厅、省自然资源厅、省交通运输厅、人行石家庄中心支行、河北银保监局、河北证监局按职责分工负责） </w:t>
      </w:r>
    </w:p>
    <w:p w14:paraId="6467A152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24" w:name="tiao_25"/>
      <w:bookmarkEnd w:id="24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（二十五）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提升减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污降碳基础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能力。拓展完善天地一体监测网络，以唐山市、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雄安新区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为试点，构建城市温室气体监测体系，提升减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协同监测能力。探索大气污染源排放清单与温室气体排放清单融合应用，实行减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协同增效清单管理。研究建立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固定源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污染物与碳排放核查协同管理制度，实行一体化监管执法。依托移动源环保信息公开、达标监管、检测与维修等制度，探索实施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移动源碳排放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核查、核算与报告制度。探索开展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海洋碳汇监测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评估，有效发挥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海洋固碳作用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，提升海洋适应气候变化的韧性。（省生态环境厅、省发展改革委、省统计局、省自然资源厅按职责分工负责）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七、组织实施 </w:t>
      </w:r>
    </w:p>
    <w:p w14:paraId="76A4ADD0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25" w:name="tiao_26"/>
      <w:bookmarkEnd w:id="25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（二十六）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加强组织领导。各级各有关部门要认真贯彻落实党中央、国务院决策部署和省委、省政府工作要求，充分认识减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协同增效工作的重要性、紧迫性，坚决扛起责任，抓好贯彻落实。各有关部门要加强协调配合，各司其职，各负其责，形成合力，系统推进相关工作。各级生态环境部门要结合实际，制定实施方案，明确时间目标，细化工作任务，确保各项重点举措落地见效。〔各市（含定州、辛集市）、雄安新区和各相关部门按职责分工负责〕 </w:t>
      </w:r>
    </w:p>
    <w:p w14:paraId="26ACFB67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26" w:name="tiao_27"/>
      <w:bookmarkEnd w:id="26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（二十七）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加强宣传教育。将绿色低碳发展纳入国民教育体系。加强干部队伍能力建设，组织开展减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协同增效业务培训，提升相关部门、地方政府、企业管理人员能力水平。加强宣传引导，选树减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污降碳先进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典型，发挥榜样示范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 xml:space="preserve">和价值引领作用，利用六五环境日、全国低碳日、全国节能宣传周等广泛开展宣传教育活动。加强生态环境保护和应对气候变化科普。加大信息公开力度，完善公众监督和举报反馈机制，提高环境决策公众参与水平。（省生态环境厅、省发展改革委、省教育厅、省科技厅按职责分工负责） </w:t>
      </w:r>
    </w:p>
    <w:p w14:paraId="55355531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27" w:name="tiao_28"/>
      <w:bookmarkEnd w:id="27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（二十八）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加强区域合作。落实京津冀协同发展战略要求，深化与京津对接合作，积极引进京津人才、技术、资金和项目，强化减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政策、标准联通，在绿色低碳技术研发应用、绿色基础设施建设、绿色金融、气候投融资等领域对接合作。探索与相邻省市建立省级层面气候和环境治理合作机制，推进更大范围的区域合作和协同防治。（省生态环境厅、省发展改革委、省科技厅、省住房城乡建设厅、省人力资源和社会保障厅、人行石家庄中心支行、省气象局、河北银保监局按职责分工负责） </w:t>
      </w:r>
    </w:p>
    <w:p w14:paraId="7A120A2B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28" w:name="tiao_29"/>
      <w:bookmarkEnd w:id="28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（二十九）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加强评价考核。按照试点先行、逐步推进的原则，探索开展减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协同增效现状、政策、效果评估，强化评估结果应用，持续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完善减污降碳工作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体系。统筹减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污降碳工作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要求，将温室气体排放控制目标完成情况纳入生态环境相关考核，逐步形成体现减</w:t>
      </w:r>
      <w:proofErr w:type="gramStart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污降碳</w:t>
      </w:r>
      <w:proofErr w:type="gramEnd"/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协同增效要求的生态环境考核体系。（省生态环境厅牵头负责） </w:t>
      </w:r>
    </w:p>
    <w:p w14:paraId="211D1DDE" w14:textId="77777777" w:rsidR="00BB7A0A" w:rsidRDefault="00BB7A0A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br/>
      </w:r>
    </w:p>
    <w:p w14:paraId="750F8611" w14:textId="77777777" w:rsidR="00BB7A0A" w:rsidRDefault="00BB7A0A">
      <w:pPr>
        <w:ind w:left="375" w:right="3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</w:p>
    <w:sectPr w:rsidR="00BB7A0A">
      <w:headerReference w:type="default" r:id="rId6"/>
      <w:footerReference w:type="default" r:id="rId7"/>
      <w:pgSz w:w="11906" w:h="16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9F2FF" w14:textId="77777777" w:rsidR="004C2674" w:rsidRDefault="004C2674">
      <w:r>
        <w:separator/>
      </w:r>
    </w:p>
  </w:endnote>
  <w:endnote w:type="continuationSeparator" w:id="0">
    <w:p w14:paraId="7685641E" w14:textId="77777777" w:rsidR="004C2674" w:rsidRDefault="004C2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15" w:type="dxa"/>
      <w:tblInd w:w="1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519"/>
      <w:gridCol w:w="9037"/>
    </w:tblGrid>
    <w:tr w:rsidR="00014960" w14:paraId="7A851647" w14:textId="77777777">
      <w:trPr>
        <w:tblCellSpacing w:w="15" w:type="dxa"/>
      </w:trPr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561088AD" w14:textId="77777777" w:rsidR="00BB7A0A" w:rsidRDefault="00BB7A0A">
          <w:pPr>
            <w:rPr>
              <w:rFonts w:ascii="宋体" w:eastAsia="宋体" w:hAnsi="宋体" w:cs="宋体" w:hint="eastAsia"/>
              <w:color w:val="000000"/>
              <w:sz w:val="18"/>
              <w:szCs w:val="18"/>
            </w:rPr>
          </w:pP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begin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instrText xml:space="preserve"> PAGE  </w:instrTex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separate"/>
          </w:r>
          <w:r>
            <w:rPr>
              <w:rFonts w:ascii="宋体" w:eastAsia="宋体" w:hAnsi="宋体" w:cs="宋体"/>
              <w:noProof/>
              <w:color w:val="000000"/>
              <w:sz w:val="18"/>
              <w:szCs w:val="18"/>
            </w:rPr>
            <w:t>1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end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t>/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begin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instrText xml:space="preserve"> NUMPAGES  </w:instrTex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separate"/>
          </w:r>
          <w:r>
            <w:rPr>
              <w:rFonts w:ascii="宋体" w:eastAsia="宋体" w:hAnsi="宋体" w:cs="宋体"/>
              <w:noProof/>
              <w:color w:val="000000"/>
              <w:sz w:val="18"/>
              <w:szCs w:val="18"/>
            </w:rPr>
            <w:t>2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end"/>
          </w:r>
        </w:p>
      </w:tc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535838BA" w14:textId="77777777" w:rsidR="00BB7A0A" w:rsidRDefault="00BB7A0A">
          <w:pPr>
            <w:jc w:val="right"/>
            <w:rPr>
              <w:rFonts w:ascii="宋体" w:eastAsia="宋体" w:hAnsi="宋体" w:cs="宋体" w:hint="eastAsia"/>
              <w:color w:val="000000"/>
              <w:sz w:val="18"/>
              <w:szCs w:val="18"/>
            </w:rPr>
          </w:pPr>
          <w:r>
            <w:rPr>
              <w:rFonts w:ascii="宋体" w:eastAsia="宋体" w:hAnsi="宋体" w:cs="宋体"/>
              <w:color w:val="000000"/>
              <w:sz w:val="18"/>
              <w:szCs w:val="18"/>
            </w:rPr>
            <w:t>下载日期：2024-07-03</w:t>
          </w:r>
        </w:p>
      </w:tc>
    </w:tr>
  </w:tbl>
  <w:p w14:paraId="5EB49269" w14:textId="77777777" w:rsidR="00BB7A0A" w:rsidRDefault="00BB7A0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BEEF7" w14:textId="77777777" w:rsidR="004C2674" w:rsidRDefault="004C2674">
      <w:r>
        <w:separator/>
      </w:r>
    </w:p>
  </w:footnote>
  <w:footnote w:type="continuationSeparator" w:id="0">
    <w:p w14:paraId="3F851F55" w14:textId="77777777" w:rsidR="004C2674" w:rsidRDefault="004C2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15" w:type="dxa"/>
      <w:tblInd w:w="1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4857"/>
      <w:gridCol w:w="5699"/>
    </w:tblGrid>
    <w:tr w:rsidR="00014960" w14:paraId="3B5FA0FC" w14:textId="77777777">
      <w:trPr>
        <w:tblCellSpacing w:w="15" w:type="dxa"/>
      </w:trPr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473ABCEE" w14:textId="77777777" w:rsidR="00BB7A0A" w:rsidRDefault="00B44B50">
          <w:pPr>
            <w:rPr>
              <w:rFonts w:eastAsia="Times New Roman"/>
              <w:color w:val="000000"/>
            </w:rPr>
          </w:pPr>
          <w:r>
            <w:rPr>
              <w:rFonts w:eastAsia="Times New Roman"/>
              <w:color w:val="000000"/>
            </w:rPr>
            <w:pict w14:anchorId="48B442D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36.8pt;height:24pt;mso-position-horizontal-relative:text;mso-position-vertical-relative:text">
                <v:imagedata r:id="rId1" o:title=""/>
              </v:shape>
            </w:pict>
          </w:r>
        </w:p>
      </w:tc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336EC3F0" w14:textId="77777777" w:rsidR="00BB7A0A" w:rsidRDefault="00BB7A0A">
          <w:pPr>
            <w:jc w:val="right"/>
            <w:rPr>
              <w:rFonts w:ascii="宋体" w:eastAsia="宋体" w:hAnsi="宋体" w:cs="宋体" w:hint="eastAsia"/>
              <w:color w:val="000000"/>
              <w:sz w:val="23"/>
              <w:szCs w:val="23"/>
            </w:rPr>
          </w:pPr>
          <w:r>
            <w:rPr>
              <w:rFonts w:ascii="宋体" w:eastAsia="宋体" w:hAnsi="宋体" w:cs="宋体"/>
              <w:color w:val="000000"/>
              <w:sz w:val="23"/>
              <w:szCs w:val="23"/>
            </w:rPr>
            <w:t>【法宝引证码】CLI.14.6417724</w:t>
          </w:r>
        </w:p>
      </w:tc>
    </w:tr>
  </w:tbl>
  <w:p w14:paraId="5EAFB25F" w14:textId="77777777" w:rsidR="00BB7A0A" w:rsidRDefault="00BB7A0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B3E"/>
    <w:rsid w:val="00014960"/>
    <w:rsid w:val="004C2674"/>
    <w:rsid w:val="00A51352"/>
    <w:rsid w:val="00A77B3E"/>
    <w:rsid w:val="00B44B50"/>
    <w:rsid w:val="00BB7A0A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77C55"/>
  <w15:chartTrackingRefBased/>
  <w15:docId w15:val="{276E5B13-C1F8-48E4-A703-CF055F23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lltext-wrap">
    <w:name w:val="fulltext-wrap"/>
    <w:basedOn w:val="a"/>
    <w:pPr>
      <w:pBdr>
        <w:top w:val="none" w:sz="0" w:space="18" w:color="auto"/>
        <w:left w:val="none" w:sz="0" w:space="18" w:color="auto"/>
        <w:bottom w:val="none" w:sz="0" w:space="18" w:color="auto"/>
        <w:right w:val="none" w:sz="0" w:space="18" w:color="auto"/>
      </w:pBdr>
    </w:pPr>
  </w:style>
  <w:style w:type="paragraph" w:customStyle="1" w:styleId="fulltext-wraptitle">
    <w:name w:val="fulltext-wrap_title"/>
    <w:basedOn w:val="a"/>
    <w:pPr>
      <w:jc w:val="center"/>
    </w:pPr>
    <w:rPr>
      <w:sz w:val="30"/>
      <w:szCs w:val="30"/>
    </w:rPr>
  </w:style>
  <w:style w:type="paragraph" w:customStyle="1" w:styleId="div">
    <w:name w:val="div"/>
    <w:basedOn w:val="a"/>
    <w:pPr>
      <w:textAlignment w:val="baseline"/>
    </w:pPr>
  </w:style>
  <w:style w:type="paragraph" w:customStyle="1" w:styleId="divFullText">
    <w:name w:val="divFullText"/>
    <w:basedOn w:val="a"/>
    <w:pPr>
      <w:spacing w:line="600" w:lineRule="atLeast"/>
    </w:pPr>
    <w:rPr>
      <w:rFonts w:ascii="宋体" w:eastAsia="宋体" w:hAnsi="宋体" w:cs="宋体"/>
      <w:color w:val="000000"/>
      <w:sz w:val="27"/>
      <w:szCs w:val="27"/>
    </w:rPr>
  </w:style>
  <w:style w:type="paragraph" w:customStyle="1" w:styleId="p">
    <w:name w:val="p"/>
    <w:basedOn w:val="a"/>
    <w:pPr>
      <w:textAlignment w:val="baseline"/>
    </w:pPr>
  </w:style>
  <w:style w:type="paragraph" w:customStyle="1" w:styleId="fulltext-wrapfulltextTiaoYinV2">
    <w:name w:val="fulltext-wrap_fulltext_TiaoYinV2"/>
    <w:basedOn w:val="a"/>
    <w:pPr>
      <w:spacing w:line="384" w:lineRule="auto"/>
    </w:pPr>
    <w:rPr>
      <w:b/>
      <w:bCs/>
      <w:color w:val="218FC4"/>
      <w:sz w:val="21"/>
      <w:szCs w:val="21"/>
    </w:rPr>
  </w:style>
  <w:style w:type="character" w:customStyle="1" w:styleId="fulltext-wrapnavtiao">
    <w:name w:val="fulltext-wrap_navtiao"/>
    <w:rPr>
      <w:b/>
      <w:bCs/>
    </w:rPr>
  </w:style>
  <w:style w:type="paragraph" w:styleId="a3">
    <w:name w:val="header"/>
    <w:basedOn w:val="a"/>
    <w:link w:val="a4"/>
    <w:rsid w:val="00BB7A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BB7A0A"/>
    <w:rPr>
      <w:sz w:val="18"/>
      <w:szCs w:val="18"/>
    </w:rPr>
  </w:style>
  <w:style w:type="paragraph" w:styleId="a5">
    <w:name w:val="footer"/>
    <w:basedOn w:val="a"/>
    <w:link w:val="a6"/>
    <w:rsid w:val="00BB7A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rsid w:val="00BB7A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6089</Words>
  <Characters>6150</Characters>
  <Application>Microsoft Office Word</Application>
  <DocSecurity>0</DocSecurity>
  <Lines>198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超涵 章</dc:creator>
  <cp:keywords/>
  <cp:lastModifiedBy>超涵 章</cp:lastModifiedBy>
  <cp:revision>3</cp:revision>
  <cp:lastPrinted>1899-12-31T16:00:00Z</cp:lastPrinted>
  <dcterms:created xsi:type="dcterms:W3CDTF">2024-07-10T02:55:00Z</dcterms:created>
  <dcterms:modified xsi:type="dcterms:W3CDTF">2025-09-30T00:40:00Z</dcterms:modified>
</cp:coreProperties>
</file>