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1846" w14:textId="72C5C1DD" w:rsidR="00096A3A" w:rsidRDefault="00096A3A" w:rsidP="00A87042">
      <w:pPr>
        <w:pStyle w:val="div"/>
        <w:spacing w:line="600" w:lineRule="atLeast"/>
        <w:ind w:right="1725"/>
        <w:rPr>
          <w:rFonts w:ascii="宋体" w:eastAsia="宋体" w:hAnsi="宋体" w:cs="宋体" w:hint="eastAsia"/>
          <w:color w:val="000000"/>
          <w:sz w:val="27"/>
          <w:szCs w:val="27"/>
        </w:rPr>
      </w:pPr>
    </w:p>
    <w:p w14:paraId="2AE3FA11" w14:textId="77777777" w:rsidR="00096A3A" w:rsidRDefault="00096A3A">
      <w:pPr>
        <w:pStyle w:val="div"/>
        <w:spacing w:line="600" w:lineRule="atLeast"/>
        <w:ind w:left="375" w:right="375"/>
        <w:jc w:val="center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t>吉林省城乡建设领域碳达峰工作方案</w:t>
      </w:r>
    </w:p>
    <w:p w14:paraId="06FD2057" w14:textId="77777777" w:rsidR="00096A3A" w:rsidRDefault="00096A3A">
      <w:pPr>
        <w:spacing w:after="300"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为深入贯彻落实《中共中央 国务院关于</w:t>
      </w:r>
      <w:hyperlink r:id="rId6" w:history="1">
        <w:r>
          <w:rPr>
            <w:rStyle w:val="fulltext-wrapfulltexta"/>
            <w:rFonts w:ascii="宋体" w:eastAsia="宋体" w:hAnsi="宋体" w:cs="宋体"/>
            <w:sz w:val="27"/>
            <w:szCs w:val="27"/>
          </w:rPr>
          <w:t>完整准确全面贯彻新发展理念做好碳达峰碳中和工作的意见</w:t>
        </w:r>
      </w:hyperlink>
      <w:r>
        <w:rPr>
          <w:rFonts w:ascii="宋体" w:eastAsia="宋体" w:hAnsi="宋体" w:cs="宋体"/>
          <w:color w:val="000000"/>
          <w:sz w:val="27"/>
          <w:szCs w:val="27"/>
        </w:rPr>
        <w:t>》、国务院《2030年前碳达峰行动方案》，以及住建部、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国家发改委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《城乡建设领域碳达峰实施方案》精神，按照省委、省政府碳达峰工作部署，扎实推进城乡建设领域实现碳达峰目标，制定本工作方案。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bookmarkStart w:id="0" w:name="tiao_1"/>
      <w:bookmarkEnd w:id="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一、</w:t>
      </w:r>
      <w:r>
        <w:rPr>
          <w:rFonts w:ascii="宋体" w:eastAsia="宋体" w:hAnsi="宋体" w:cs="宋体"/>
          <w:color w:val="000000"/>
          <w:sz w:val="27"/>
          <w:szCs w:val="27"/>
        </w:rPr>
        <w:t>主要目标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到2025年，城镇新建民用建筑全面建成绿色建筑，城镇新建建筑能效水平显著提升，可再生能源建筑应用技术应用更广泛，城镇环境基础设施进一步升级，绿色低碳生产生活方式普遍推广，城市品质和人居环境质量得到不断提高，重点发展区域农村建筑节能实现突破，为实现城乡建设领域碳达峰、碳中和奠定坚实基础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到2030年，城乡建设领域直接碳排放达到峰值；间接碳排放控制成效显著。城乡建设绿色低碳发展体制机制初步建立，监督管理制度基本完善，绿色低碳技术标准体系基本健全；建筑节能水平大幅提高，能源利用效率达到国际先进水平；建筑用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能结构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 xml:space="preserve">更加优化，城镇建筑可再生能源替代率不断提高；城乡建设和管理模式绿色低碳转型取得积极进展，“大量建设、大量消耗、大量排放”的粗放式发展方式基本扭转；建筑品质和工程质量进一步提高，生态环境、人居环境、基础设施、公共服务等方面质量大幅改善；绿色生活方式普遍形成，绿色低碳运行初步实现。 </w:t>
      </w:r>
    </w:p>
    <w:p w14:paraId="37CE6BFE" w14:textId="77777777" w:rsidR="00096A3A" w:rsidRDefault="00096A3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" w:name="tiao_2"/>
      <w:bookmarkEnd w:id="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二、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重点任务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（一）建设绿色低碳城市。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　　1.优化城镇空间格局。积极开展绿色低碳城市建设，推动形成多中心、组团式、网络化、集约型的城镇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化空间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格局，优先划定中心城市、都市圈、城市群周边重要生态功能空间，集约紧凑划定城镇开发边界，避免城镇空间无序蔓延。（省自然资源厅、省住房城乡建设厅、省水利厅按职责分工负责，各市县政府负责落实，下同，不再列出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2.优化城镇用地布局。优化城市功能布局和空间结构，推动人、城、产、交通一体化发展，促进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产城融合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、职住平衡。优化城镇道路网结构和布局，中心城区内道路网系统的密度应大于8公里/平方公里。推行公交引导城市发展模式，以公交为主改善空间连通性和可达性，促进城市高效、安全、低能耗运行。完善城市蓝绿开敞空间系统，构建生态廊道和通风廊道，均衡布局城市绿地，加强社区公园“口袋公园”“小微绿地”建设。结合街道和蓝绿网络，构建系统安全的慢行系统，建设步行友好城市。严格控制新建超高层建筑，一般不得新建超高层住宅。落实国家既有建筑拆除管理办法，杜绝大拆大建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除违法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建筑和经专业机构鉴定为危房且无修缮保留价值的建筑外，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不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大规模、成片集中拆除现状建筑。盘活存量用地和房屋，提升节约集约用地水平，减少各类空置房。（省自然资源厅、省住房城乡建设厅、省交通运输厅按职责分工负责）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3.建设绿色低碳社区。推广功能符合的混合街区，倡导居住、商业、无污染产业等混合布局。构建5-10分钟、15分钟社区生活圈，优化居住和公共服务设施用地布局，补齐基本公共服务与公共空间短板，通过步行和骑行网络加强社区生活圈服务要素之间的有机串联。持续推进社区人居环境建设和整治，进一步巩固绿色社区创建成果，努力实现社区人居环境整洁、舒适、安全、美丽的目标。鼓励物业服务企业向业主提供居家养老、家政、托幼、健身、购物等生活服务，在步行范围内满足业主基本生活需求。鼓励选用新能源汽车，推进社区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充换电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设施建设。（省自然资源厅、省住房城乡建设厅、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省发改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委、省民政厅、省公安厅、省生态环境厅、省市场监督管理厅按职责分工负责）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　　4.全面提高绿色建筑品质。持续开展绿色建筑创建行动，到2025年，城镇新建民用建筑全面执行绿色建筑标准。新建政府投资或以政府投资为主的公共建筑、社会投资建筑面积2万平方米及以上的大型公共建筑，应按照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星级及以上绿色建筑标准设计建设，鼓励建设高星级绿色建筑。城镇星级绿色建筑占新建绿色建筑比率达到30%以上，推动政府投资公益性建筑、大型公共建筑以及绿色生态城区、重点功能区新建建筑全面建设星级绿色建筑。颁布吉林省工程建设标准《超低能耗居住建筑设计标准》《超低能耗公共建筑设计标准》。2025年前，新建公共建筑本体达到72%节能要求。2030年前，新建居住建筑本体达到83%节能要求，新建公共建筑本体达到78%节能要求。开展超低能耗建筑试点示范工作，鼓励建设低碳建筑、近零能耗建筑，推动规模化发展。颁布实施《建筑外墙外保温系统修缮技术标准》，加强既有建筑节能改造鉴定评估。加强公共建筑能耗统计分析，逐步推行建筑能效测评标识和能耗限额管理。加强空调、照明、电梯等重点用能设备运行调试，提升公共建筑机电系统的总体能效水平。（省住房城乡建设厅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省发改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委、省机关事务管理局、省市场监管厅按职责分工负责）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5.建设绿色低碳住宅。积极发展中小户型普通住宅，限制发展超大户型住宅，合理布局居住生活空间，鼓励大开间、小进深。严格落实建筑节能设计标准，充分利用太阳能，降低住宅能耗。大力推行新建住宅全装修，加强全装修工程质量监管。督促施工单位加强装修材料进场验收工作，严格按照设计文件和相关标准规范施工。督促质量检测机构严格按照标准进行检测，确保检测结果真实、有效。积极推广装配化装修，促进装配化装修与装配式建筑深度融合，推行整体卫浴和厨房等模块化部品应用技术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实现部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品部件可拆改、可循环使用。督促物业企业按照合同约定提高共用设施设备维修养护水平，提升智能化程度。加强住宅共用部位维护管理，延长住宅使用寿命。（省住房城乡建设厅）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6.提高基础设施运行效率。实施老旧管网更新改造机制，加强供热管网保温材料更换，推进供热场站、管网智能化改造，“十四五”期间计划每年改造供热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管网1000公里，到2025年末，完成供热管网改造5000公里。持续开展人行步道和自行车专用道净化，因地制宜建设路权专有、封闭隔离、快速通行的自行车专用道，提升城市公共交通运行效率和服务水平。因地制宜推进生活垃圾分类和减量化、资源化，力争2025年底前，地级及以上城市基本建立配套完善的生活垃圾分类法规制度体系，基本建立生活垃圾分类投放、分类收集、分类运输、分类处理系统，生活垃圾资源化利用率达到60%左右。到2030年，城镇生活垃圾分类实现全覆盖，生活垃圾资源化利用率提升至65%。结合城市内涝治理和水环境治理，系统化全域落实海绵城市建设理念和技术标准，督促指导各地建立海绵城市建设管理常态化机制，力争到2030年，城市建成区平均可渗透面积比达到45%。结合老旧小区改造，实施城市老旧供水管网改造工程，加大供水管网建设改造力度，提升公共供水管网普及率，到2030年，力争城市公共供水管网漏损率控制在8%以内。推进污水收集处理设施建设改造，到2025年，基本消除城市建成区生活污水直排口和收集处理设施空白区。有序指导各地加快市政再生水利用设施建设，提升利用效能，到2030年城市再生水利用率力争达到30%。推进城市绿色照明，选用符合国家标准的设施设备，优先选用经认证的高效节能产品，不得使用低功效、高能耗的落后淘汰照明产品。实施城市照明集中管理、集中控制和分时控制模式，科学合理安排照明开关时间。（省住房城乡建设厅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省发改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委、省生态环境厅、省商务厅按职责分工负责）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7.优化城市建设用能结构。完善建筑太阳能光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伏技术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标准，充分利用建筑本体及周边空间，推进建筑太阳能光伏一体化建设，在满足电力消纳的前提下，鼓励在新建公共机构建筑、新建厂房屋顶建设分布式光伏项目。有稳定热水需求的医院、宾馆、学校、宿舍、住宅等建筑，应积极使用太阳能热水系统。因地制宜发展工业余热源、空气源、污水源、浅层及中深层地热源等可再生能源建筑应用热泵技术，力争到2025年城镇建筑可再生能源替代率达到8%。引导建筑供暖、生活热水向电气化发展，到2030年建筑用电占建筑能耗比例超过65%。推动智能微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电网、“光储直柔”、蓄冷蓄热、负荷灵活调节、虚拟电厂等技术应用，优先消纳可再生能源电力，主动参与电力需求侧响应。鼓励有条件的公共机构建设“光储直柔”示范建筑。探索建筑用电设备智能群控技术，在满足用电需求前提下，合理调配用电负荷，实现电力少增容、不增容。充分发挥城市热电供热能力，提高城市热电生物质耦合能力。（省能源局、省机关事务管理局、省住房城乡建设厅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国网省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电力公司按职责分工负责）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8.推进绿色低碳建造。到2025年，全省装配式建筑占新建建筑面积的比例达到30%以上。到2030年装配式建筑占当年城镇新建建筑的比例达到40%。提高预制构件和部品部件通用性，推广标准化、少规格、多组合设计，积极推广应用通用尺寸的预制构件和部品部件。在建筑工程中应用预拌混凝土和预拌砂浆。深入推进施工标准化管理工作，开展市级、省级施工标准化管理示范工地考评。推进建筑垃圾集中处理、分级利用，到2030年建筑垃圾资源化利用率达到55%。引导企业加强绿色施工新技术、新材料、新产品应用。积极推广节能型施工设备，监控重点设备耗能，对多台同类设备实时群控管理。加快绿色建材认证推广应用，制定《吉林省绿色建材认证推广应用方案》，开展绿色建材产品采信工作，探索研究绿色建材产品监管、反馈机制。（省住房城乡建设厅、省工信厅、省市场监督管理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（二）建设绿色低碳县城和乡村。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1.提升县城绿色低碳水平。严格按照《</w:t>
      </w:r>
      <w:hyperlink r:id="rId7" w:history="1">
        <w:r>
          <w:rPr>
            <w:rStyle w:val="fulltext-wrapfulltexta"/>
            <w:rFonts w:ascii="宋体" w:eastAsia="宋体" w:hAnsi="宋体" w:cs="宋体"/>
            <w:b w:val="0"/>
            <w:bCs w:val="0"/>
            <w:sz w:val="27"/>
            <w:szCs w:val="27"/>
          </w:rPr>
          <w:t>住房和城乡建设部等15部门关于加强县城绿色低碳建设的意见</w:t>
        </w:r>
      </w:hyperlink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》，开展绿色低碳县城建设，统筹山水林田湖草等保护类要素和城乡产业、交通等发展类要素布局，强化底线约束，优化县城城镇空间结构、农业空间结构、生态空间结构。坚持“小街区、密路网”，优化中心城区道路网结构和布局，县城内部道路红线宽度不超过40米，广场集中硬地面积不超过2公顷，步行道网络应连续通畅。（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省住建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厅、省生态环境厅、省交通运输厅、省林草局、省乡村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振兴局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等相关部门按职责分工负责）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　　2.营造自然低碳乡村格局。落实上位规划确定的农村居民点布局、建设用地规模和管控要求，合理布局乡村建设，保护乡村生态环境，减少资源能源消耗。开展绿色低碳村庄建设，提升乡村生态和环境质量。按照乡村振兴战略和城乡融合发展要求，优化乡村居民点布局。农房和村庄建设选址要安全可靠，顺应地形地貌，保护山水林田湖草沙生态脉络。农村居民点用地应充分考虑与村庄道路、服务设施、农田、绿地等的空间关系，尽量安排在村庄建设边界内，不占耕地或少占耕地，优先利用居民点内空闲地、闲置宅基地和未利用地，引导农村居民点集中建设。（省自然资源厅、省乡村振兴局、省林草局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3.推进绿色低碳农房建设。推广《吉林省农房建设图集》《吉林省乡村振兴“宜居建造”技术手册》，引导农户建设绿色农房。鼓励农村危房改造提升安全性同时，同步实施建筑节能改造。引导应用体系成熟的建筑节能技术。指导各地提高农房建设现代化水平，开展宜居农房建造试点，逐步提升农民生活品质。鼓励就地取材和利用乡土材料，推广使用绿色建材，鼓励选用装配式钢结构、木结构等建造方式。结合北方地区冬季清洁取暖项目，指导试点城市积极推进农房节能改造，提高常住房间舒适性，改造后实现整体能效提升30%以上。（省住房城乡建设厅、省乡村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振兴局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4.推进农村生活垃圾和污水治理低碳化。推动有条件的地方开展农村生活垃圾分类减量先行先试，积极探索符合农村特点和农民习惯、简便易行的分类处理模式，从源头上减少垃圾出村处理量。协同推进农村有机生活垃圾、厕所粪污、畜禽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粪污等农业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生产有机废弃物资源化处理和综合利用，以乡镇或行政村为单位建设一批农村有机废弃物综合处置利用设施，探索就地就近就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农处理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和资源化利用的路径。按照国家和省委省政府部署的农村生活污水治理工作要求，统筹谋划，科学布局，因地制宜优先治理乡镇政府所在地、中心村、近郊村、重要河湖沿岸周边村庄、旅游村等重点区域。本着应治尽治、就地就近、梯次推进、建管并重，效果长远的思路，坚持“近郊接管、就近联建、规模单建”的治理原则，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以污水减量化、分类就地处理为导向，合理确定适宜的治理模式，完善体制机制、强化运行管护，处理技术尽量做到低成本、低能耗、易维护、高效率，务求经济实效。注重技术培训和指导，促进农村生活污水治理工作整体提升。（省农业农村厅、省乡村振兴局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省发改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委、省住房城乡建设厅、省生态环境厅、省水利厅、省畜牧局、省供销社等按职责分工负责）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5.推广应用可再生能源。推进太阳能、地热能、空气热能、生物质能等可再生能源在乡村供气、供暖、供电等方面的应用。在满足电力消纳的前提下，鼓励推动农房屋顶、院落空地、农业设施、污水处理设施加装太阳能光伏系统。推动乡村进一步提高电气化水平，鼓励炊事、供暖、照明、交通、热水等用能电气化。充分利用太阳能光热系统提供生活热水，鼓励使用太阳能灶等设备。（省能源局、省农业农村厅、省住房城乡建设厅按职责分工负责） </w:t>
      </w:r>
    </w:p>
    <w:p w14:paraId="0511C692" w14:textId="77777777" w:rsidR="00096A3A" w:rsidRDefault="00096A3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" w:name="tiao_3"/>
      <w:bookmarkEnd w:id="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三、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强化保障措施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一）建立完善法律法规和标准计量体系。加快制定出台《吉林省绿色建筑发展条例》。依据国家城乡建设领域碳达峰相关法律法规，制定我省相关法规政策，建立健全碳排放管理制度，明确责任主体。结合我省实际，建立完善节能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降碳标准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计量体系，制定完善绿色建筑、低碳建筑、绿色建造等标准。鼓励长春市、吉林市等先进地区执行高于强制性标准的推荐性标准。各地各部门要根据碳排放控制目标要求和产业结构情况，合理确定城乡建设领域碳排放控制目标。贯彻落实国家标准，研究建立我省城市、县城、社区、行政村、住宅开发项目绿色低碳指标体系。建立并完善省市公共建筑能耗监管平台，推动能源消费数据共享，加强建筑领域计量器具配备和管理。加强城市、乡村等常住人口调查与分析。建立建筑领域能源资源消耗统计制度，做好既有建筑基础信息、能源资源消耗等数据收集、整理、报送工作，加强统计数据分析应用。（省司法厅、省住房城乡建设厅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省发改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委、省市场监督管理厅、省统计局、能源局、省工信厅、省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机关事务管理局、省政数局、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国网省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电力公司按职责分工负责）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）构建绿色低碳转型发展模式。坚持生态优先、节约优先，以落实碳达峰碳中和目标任务为目标，构建决策共谋、发展共建、建设共管、效果共评、成果共享的发展模式，健全政府主导、群团带动、社会参与机制。落实国家要求，实施“一年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体检、五年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评估”的城市体检评估制度和乡村建设评价机制。加快建设BIM、CIM等平台，推动数字建筑、数字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孪生城市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建设，加快城乡建设数字化转型。推广合同能源管理，探索节能咨询、诊断、设计、融资、改造、托管等“一站式”综合服务模式。（省住房城乡建设厅、省乡村振兴局、省农业农村厅、省政数局、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省发改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委按职责分工负责）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三）建立产学研一体化机制。组织开展城乡建设绿色技术基础研究、关键核心技术攻关、工程示范和产业化应用，结合北方严寒地区气候特点，重点推动建筑节能与绿色建筑等技术科技研发、成果转化、产业培育协同发展。充分发挥科技奖励的导向作用，积极引导企业技术创新，加速科研成果的进一步应用和产业化，强化创新型领军企业培育。鼓励支持领军企业联合高校、科研院所、产业园区、金融机构等力量，组建产业技术创新联盟等多种形式的创新联合体。鼓励高校增设碳达峰碳中和相关课程，加强人才队伍建设。（省科技厅、省工信厅、省教育厅、省住房城乡建设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四）完善金融财政支持政策。落实国家支持城乡建设领域碳达峰各项财税优惠政策。按照国家制定完善的绿色建筑和绿色建材政府采购需求标准，在政府采购领域推广绿色建筑和绿色建材应用。强化绿色金融支持，鼓励银行业金融机构在风险可控和商业自主原则下，创新信贷产品和服务支持城乡建设领域节能降碳。鼓励开发商投保全装修住宅质量保险，强化保险支持，发挥绿色保险产品的风险保障作用。合理开放城镇基础设施投资、建设和运营市场，应用特许经营、政府购买服务等手段吸引社会资本投入。完善差别电价、分时电价和居民阶梯电价政策。进一步推动落实《吉林省城镇供热系统调控设计标准》，加快建设智能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供热系统，完善供热计量收费政策体系，推进按热量收费。（省财政厅、省税务局、省住房城乡建设厅、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省发改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委、省地方金融监管局、吉林银保监局按职责分工负责） </w:t>
      </w:r>
    </w:p>
    <w:p w14:paraId="15FB739B" w14:textId="77777777" w:rsidR="00096A3A" w:rsidRDefault="00096A3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3" w:name="tiao_4"/>
      <w:bookmarkEnd w:id="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四、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加强组织实施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一）加强组织领导。各地各部门要认真贯彻落实碳达峰决策部署，充分认识城乡建设领域对实现碳达峰目标的重要作用。各有关部门要在碳达峰碳中和工作领导小组领导下，加强协调配合，各司其职，各负其责，形成合力，系统推进相关工作。（各有关部门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二）强化任务落实。各有关部门要结合职责分工完善支持政策，制定工作计划，推动落实各项任务。各级住房城乡建设主管部门要根据实际，制定碳达峰建设方案，明确目标和完成时限，细化工作任务，建立责任清单，要以“五化”工作法精准推进，确保各项工作落地见效。各地要认真总结优秀经验，及时梳理存在问题，并于每年10月底前将当年工作情况报告报省住房城乡建设厅。（各有关部门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（三）加大宣传培训力度。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将碳达峰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碳中和作为城乡建设领域培训的重要内容，将相关政策、技术、标准等纳入建设工程注册执业人员继续教育内容，提高行政管理、设计、施工、运行相关单位和企业人才低碳理念和业务水平。利用“节能宣传周”活动，普及绿色低碳知识，倡导绿色低碳生活方式，宣传先进经验和典型做法，引导群众逐步形成普遍共识、积极主动参与的浓厚氛围。（各有关部门按职责分工负责） </w:t>
      </w:r>
    </w:p>
    <w:p w14:paraId="6A8ECD5C" w14:textId="77777777" w:rsidR="00096A3A" w:rsidRDefault="00096A3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br/>
      </w:r>
    </w:p>
    <w:p w14:paraId="03692A47" w14:textId="77777777" w:rsidR="00096A3A" w:rsidRDefault="00096A3A">
      <w:pPr>
        <w:ind w:left="375" w:right="3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sectPr w:rsidR="00096A3A">
      <w:headerReference w:type="default" r:id="rId8"/>
      <w:footerReference w:type="default" r:id="rId9"/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6D41" w14:textId="77777777" w:rsidR="00797F08" w:rsidRDefault="00797F08">
      <w:r>
        <w:separator/>
      </w:r>
    </w:p>
  </w:endnote>
  <w:endnote w:type="continuationSeparator" w:id="0">
    <w:p w14:paraId="4D9C50FD" w14:textId="77777777" w:rsidR="00797F08" w:rsidRDefault="0079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19"/>
      <w:gridCol w:w="9037"/>
    </w:tblGrid>
    <w:tr w:rsidR="00340895" w14:paraId="1AFD695B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BD699AF" w14:textId="77777777" w:rsidR="00096A3A" w:rsidRDefault="00096A3A">
          <w:pPr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PAGE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1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/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NUMPAGES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2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2D2C5DB" w14:textId="77777777" w:rsidR="00096A3A" w:rsidRDefault="00096A3A">
          <w:pPr>
            <w:jc w:val="right"/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t>下载日期：2024-07-02</w:t>
          </w:r>
        </w:p>
      </w:tc>
    </w:tr>
  </w:tbl>
  <w:p w14:paraId="06BF9936" w14:textId="77777777" w:rsidR="00096A3A" w:rsidRDefault="00096A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64F4" w14:textId="77777777" w:rsidR="00797F08" w:rsidRDefault="00797F08">
      <w:r>
        <w:separator/>
      </w:r>
    </w:p>
  </w:footnote>
  <w:footnote w:type="continuationSeparator" w:id="0">
    <w:p w14:paraId="73585A03" w14:textId="77777777" w:rsidR="00797F08" w:rsidRDefault="00797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4857"/>
      <w:gridCol w:w="5699"/>
    </w:tblGrid>
    <w:tr w:rsidR="00340895" w14:paraId="116E0CA4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74D7546" w14:textId="77777777" w:rsidR="00096A3A" w:rsidRDefault="00A87042">
          <w:pPr>
            <w:rPr>
              <w:rFonts w:eastAsia="Times New Roman"/>
              <w:color w:val="000000"/>
            </w:rPr>
          </w:pPr>
          <w:r>
            <w:rPr>
              <w:rFonts w:eastAsia="Times New Roman"/>
              <w:color w:val="000000"/>
            </w:rPr>
            <w:pict w14:anchorId="6BC0DF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6.8pt;height:24pt;mso-position-horizontal-relative:text;mso-position-vertical-relative:text">
                <v:imagedata r:id="rId1" o:title=""/>
              </v:shape>
            </w:pic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7198E3F4" w14:textId="77777777" w:rsidR="00096A3A" w:rsidRDefault="00096A3A">
          <w:pPr>
            <w:jc w:val="right"/>
            <w:rPr>
              <w:rFonts w:ascii="宋体" w:eastAsia="宋体" w:hAnsi="宋体" w:cs="宋体" w:hint="eastAsia"/>
              <w:color w:val="000000"/>
              <w:sz w:val="23"/>
              <w:szCs w:val="23"/>
            </w:rPr>
          </w:pPr>
          <w:r>
            <w:rPr>
              <w:rFonts w:ascii="宋体" w:eastAsia="宋体" w:hAnsi="宋体" w:cs="宋体"/>
              <w:color w:val="000000"/>
              <w:sz w:val="23"/>
              <w:szCs w:val="23"/>
            </w:rPr>
            <w:t>【法宝引证码】CLI.14.7061214</w:t>
          </w:r>
        </w:p>
      </w:tc>
    </w:tr>
  </w:tbl>
  <w:p w14:paraId="45E7B2F0" w14:textId="77777777" w:rsidR="00096A3A" w:rsidRDefault="00096A3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096A3A"/>
    <w:rsid w:val="00340895"/>
    <w:rsid w:val="00727B21"/>
    <w:rsid w:val="00797F08"/>
    <w:rsid w:val="00A77B3E"/>
    <w:rsid w:val="00A87042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C4E9C"/>
  <w15:chartTrackingRefBased/>
  <w15:docId w15:val="{426585DB-5457-40EE-8593-0A8C939E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lltext-wrap">
    <w:name w:val="fulltext-wrap"/>
    <w:basedOn w:val="a"/>
    <w:pPr>
      <w:pBdr>
        <w:top w:val="none" w:sz="0" w:space="18" w:color="auto"/>
        <w:left w:val="none" w:sz="0" w:space="18" w:color="auto"/>
        <w:bottom w:val="none" w:sz="0" w:space="18" w:color="auto"/>
        <w:right w:val="none" w:sz="0" w:space="18" w:color="auto"/>
      </w:pBdr>
    </w:pPr>
  </w:style>
  <w:style w:type="paragraph" w:customStyle="1" w:styleId="fulltext-wraptitle">
    <w:name w:val="fulltext-wrap_title"/>
    <w:basedOn w:val="a"/>
    <w:pPr>
      <w:jc w:val="center"/>
    </w:pPr>
    <w:rPr>
      <w:sz w:val="30"/>
      <w:szCs w:val="30"/>
    </w:rPr>
  </w:style>
  <w:style w:type="paragraph" w:customStyle="1" w:styleId="div">
    <w:name w:val="div"/>
    <w:basedOn w:val="a"/>
    <w:pPr>
      <w:textAlignment w:val="baseline"/>
    </w:pPr>
  </w:style>
  <w:style w:type="paragraph" w:customStyle="1" w:styleId="divFullText">
    <w:name w:val="divFullText"/>
    <w:basedOn w:val="a"/>
    <w:pPr>
      <w:spacing w:line="600" w:lineRule="atLeast"/>
    </w:pPr>
    <w:rPr>
      <w:rFonts w:ascii="宋体" w:eastAsia="宋体" w:hAnsi="宋体" w:cs="宋体"/>
      <w:color w:val="000000"/>
      <w:sz w:val="27"/>
      <w:szCs w:val="27"/>
    </w:rPr>
  </w:style>
  <w:style w:type="paragraph" w:customStyle="1" w:styleId="p">
    <w:name w:val="p"/>
    <w:basedOn w:val="a"/>
    <w:pPr>
      <w:textAlignment w:val="baseline"/>
    </w:pPr>
  </w:style>
  <w:style w:type="paragraph" w:customStyle="1" w:styleId="fulltext-wrapfulltextTiaoYinV2">
    <w:name w:val="fulltext-wrap_fulltext_TiaoYinV2"/>
    <w:basedOn w:val="a"/>
    <w:pPr>
      <w:spacing w:line="384" w:lineRule="auto"/>
    </w:pPr>
    <w:rPr>
      <w:b/>
      <w:bCs/>
      <w:color w:val="218FC4"/>
      <w:sz w:val="21"/>
      <w:szCs w:val="21"/>
    </w:rPr>
  </w:style>
  <w:style w:type="character" w:customStyle="1" w:styleId="fulltext-wrapfulltexta">
    <w:name w:val="fulltext-wrap_fulltext_a"/>
    <w:rPr>
      <w:color w:val="218FC4"/>
    </w:rPr>
  </w:style>
  <w:style w:type="character" w:customStyle="1" w:styleId="fulltext-wrapnavtiao">
    <w:name w:val="fulltext-wrap_navtiao"/>
    <w:rPr>
      <w:b/>
      <w:bCs/>
    </w:rPr>
  </w:style>
  <w:style w:type="paragraph" w:styleId="a3">
    <w:name w:val="header"/>
    <w:basedOn w:val="a"/>
    <w:link w:val="a4"/>
    <w:rsid w:val="00096A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96A3A"/>
    <w:rPr>
      <w:sz w:val="18"/>
      <w:szCs w:val="18"/>
    </w:rPr>
  </w:style>
  <w:style w:type="paragraph" w:styleId="a5">
    <w:name w:val="footer"/>
    <w:basedOn w:val="a"/>
    <w:link w:val="a6"/>
    <w:rsid w:val="00096A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096A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pkulaw.com/chl/54d7099871da2eddbdfb.html?way=textSl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kulaw.com/chl/5b82d2844f7e948fbdfb.html?way=textSlc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3613</Words>
  <Characters>3651</Characters>
  <Application>Microsoft Office Word</Application>
  <DocSecurity>0</DocSecurity>
  <Lines>121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超涵 章</dc:creator>
  <cp:keywords/>
  <cp:lastModifiedBy>超涵 章</cp:lastModifiedBy>
  <cp:revision>3</cp:revision>
  <cp:lastPrinted>1899-12-31T16:00:00Z</cp:lastPrinted>
  <dcterms:created xsi:type="dcterms:W3CDTF">2024-07-10T03:08:00Z</dcterms:created>
  <dcterms:modified xsi:type="dcterms:W3CDTF">2025-09-29T08:36:00Z</dcterms:modified>
</cp:coreProperties>
</file>