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658E" w14:textId="373CD81A" w:rsidR="005322E1" w:rsidRDefault="005322E1" w:rsidP="00E56D07">
      <w:pPr>
        <w:pStyle w:val="div"/>
        <w:spacing w:line="600" w:lineRule="atLeast"/>
        <w:ind w:right="1455"/>
        <w:rPr>
          <w:rFonts w:ascii="宋体" w:eastAsia="宋体" w:hAnsi="宋体" w:cs="宋体" w:hint="eastAsia"/>
          <w:color w:val="000000"/>
          <w:sz w:val="27"/>
          <w:szCs w:val="27"/>
        </w:rPr>
      </w:pPr>
    </w:p>
    <w:p w14:paraId="0C5DEE4D" w14:textId="77777777" w:rsidR="005322E1" w:rsidRDefault="005322E1">
      <w:pPr>
        <w:pStyle w:val="div"/>
        <w:spacing w:line="600" w:lineRule="atLeast"/>
        <w:ind w:left="375" w:right="375"/>
        <w:jc w:val="center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t>河北省城乡建设领域碳达峰实施方案</w:t>
      </w:r>
    </w:p>
    <w:p w14:paraId="0A8BC13D" w14:textId="77777777" w:rsidR="005322E1" w:rsidRDefault="005322E1">
      <w:pPr>
        <w:spacing w:after="300" w:line="600" w:lineRule="atLeast"/>
        <w:ind w:left="375" w:right="375"/>
        <w:rPr>
          <w:rFonts w:ascii="宋体" w:eastAsia="宋体" w:hAnsi="宋体" w:cs="宋体" w:hint="eastAsia"/>
          <w:color w:val="000000"/>
          <w:sz w:val="27"/>
          <w:szCs w:val="27"/>
        </w:rPr>
      </w:pP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为深入贯彻党中央、国务院关于碳达峰、碳中和的重大战略决策，全面落实省委、省政府有关工作部署，根据住房城乡建设部、国家发展改革委《城乡建设领域碳达峰实施方案》和《河北省碳达峰实施方案》，制定本实施方案。</w:t>
      </w:r>
      <w:r>
        <w:rPr>
          <w:rFonts w:ascii="宋体" w:eastAsia="宋体" w:hAnsi="宋体" w:cs="宋体"/>
          <w:color w:val="000000"/>
          <w:sz w:val="27"/>
          <w:szCs w:val="27"/>
        </w:rPr>
        <w:br/>
        <w:t xml:space="preserve">　　一、总体要求</w:t>
      </w:r>
      <w:r>
        <w:rPr>
          <w:rFonts w:ascii="宋体" w:eastAsia="宋体" w:hAnsi="宋体" w:cs="宋体"/>
          <w:color w:val="000000"/>
          <w:sz w:val="27"/>
          <w:szCs w:val="27"/>
        </w:rPr>
        <w:br/>
      </w:r>
      <w:bookmarkStart w:id="0" w:name="tiao_1"/>
      <w:bookmarkEnd w:id="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（一）</w:t>
      </w:r>
      <w:r>
        <w:rPr>
          <w:rFonts w:ascii="宋体" w:eastAsia="宋体" w:hAnsi="宋体" w:cs="宋体"/>
          <w:color w:val="000000"/>
          <w:sz w:val="27"/>
          <w:szCs w:val="27"/>
        </w:rPr>
        <w:t xml:space="preserve">指导思想。以习近平新时代中国特色社会主义思想为指导，深入贯彻党的二十大精神，认真践行习近平生态文明思想，全面落实习近平总书记对河北工作重要指示精神，准确把握京津冀协同发展战略要求，完整准确全面贯彻新发展理念，坚持系统观念，统筹发展和安全，以绿色低碳高质量发展为引领，健全政策体系和市场机制，强化技术标准支撑，全面提升城乡建设绿色发展质量，稳妥有序推进城乡建设领域碳达峰，为建设经济强省、美丽河北作出新贡献。 </w:t>
      </w:r>
    </w:p>
    <w:p w14:paraId="2E80FCA8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" w:name="tiao_2"/>
      <w:bookmarkEnd w:id="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主要目标。2030年前，城乡建设绿色低碳发展政策体系和体制机制基本建立，能源资源利用效率达到国际先进水平，用能结构和方式更加优化，可再生能源应用更加充分，城乡建设方式绿色低碳转型取得明显进展，绿色低碳运行基本实现，城市整体性、系统性、生长性进一步增强，人居环境质量大幅改善，绿色生活方式成为公众自觉行为，城乡建设领域碳排放达到峰值。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二、建设绿色低碳城市 </w:t>
      </w:r>
    </w:p>
    <w:p w14:paraId="2569750D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" w:name="tiao_3"/>
      <w:bookmarkEnd w:id="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（三）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优化城市布局结构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1.构建区域协同绿色发展新格局。优化城市形态和功能布局，推进区域重大基础设施共建共享。推动城市组团式发展，每个组团面积不超过50平方公里，组团内平均人口密度原则上不超过1万人/平方公里；加强生态廊道、通风廊道、滨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水空间和城市绿道统筹布局，协调建设区域生态网络，组团间保持生态隔离空间并形成贯通连续的生态廊道，净宽度不少于100米。打造绿色发展“雄安标准”，建设绿色生态宜居新城区。（省自然资源厅、省住房城乡建设厅、省发展改革委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2.加强城市规划绿色低碳管控。明确空间形态重点管控地区，严格控制新建超高层建筑。引导发展功能复合的产业社区，促进产城融合、职住平衡。合理布局城市快速干线交通、生活性集散交通和绿色慢行交通设施，到2025年城市建成区路网密度达到9公里/平方公里以上。严格既有建筑拆除管理，除违法建筑和经专业机构鉴定为危房且无修缮保留价值的建筑外，不大规模、成片集中拆除现状建筑。（省自然资源厅、省住房城乡建设厅等按职责分工负责） </w:t>
      </w:r>
    </w:p>
    <w:p w14:paraId="59BC3A27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3" w:name="tiao_4"/>
      <w:bookmarkEnd w:id="3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（四）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开展绿色低碳社区建设。按照《完整居住社区建设标准》，完善基本公共服务、便民商业服务和市政配套设施和公共活动空间，推动社区管理机制建设，到2030年设区城市完整居住社区覆盖率达到60%以上。推进绿色社区创建行动，推动社区人居环境、基础设施绿色化、信息智能化和绿色文化等建设，将绿色发展理念贯穿社区规划建设管理全过程。鼓励选用绿色家电产品，倡导“部分空间、部分时间”等绿色低碳用能方式，推进社区充换电设施建设。（省住房城乡建设厅、省自然资源厅、省发展改革委、省商务厅等按职责分工负责） </w:t>
      </w:r>
    </w:p>
    <w:p w14:paraId="250FE07B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4" w:name="tiao_5"/>
      <w:bookmarkEnd w:id="4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（五）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全面提高建筑绿色低碳水平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1.大力发展绿色低碳建筑。建设高品质绿色建筑，政府投资或者以政府投资为主的建筑、建筑面积大于2万平方米的大型公共建筑、建筑面积大于10万平方米的住宅小区全部达到一星级以上，大幅提高雄安新区、廊坊北三县三星级绿色建筑比例，到2025年，全省城镇竣工绿色建筑占比100%，星级绿色建筑占比达到50%以上。实施建筑能效提升工程，2030年前新建居住建筑本体达到83%节能要求，新建公共建筑本体达到78%节能要求。推进被动式超低能耗建筑（近零能耗建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筑）又快又好发展，建设雄安新区近零能耗建筑示范区，在保定市开展全产业链发展试点示范，到2025年全省累计建设1350万平方米以上。（省住房城乡建设厅、省发展改革委、省机关事务管理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2.推进既有建筑节能改造。开展既有建筑节能情况评估，制定专项改造规划（方案）并组织实施，对具备改造价值和条件的居住建筑应改尽改，改造部分节能水平应达到现行标准规定。鼓励城镇老旧小区同步进行节能改造。逐步开展公共建筑能耗限额管理。实施既有公共机构建筑绿色化改造。推进公共建筑能效提升重点城市建设，到2030年列入国家名单的重点城市全部完成改造任务并提升整体能效20%以上。实行公共建筑运行调适制度，到2030年公共建筑机电系统的总体能效比现有水平提升10%。（省住房城乡建设厅、省机关事务管理局按职责分工负责） </w:t>
      </w:r>
    </w:p>
    <w:p w14:paraId="6D23A141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5" w:name="tiao_6"/>
      <w:bookmarkEnd w:id="5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（六）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建设绿色低碳住宅。加强绿色低碳住宅设计，发展中小户型普通住宅，限制发展超大户型住宅；根据当地气候条件，合理确定住宅朝向、窗墙比和体形系数，降低住宅能耗；合理布局居住生活空间，鼓励大开间、小进深，充分利用日照和自然通风。推动新建住宅全装修交付使用，推广装配化装修，推行整体卫浴和厨房等模块化部品应用技术。强化住宅共用设施设备、共用部位维修养护，延长住宅使用寿命。（省住房城乡建设厅、省自然资源厅按职责分工负责） </w:t>
      </w:r>
    </w:p>
    <w:p w14:paraId="0AEE1AE6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6" w:name="tiao_7"/>
      <w:bookmarkEnd w:id="6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（七）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提高基础设施运行效率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1.实施城市老旧管网更新改造工程。科学确定更新改造标准，加快推进城市老旧燃气、供热和供水管网更新改造，提升管网设施运行效能和管理智能化水平，到2030年，城市供热管网热损失比2020年下降5个百分点，城市公共供水管网漏损率稳定控制在8%以内。（省住房城乡建设厅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2.构建城市绿色交通、绿色照明等体系。优先发展城市公共交通，推进自行车道、步行道等城市慢行系统建设，完善无障碍设施，为绿色出行创造条件。加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快推进城市照明节电和照明控制系统智能化建设改造，到2030年LED等智能高效节能灯具使用率占比达到80%以上。创建生态园林城市、园林城市，办好省园林博览会，建设“口袋公园”，打造高品质林荫大道、城市绿道和生态庭院，到2030年，城市建成区绿地率达到38.9%以上，拥有绿道长度超过1公里/万人。系统化全域推进海绵城市示范建设，到2030年设市城市建成区平均可渗透面积占比达到45%。（省住房城乡建设厅、省公安厅、省交通运输厅、省水利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3.推进生活垃圾和生活污水资源化利用。完善生活垃圾分类投放、分类收集、分类运输、分类处理系统，加强垃圾焚烧发电设施智能化运行管理，保持全省原生生活垃圾零填埋、全焚烧，2030年前城市生活垃圾资源化利用比例达到65%以上。加快城镇生活污水处理和再生水利用设施建设，强化运行管理，到2025年全省市县平均再生水利用率达到60%以上。（省住房城乡建设厅、省发展改革委、省生态环境厅等按职责分工负责） </w:t>
      </w:r>
    </w:p>
    <w:p w14:paraId="6B8AACC3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7" w:name="tiao_8"/>
      <w:bookmarkEnd w:id="7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（八）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加快优化建筑用能结构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1.推广可再生能源建筑应用。新建建筑全面安装太阳能系统，坚持一体化设计，宜电则电，宜热则热。在既有公共建筑中推广应用太阳能光伏和光热系统。开展整县屋顶分布式光伏开发试点。因地制宜推广地源、空气源热泵等技术。鼓励张家口、承德、保定和邢台等市打造可再生能源建筑应用高地。到2025年，新建公共机构建筑、新建厂房屋顶光伏覆盖率力争达到50%，城镇建筑可再生能源替代率达到8%。（省住房城乡建设厅、省发展改革委、省机关事务管理局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2.加快建筑用能电气化。引导建筑供暖、制冷、热水、炊事等向电气化发展。推广智能微电网、“光储直柔”、蓄冷蓄热、负荷灵活调节、虚拟电厂等技术应用，优先消纳可再生能源电力，主动参与电力需求侧响应。逐步推行新建公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>共建筑按照超低能耗节能标准建设，运行全部使用电力。到2030年，建筑用电占建筑能耗比例达到45%以上，新建公共建筑全面电气化比例达到20%。（省住房城乡建设厅、省机关事务管理局、省发展改革委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3.推动建筑热源端低碳化。优化调整城镇供热热源结构，积极发展以清洁热电联产为主导的供热方式，优先利用各类工业余热、废热资源，因地制宜利用地热能、太阳能、生物质能等清洁和可再生能源作为供热能源。在石家庄、唐山等市推广工业余热供暖，在雄安新区和邢台等市推广地热能供暖。引导超低能耗建筑不再采用市政集中供热。（省住房城乡建设厅、省发展改革委等按职责分工负责） </w:t>
      </w:r>
    </w:p>
    <w:p w14:paraId="4212B26B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8" w:name="tiao_9"/>
      <w:bookmarkEnd w:id="8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（九）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绿色低碳建造。发展装配式建筑，推进标准化建设，鼓励医院、学校等公共建筑优先采用钢结构，培育产业基地，增强唐山、保定、廊坊等市环京津和雄安新区的市场辐射能力，到2030年装配式建筑占当年城镇新建建筑的比例达到40%。推广应用绿色施工新技术、新材料、新工艺、新设备，培育智能建造产业基地。建立健全优先选用绿色建材的机制，2030年前星级绿色建筑全面推广绿色建材。引导企业精细管理、精准施工，到2030年施工现场建筑材料损耗率比2020年下降20%。推动施工现场建筑垃圾减量化，到2030年新建建筑施工现场建筑垃圾排放量不高于300吨/万平方米。建设建筑垃圾资源化利用体系，实行分类合理利用，到2030年建筑垃圾资源化利用率达到55%以上。（省住房城乡建设厅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三、打造绿色低碳县城和乡村 </w:t>
      </w:r>
    </w:p>
    <w:p w14:paraId="62539D31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9" w:name="tiao_10"/>
      <w:bookmarkEnd w:id="9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提升县城绿色低碳水平。持续开展县城建设提质升级行动，依据国土空间规划，科学确定县城空间形态、开发强度、规划建设参数等指标。县城建设要融入自然，顺应原有地形地貌，形成沿山、临海、滨河特色空间。按照大分散与小区域集中相结合原则，建设绿色节约型基础设施。强化县城建设密度与开发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lastRenderedPageBreak/>
        <w:t xml:space="preserve">强度管控，民用建筑高度与消防救援能力相匹配，新建住宅以6层为主，最高不超过18层，6层及以下住宅建筑面积占比应不低于70%。推行“窄马路、密路网、小街区”，新建道路红线宽度不超过40米，打造尺度适宜、配套齐全、环境良好的绿色街区。（省自然资源厅、省住房城乡建设厅按职责分工负责） </w:t>
      </w:r>
    </w:p>
    <w:p w14:paraId="3CC25756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0" w:name="tiao_11"/>
      <w:bookmarkEnd w:id="1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（十一）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营造自然紧凑乡村格局。合理布局乡村建设，保护乡村生态环境，减少资源能源消耗。开展绿色低碳村庄建设，提升乡村生态和环境质量。农房和村庄建设选址安全可靠，顺应地形地貌，保护好山水林田湖草沙生态脉络。鼓励新建农房向基础设施完善、自然条件优越、公共服务设施齐全、景观环境优美的村庄聚集，形成自然、紧凑、有序农房群落。（省自然资源厅、省住房城乡建设厅按职责分工负责） </w:t>
      </w:r>
    </w:p>
    <w:p w14:paraId="069D65B9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1" w:name="tiao_12"/>
      <w:bookmarkEnd w:id="11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（十二）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推进绿色低碳农房建设。完善农房建设标准导则，引导《农村居住建筑节能设计标准》《河北省绿色农房建设与节能改造技术指南》等标准图集的推广应用，提高农房能效水平。鼓励就地取材和利用乡土材料，推广使用绿色建材。持续推进装配式农村住房建设试点工作。到2030年建成一批功能现代、风貌乡土、经济合理、结构安全、绿色环保的宜居型示范农房。（省住房城乡建设厅负责） </w:t>
      </w:r>
    </w:p>
    <w:p w14:paraId="5F5417C3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2" w:name="tiao_13"/>
      <w:bookmarkEnd w:id="12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（十三）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推进农村生活垃圾污水治理低碳化。严格执行河北省农村生活污水排放标准，推动农村生活污水就近就地资源化利用。因地制宜推广小型化、生态化、分散化的污水处理工艺，推行低能耗、低成本的运行方式。推进农村生活垃圾源头分类减量和资源化处理利用，减少农村生活垃圾产生量。（省生态环境厅、省农业农村厅、省住房城乡建设厅等按职责分工负责） </w:t>
      </w:r>
    </w:p>
    <w:p w14:paraId="38207E77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3" w:name="tiao_14"/>
      <w:bookmarkEnd w:id="13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lastRenderedPageBreak/>
        <w:t xml:space="preserve">　　（十四）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推进农村用能低碳转型。推进太阳能、空气源热能、浅层地热能、生物质能等可再生能源在冬季取暖、供电、供气等方面的应用。大力推动农房屋顶、院落空地、农业设施加装太阳能光伏系统。推广使用高效照明、灶具等设施设备，鼓励炊事、供暖、照明、交通、热水等用能电气化。（省住房城乡建设厅、省发展改革委、省生态环境厅、省农业农村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四、强化保障措施 </w:t>
      </w:r>
    </w:p>
    <w:p w14:paraId="51A060EA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4" w:name="tiao_15"/>
      <w:bookmarkEnd w:id="14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（十五）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完善地方法规政策和标准计量体系。根据碳达峰要求，修订《</w:t>
      </w:r>
      <w:hyperlink r:id="rId6" w:history="1">
        <w:r>
          <w:rPr>
            <w:rStyle w:val="fulltext-wrapfulltexta"/>
            <w:rFonts w:ascii="宋体" w:eastAsia="宋体" w:hAnsi="宋体" w:cs="宋体"/>
            <w:b w:val="0"/>
            <w:bCs w:val="0"/>
            <w:sz w:val="27"/>
            <w:szCs w:val="27"/>
          </w:rPr>
          <w:t>河北省民用建筑节能条例</w:t>
        </w:r>
      </w:hyperlink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》相关法规规章和政策文件，建立体系健全、内容衔接、约束有力的法规政策体系。更新提升节能降碳标准，颁布实施《河北省超低能耗建筑设计标准》等工程建设标准规范。建立健全城乡建设领域碳排放计量、核算和评估体系，完善相关绿色低碳控制指标。（省住房城乡建设厅、省发展改革委、省生态环境厅、省统计局等按职责分工负责） </w:t>
      </w:r>
    </w:p>
    <w:p w14:paraId="10B2C801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5" w:name="tiao_16"/>
      <w:bookmarkEnd w:id="15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（十六）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构建绿色低碳转型发展模式。建立健全城市体检评估制度，滚动实施城市更新行动。建立健全乡村建设评价机制。建立完善数字城乡建设和管理系统，加快数字化转型。健全建筑降碳产品价值实现机制，推进城乡建设领域碳排放权交易。推广合同能源管理，探索“一站式”综合服务模式。（省住房城乡建设厅、省发展改革委、省生态环境厅、省机关事务管理局等按职责分工负责） </w:t>
      </w:r>
    </w:p>
    <w:p w14:paraId="35AF7D6B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6" w:name="tiao_17"/>
      <w:bookmarkEnd w:id="16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（十七）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建立产学研一体化机制。聚焦可再生能源与建筑一体化、建筑结构与保温一体化等重点方向，促进研发、转化、产业协同发展。推进京津研发、河北转化工作。围绕城乡建设绿色低碳发展，建设一批高水平创新团队和创新平台，培育一批创新型领军企业，组建一批创新联合体。鼓励高校增设城乡建设领域碳达峰相关课程。（省住房城乡建设厅、省科技厅、省发展改革委、省教育厅按职责分工负责） </w:t>
      </w:r>
    </w:p>
    <w:p w14:paraId="286B4E69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7" w:name="tiao_18"/>
      <w:bookmarkEnd w:id="17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lastRenderedPageBreak/>
        <w:t xml:space="preserve">　　（十八）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>落实财政金融等支持政策。落实国家和我省财政保障碳达峰碳中和政策措施，用足用好财政支持政策。鼓励银行业金融机构和保险公司创新绿色金融产品和模式，支持城乡建设绿色发展。按照国家发改委要求和部署，完善和落实差别电价、分时电价和居民阶梯电价政策。在具备条件的地区，推行供热计量和按热量收费。（省财政厅、省税务局、人行石家庄中心支行、河北银保监局、省地方金融监管局、省发展改革委、省住房城乡建设厅等按职责分工负责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br/>
        <w:t xml:space="preserve">　　五、加强组织实施 </w:t>
      </w:r>
    </w:p>
    <w:p w14:paraId="37ABD222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8" w:name="tiao_19"/>
      <w:bookmarkEnd w:id="18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（十九）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加强组织领导。在碳达峰碳中和工作领导小组领导下，各级住建、发改、自然资源等部门加强协作，形成工作合力。各市（含定州、辛集市）、雄安新区制定实施细化方案，原则在本方案印发后1个月内，报省住房城乡建设厅、省发展改革委。 </w:t>
      </w:r>
    </w:p>
    <w:p w14:paraId="55A940D6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19" w:name="tiao_20"/>
      <w:bookmarkEnd w:id="19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压实工作责任。建立任务清单和责任清单，实施省级重点工作督查、年度专项检查和考核评估，对未完成目标任务的地区、部门通报批评、约谈问责。每年11月15日前，各市（含定州、辛集市）和雄安新区向省住房城乡建设厅、省发展改革委报告当年工作落实情况。 </w:t>
      </w:r>
    </w:p>
    <w:p w14:paraId="59292D74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bookmarkStart w:id="20" w:name="tiao_21"/>
      <w:bookmarkEnd w:id="20"/>
      <w:r>
        <w:rPr>
          <w:rStyle w:val="fulltext-wrapnavtiao"/>
          <w:rFonts w:ascii="宋体" w:eastAsia="宋体" w:hAnsi="宋体" w:cs="宋体"/>
          <w:color w:val="000000"/>
          <w:sz w:val="27"/>
          <w:szCs w:val="27"/>
        </w:rPr>
        <w:t xml:space="preserve">　　（二十一）</w:t>
      </w:r>
      <w:r>
        <w:rPr>
          <w:rFonts w:ascii="宋体" w:eastAsia="宋体" w:hAnsi="宋体" w:cs="宋体"/>
          <w:b w:val="0"/>
          <w:bCs w:val="0"/>
          <w:color w:val="000000"/>
          <w:sz w:val="27"/>
          <w:szCs w:val="27"/>
        </w:rPr>
        <w:t xml:space="preserve">加大培训宣传。结合“低碳日”、“节能宣传周”等集中开展宣传活动，组织讲座和专项培训，加强节能降碳教育。坚持传统媒体和新媒体相结合，形成推动绿色低碳发展的社会共识和自觉意识，营造有利于城乡建设领域碳达峰的良好氛围。 </w:t>
      </w:r>
    </w:p>
    <w:p w14:paraId="1BC1A192" w14:textId="77777777" w:rsidR="005322E1" w:rsidRDefault="005322E1">
      <w:pPr>
        <w:pStyle w:val="fulltext-wrapfulltextTiaoYinV2"/>
        <w:spacing w:before="150" w:after="300"/>
        <w:ind w:left="375" w:right="375"/>
        <w:textAlignment w:val="baseline"/>
        <w:rPr>
          <w:rFonts w:ascii="宋体" w:eastAsia="宋体" w:hAnsi="宋体" w:cs="宋体" w:hint="eastAsia"/>
        </w:rPr>
      </w:pPr>
      <w:r>
        <w:rPr>
          <w:rFonts w:ascii="宋体" w:eastAsia="宋体" w:hAnsi="宋体" w:cs="宋体"/>
        </w:rPr>
        <w:br/>
      </w:r>
    </w:p>
    <w:p w14:paraId="6E601D20" w14:textId="77777777" w:rsidR="005322E1" w:rsidRDefault="005322E1">
      <w:pPr>
        <w:ind w:left="375" w:right="375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br/>
      </w:r>
    </w:p>
    <w:sectPr w:rsidR="005322E1">
      <w:headerReference w:type="default" r:id="rId7"/>
      <w:footerReference w:type="default" r:id="rId8"/>
      <w:pgSz w:w="11906" w:h="16838"/>
      <w:pgMar w:top="1440" w:right="720" w:bottom="144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DFA138" w14:textId="77777777" w:rsidR="00C21EE0" w:rsidRDefault="00C21EE0">
      <w:r>
        <w:separator/>
      </w:r>
    </w:p>
  </w:endnote>
  <w:endnote w:type="continuationSeparator" w:id="0">
    <w:p w14:paraId="5435F0FE" w14:textId="77777777" w:rsidR="00C21EE0" w:rsidRDefault="00C21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1519"/>
      <w:gridCol w:w="9037"/>
    </w:tblGrid>
    <w:tr w:rsidR="00122998" w14:paraId="62B0379E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4805039F" w14:textId="77777777" w:rsidR="005322E1" w:rsidRDefault="005322E1">
          <w:pPr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PAGE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1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t>/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begin"/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instrText xml:space="preserve"> NUMPAGES  </w:instrTex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separate"/>
          </w:r>
          <w:r>
            <w:rPr>
              <w:rFonts w:ascii="宋体" w:eastAsia="宋体" w:hAnsi="宋体" w:cs="宋体"/>
              <w:noProof/>
              <w:color w:val="000000"/>
              <w:sz w:val="18"/>
              <w:szCs w:val="18"/>
            </w:rPr>
            <w:t>2</w:t>
          </w:r>
          <w:r>
            <w:rPr>
              <w:rFonts w:ascii="宋体" w:eastAsia="宋体" w:hAnsi="宋体" w:cs="宋体"/>
              <w:color w:val="000000"/>
              <w:sz w:val="18"/>
              <w:szCs w:val="18"/>
            </w:rPr>
            <w:fldChar w:fldCharType="end"/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0368B339" w14:textId="77777777" w:rsidR="005322E1" w:rsidRDefault="005322E1">
          <w:pPr>
            <w:jc w:val="right"/>
            <w:rPr>
              <w:rFonts w:ascii="宋体" w:eastAsia="宋体" w:hAnsi="宋体" w:cs="宋体" w:hint="eastAsia"/>
              <w:color w:val="000000"/>
              <w:sz w:val="18"/>
              <w:szCs w:val="18"/>
            </w:rPr>
          </w:pPr>
          <w:r>
            <w:rPr>
              <w:rFonts w:ascii="宋体" w:eastAsia="宋体" w:hAnsi="宋体" w:cs="宋体"/>
              <w:color w:val="000000"/>
              <w:sz w:val="18"/>
              <w:szCs w:val="18"/>
            </w:rPr>
            <w:t>下载日期：2024-07-02</w:t>
          </w:r>
        </w:p>
      </w:tc>
    </w:tr>
  </w:tbl>
  <w:p w14:paraId="1D52A528" w14:textId="77777777" w:rsidR="005322E1" w:rsidRDefault="005322E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1B5A0" w14:textId="77777777" w:rsidR="00C21EE0" w:rsidRDefault="00C21EE0">
      <w:r>
        <w:separator/>
      </w:r>
    </w:p>
  </w:footnote>
  <w:footnote w:type="continuationSeparator" w:id="0">
    <w:p w14:paraId="52353F2A" w14:textId="77777777" w:rsidR="00C21EE0" w:rsidRDefault="00C21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CellSpacing w:w="15" w:type="dxa"/>
      <w:tblInd w:w="15" w:type="dxa"/>
      <w:tblCellMar>
        <w:top w:w="15" w:type="dxa"/>
        <w:left w:w="15" w:type="dxa"/>
        <w:bottom w:w="15" w:type="dxa"/>
        <w:right w:w="15" w:type="dxa"/>
      </w:tblCellMar>
      <w:tblLook w:val="04A0" w:firstRow="1" w:lastRow="0" w:firstColumn="1" w:lastColumn="0" w:noHBand="0" w:noVBand="1"/>
    </w:tblPr>
    <w:tblGrid>
      <w:gridCol w:w="4857"/>
      <w:gridCol w:w="5699"/>
    </w:tblGrid>
    <w:tr w:rsidR="00122998" w14:paraId="4F465917" w14:textId="77777777">
      <w:trPr>
        <w:tblCellSpacing w:w="15" w:type="dxa"/>
      </w:trPr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5BBDF3C4" w14:textId="77777777" w:rsidR="005322E1" w:rsidRDefault="00E56D07">
          <w:pPr>
            <w:rPr>
              <w:rFonts w:eastAsia="Times New Roman"/>
              <w:color w:val="000000"/>
            </w:rPr>
          </w:pPr>
          <w:r>
            <w:rPr>
              <w:rFonts w:eastAsia="Times New Roman"/>
              <w:color w:val="000000"/>
            </w:rPr>
            <w:pict w14:anchorId="5E39711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5" type="#_x0000_t75" style="width:136.8pt;height:24pt;mso-position-horizontal-relative:text;mso-position-vertical-relative:text">
                <v:imagedata r:id="rId1" o:title=""/>
              </v:shape>
            </w:pict>
          </w:r>
        </w:p>
      </w:tc>
      <w:tc>
        <w:tcPr>
          <w:tcW w:w="0" w:type="auto"/>
          <w:tcMar>
            <w:top w:w="15" w:type="dxa"/>
            <w:left w:w="15" w:type="dxa"/>
            <w:bottom w:w="15" w:type="dxa"/>
            <w:right w:w="15" w:type="dxa"/>
          </w:tcMar>
          <w:vAlign w:val="center"/>
          <w:hideMark/>
        </w:tcPr>
        <w:p w14:paraId="213D7F38" w14:textId="77777777" w:rsidR="005322E1" w:rsidRDefault="005322E1">
          <w:pPr>
            <w:jc w:val="right"/>
            <w:rPr>
              <w:rFonts w:ascii="宋体" w:eastAsia="宋体" w:hAnsi="宋体" w:cs="宋体" w:hint="eastAsia"/>
              <w:color w:val="000000"/>
              <w:sz w:val="23"/>
              <w:szCs w:val="23"/>
            </w:rPr>
          </w:pPr>
          <w:r>
            <w:rPr>
              <w:rFonts w:ascii="宋体" w:eastAsia="宋体" w:hAnsi="宋体" w:cs="宋体"/>
              <w:color w:val="000000"/>
              <w:sz w:val="23"/>
              <w:szCs w:val="23"/>
            </w:rPr>
            <w:t>【法宝引证码】CLI.14.6518618</w:t>
          </w:r>
        </w:p>
      </w:tc>
    </w:tr>
  </w:tbl>
  <w:p w14:paraId="58D4A7B6" w14:textId="77777777" w:rsidR="005322E1" w:rsidRDefault="005322E1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77B3E"/>
    <w:rsid w:val="00122998"/>
    <w:rsid w:val="005322E1"/>
    <w:rsid w:val="00727B21"/>
    <w:rsid w:val="00A77B3E"/>
    <w:rsid w:val="00C21EE0"/>
    <w:rsid w:val="00CA2A55"/>
    <w:rsid w:val="00E5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FF3773"/>
  <w15:chartTrackingRefBased/>
  <w15:docId w15:val="{E57C862E-0240-467C-9668-B4E9F978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等线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ulltext-wrap">
    <w:name w:val="fulltext-wrap"/>
    <w:basedOn w:val="a"/>
    <w:pPr>
      <w:pBdr>
        <w:top w:val="none" w:sz="0" w:space="18" w:color="auto"/>
        <w:left w:val="none" w:sz="0" w:space="18" w:color="auto"/>
        <w:bottom w:val="none" w:sz="0" w:space="18" w:color="auto"/>
        <w:right w:val="none" w:sz="0" w:space="18" w:color="auto"/>
      </w:pBdr>
    </w:pPr>
  </w:style>
  <w:style w:type="paragraph" w:customStyle="1" w:styleId="fulltext-wraptitle">
    <w:name w:val="fulltext-wrap_title"/>
    <w:basedOn w:val="a"/>
    <w:pPr>
      <w:jc w:val="center"/>
    </w:pPr>
    <w:rPr>
      <w:sz w:val="30"/>
      <w:szCs w:val="30"/>
    </w:rPr>
  </w:style>
  <w:style w:type="paragraph" w:customStyle="1" w:styleId="div">
    <w:name w:val="div"/>
    <w:basedOn w:val="a"/>
    <w:pPr>
      <w:textAlignment w:val="baseline"/>
    </w:pPr>
  </w:style>
  <w:style w:type="paragraph" w:customStyle="1" w:styleId="divFullText">
    <w:name w:val="divFullText"/>
    <w:basedOn w:val="a"/>
    <w:pPr>
      <w:spacing w:line="600" w:lineRule="atLeast"/>
    </w:pPr>
    <w:rPr>
      <w:rFonts w:ascii="宋体" w:eastAsia="宋体" w:hAnsi="宋体" w:cs="宋体"/>
      <w:color w:val="000000"/>
      <w:sz w:val="27"/>
      <w:szCs w:val="27"/>
    </w:rPr>
  </w:style>
  <w:style w:type="paragraph" w:customStyle="1" w:styleId="p">
    <w:name w:val="p"/>
    <w:basedOn w:val="a"/>
    <w:pPr>
      <w:textAlignment w:val="baseline"/>
    </w:pPr>
  </w:style>
  <w:style w:type="paragraph" w:customStyle="1" w:styleId="fulltext-wrapfulltextTiaoYinV2">
    <w:name w:val="fulltext-wrap_fulltext_TiaoYinV2"/>
    <w:basedOn w:val="a"/>
    <w:pPr>
      <w:spacing w:line="384" w:lineRule="auto"/>
    </w:pPr>
    <w:rPr>
      <w:b/>
      <w:bCs/>
      <w:color w:val="218FC4"/>
      <w:sz w:val="21"/>
      <w:szCs w:val="21"/>
    </w:rPr>
  </w:style>
  <w:style w:type="character" w:customStyle="1" w:styleId="fulltext-wrapnavtiao">
    <w:name w:val="fulltext-wrap_navtiao"/>
    <w:rPr>
      <w:b/>
      <w:bCs/>
    </w:rPr>
  </w:style>
  <w:style w:type="character" w:customStyle="1" w:styleId="fulltext-wrapfulltexta">
    <w:name w:val="fulltext-wrap_fulltext_a"/>
    <w:rPr>
      <w:color w:val="218FC4"/>
    </w:rPr>
  </w:style>
  <w:style w:type="paragraph" w:styleId="a3">
    <w:name w:val="header"/>
    <w:basedOn w:val="a"/>
    <w:link w:val="a4"/>
    <w:rsid w:val="005322E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rsid w:val="005322E1"/>
    <w:rPr>
      <w:sz w:val="18"/>
      <w:szCs w:val="18"/>
    </w:rPr>
  </w:style>
  <w:style w:type="paragraph" w:styleId="a5">
    <w:name w:val="footer"/>
    <w:basedOn w:val="a"/>
    <w:link w:val="a6"/>
    <w:rsid w:val="005322E1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rsid w:val="005322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pkulaw.com/lar/01afe4461c6a55dca8917607ff828a07bdfb.html?way=textSlc" TargetMode="Externa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2919</Words>
  <Characters>2978</Characters>
  <Application>Microsoft Office Word</Application>
  <DocSecurity>0</DocSecurity>
  <Lines>102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超涵 章</dc:creator>
  <cp:keywords/>
  <cp:lastModifiedBy>超涵 章</cp:lastModifiedBy>
  <cp:revision>3</cp:revision>
  <cp:lastPrinted>1899-12-31T16:00:00Z</cp:lastPrinted>
  <dcterms:created xsi:type="dcterms:W3CDTF">2024-07-10T03:08:00Z</dcterms:created>
  <dcterms:modified xsi:type="dcterms:W3CDTF">2025-09-29T08:26:00Z</dcterms:modified>
</cp:coreProperties>
</file>