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820E" w14:textId="033E255D" w:rsidR="00404D86" w:rsidRDefault="00404D86" w:rsidP="00404D86">
      <w:pPr>
        <w:ind w:right="375"/>
        <w:rPr>
          <w:rFonts w:ascii="宋体" w:hAnsi="宋体" w:cs="宋体" w:hint="eastAsia"/>
          <w:color w:val="000000"/>
          <w:sz w:val="27"/>
          <w:szCs w:val="27"/>
        </w:rPr>
      </w:pPr>
    </w:p>
    <w:p w14:paraId="2E1E3638" w14:textId="77777777" w:rsidR="00404D86" w:rsidRDefault="00404D86" w:rsidP="00404D86">
      <w:pPr>
        <w:pStyle w:val="div"/>
        <w:spacing w:line="600" w:lineRule="atLeast"/>
        <w:ind w:left="375" w:right="375"/>
        <w:jc w:val="center"/>
        <w:rPr>
          <w:rFonts w:ascii="宋体" w:eastAsia="宋体" w:hAnsi="宋体" w:cs="宋体" w:hint="eastAsia"/>
          <w:color w:val="000000"/>
          <w:sz w:val="27"/>
          <w:szCs w:val="27"/>
        </w:rPr>
      </w:pPr>
      <w:r>
        <w:rPr>
          <w:rFonts w:ascii="宋体" w:eastAsia="宋体" w:hAnsi="宋体" w:cs="宋体"/>
          <w:color w:val="000000"/>
          <w:sz w:val="27"/>
          <w:szCs w:val="27"/>
        </w:rPr>
        <w:t>辽宁省加快建立健全绿色低碳循环发展经济体系任务措施</w:t>
      </w:r>
    </w:p>
    <w:p w14:paraId="5812C1BB" w14:textId="77777777" w:rsidR="00404D86" w:rsidRDefault="00404D86" w:rsidP="00404D86">
      <w:pPr>
        <w:spacing w:after="300" w:line="600" w:lineRule="atLeast"/>
        <w:ind w:left="375" w:right="375"/>
        <w:rPr>
          <w:rFonts w:ascii="宋体" w:eastAsia="宋体" w:hAnsi="宋体" w:cs="宋体" w:hint="eastAsia"/>
          <w:color w:val="000000"/>
          <w:sz w:val="27"/>
          <w:szCs w:val="27"/>
        </w:rPr>
      </w:pP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为贯彻落实《</w:t>
      </w:r>
      <w:hyperlink r:id="rId6" w:history="1">
        <w:r>
          <w:rPr>
            <w:rStyle w:val="fulltext-wrapfulltexta"/>
            <w:rFonts w:ascii="宋体" w:eastAsia="宋体" w:hAnsi="宋体" w:cs="宋体"/>
            <w:sz w:val="27"/>
            <w:szCs w:val="27"/>
          </w:rPr>
          <w:t>国务院关于加快建立健全绿色低碳循环发展经济体系的指导意见</w:t>
        </w:r>
      </w:hyperlink>
      <w:r>
        <w:rPr>
          <w:rFonts w:ascii="宋体" w:eastAsia="宋体" w:hAnsi="宋体" w:cs="宋体"/>
          <w:color w:val="000000"/>
          <w:sz w:val="27"/>
          <w:szCs w:val="27"/>
        </w:rPr>
        <w:t>》（国发〔2021〕4号）精神，加快建立健全绿色低碳循环发展的经济体系，促进我省经济社会发展全面绿色转型，结合辽宁实际，制定如下具体措施。</w:t>
      </w:r>
      <w:r>
        <w:rPr>
          <w:rFonts w:ascii="宋体" w:eastAsia="宋体" w:hAnsi="宋体" w:cs="宋体"/>
          <w:color w:val="000000"/>
          <w:sz w:val="27"/>
          <w:szCs w:val="27"/>
        </w:rPr>
        <w:br/>
      </w:r>
      <w:bookmarkStart w:id="0" w:name="tiao_1"/>
      <w:bookmarkEnd w:id="0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一、</w:t>
      </w:r>
      <w:r>
        <w:rPr>
          <w:rFonts w:ascii="宋体" w:eastAsia="宋体" w:hAnsi="宋体" w:cs="宋体"/>
          <w:color w:val="000000"/>
          <w:sz w:val="27"/>
          <w:szCs w:val="27"/>
        </w:rPr>
        <w:t>准确把握绿色低碳循环发展的总体要求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以习近平新时代中国特色社会主义思想为指导，深入贯彻习近平生态文明思想和习近平总书记关于东北、辽宁振兴发展的重要讲话和指示精神，完整、准确、全面贯彻新发展理念，切实肩负起维护生态安全的历史重任，全面推进绿色转型发展，坚持节能优先，夯实高效利用资源、严格保护生态环境、有效控制温室气体排放的发展基础，加强能源消费总量和强度“双控”管理，坚决遏制高耗能高排放项目盲目发展，统筹推进高质量发展和高水平保护，全省万元地区生产总值能源消费量、碳排放量、用水量持续下降，确保实现碳达峰、碳中和目标，推动我省绿色发展迈上新台阶。 </w:t>
      </w:r>
    </w:p>
    <w:p w14:paraId="629F1665" w14:textId="77777777" w:rsidR="00404D86" w:rsidRDefault="00404D86" w:rsidP="00404D86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" w:name="tiao_2"/>
      <w:bookmarkEnd w:id="1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二、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健全绿色低碳循环发展的生产体系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（一）实施重点行业绿色化改造。深入贯彻落实《辽宁省人民政府关于</w:t>
      </w:r>
      <w:hyperlink r:id="rId7" w:history="1">
        <w:r>
          <w:rPr>
            <w:rStyle w:val="fulltext-wrapfulltexta"/>
            <w:rFonts w:ascii="宋体" w:eastAsia="宋体" w:hAnsi="宋体" w:cs="宋体"/>
            <w:b w:val="0"/>
            <w:bCs w:val="0"/>
            <w:sz w:val="27"/>
            <w:szCs w:val="27"/>
          </w:rPr>
          <w:t>贯彻新发展理念推动工业经济高质量发展的意见</w:t>
        </w:r>
      </w:hyperlink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》（辽政发〔2018〕24号），加快传统产业改造升级，推进新兴产业规模化，发展壮大新动能。支持冶金、石化、建材、电力等高耗能企业实施技术改造，加快推广运用先进节能、节水、节材设备及工艺。围绕循环低碳、资源综合利用等领域，遴选推广一批绿色技术装备，推行产品绿色设计，培育工业产品绿色设计示范企业。进一步构建绿色制造体系，开发绿色产品，建设绿色工厂和绿色供应链，打造绿色工业园区。到2025年，战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略性新兴产业增加值占地区生产总值比重达到8.5%，绿色产业比重显著提升。（省工业和信息化厅、省发展改革委、省水利厅、省商务厅等按职责分工负责）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）健全清洁生产技术支撑体系。以能源、冶金、焦化、建材、有色、化工、印染、造纸、原料药、电镀、农副食品加工、工业涂装、包装印刷、菱镁等行业为重点，全面推行清洁生产。对存在“双超”“双有”问题的排污单位依法依规实施强制性清洁生产审核全覆盖。到2025年，清洁生产水平持续提高。（省生态环境厅、省发展改革委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三）完善“散乱污”企业分类整改措施。全面开展“散乱污”企业排查，建立动态管理台账。分类分批次采取依法关停取缔、整合搬迁、整改提升等措施，依法依规加大查处力度，防止“散乱污”企业死灰复燃和异地转移。开展“散乱污”企业关停整治后处理，对政府依法关闭的企业，加强责令注销、变更登记等监管。继续开展排污许可证核发，坚持全覆盖提升排污许可证质量。依法惩处无证排污、不按证排污、不落实环境管理要求等环境违法行为，加大环境违法行为曝光力度。加强工业生产过程中危险废物管理，继续推进城镇人口密集区危化品生产企业搬迁改造。（省生态环境厅、省工业和信息化厅、省市场监管局、省发展改革委、省自然资源厅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四）加快种养殖业绿色发展进程。开展有机农产品认证，提高绿色食品产业发展水平和续展率，不断优化农产品总体结构。在中药材主产区，建设一批五味子、龙胆草、细辛和林下山参等道地中药材良种繁育和规范化种植基地，实现中药资源绿色可持续发展。强化绿色食品原料标准化生产基地建设和管理，加强绿色食品企业和原料标准化生产基地对接。积极推行种养结合，发挥稻渔共生耦合作用，推广稻田养蟹、养鱼、养虾等模式，促进水产养殖业绿色循环发展。充分利用浅海滩涂资源发展重点优势特色种类生态养殖，发挥贝类养殖的碳汇功能。加强绿色食品标志市场监察，提高畜禽粪污资源化利用水平，实施农药、兽用抗菌药使用减量化和产地环境净化行动。（省农业农村厅、省卫生健康委、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市场监管局等按职责分工负责）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五）推动一二三产业融合发展。依托农业资源优势推进与旅游、教育、文化、健康等产业深度融合，发挥国家农村产业融合发展示范园带动作用。聚焦强链、延链、补链，推进上中下、工农服、产供销“三位一体”互嵌式发展，打造生产标准化和规模化、加工精深化和智能化、服务多样化和网络化、产业集聚化和数字化、产品特色化和品牌化等现代农业产业、生产、经营体系。构建以种养业为基础、农产品加工为重点、商贸流通服务为保障的全产业链条，着力发展粮油产业链、壮大畜禽产业链、优化饲料产业链、延伸果蔬产业链、做精水产产业链，全面提升农业产业链供应链稳定性和竞争力。（省农业农村厅、省工业和信息化厅、省发展改革委、省文化和旅游厅、省教育厅、省卫生健康委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六）实现重点服务行业绿色升级。遴选绿色数据中心，推广一批数据中心先进适用技术产品。以汽修、装修装饰等行业为重点，将全面使用符合国家要求的低VOCs含量原辅材料企业纳入正面清单和政府绿色采购清单。组织开展油漆、涂料产品质量监督抽查，加强监督抽查后处理。通过数字健康工程促进医疗行业绿色发展，探索5G、人工智能、物联网等信息技术在医疗健康领域全场景、全过程系统运用，全面开展“影像云”、智能预约就诊、智能导医、电子支付结算等数字健康服务。优化和放大资源要素利用率，倡导酒店、餐饮等行业不主动提供一次性用品，减少公共机构、大中型企业以及医疗卫生行业等耗材使用并实施无纸化替代方案。（省工业和信息化厅、省生态环境厅、省交通运输厅、省商务厅、省卫生健康委、省机关事务局、省市场监管局、省发展改革委、省科技厅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七）补齐绿色环保产业短板。推广非电行业烟气超低排放、有机废气治理以及北方地区清洁取暖等技术与装备，鼓励研发推广污水处理回用、土壤治理修复、工业固废资源化利用等关键技术与新型装备。引导大型节能环保装备制造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业由“生产型制造”向“服务型制造”转变。建设环保装备产业园区和环保服务业集聚区，支持园区聘请“环保管家”“能源管家”，推广节能环保服务。到2025年，环保技术装备供给能力大幅增长，环保服务业规模进一步壮大。发挥境外经贸合作区优势，加快印尼镍铁综合产业园、印度特变电工绿色能源产业园、柬埔寨西哈努克辽沈工业园等建设。（省发展改革委、省生态环境厅、省商务厅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八）提升产业园区和产业集群循环化水平。严格准入标准，完善循环产业链条，形成产业循环耦合，推进既有产业园区和产业集群循环化改造，推动公共设施共建共享、能源梯级利用、资源循环利用和污染物集中安全处置等。鼓励建设电、热、冷、气等多种能源协同互济的综合能源项目。鼓励化工等产业园区配套建设危险废物集中贮存、预处理和处置设施。利用鞍钢、本钢、凌钢等余热资源为附近工业园区提供供热服务，替代燃煤锅炉项目，实现余能循环再利用。（省发展改革委、省工业和信息化厅、省生态环境厅、省机关事务局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九）提高供应链绿色化水平。鼓励企业开展绿色设计、选择绿色材料、实施绿色采购、打造绿色制造工艺、推行绿色包装、开展绿色运输和废弃产品回收处理，实现产品全周期绿色环保。推动制造业加快构建绿色供应链，鼓励行业协会通过制定规范、咨询服务、行业自律等方式提高行业供应链绿色化水平。遴选发布一批省级绿色供应链管理企业，推荐积极性高、社会影响大、带动作用强的企业开展国家级绿色供应链试点，探索建立绿色供应链制度体系。（省工业和信息化厅、省发展改革委、省商务厅、省交通运输厅、省财政厅、省市场监管局、省邮政管理局等按职责分工负责） </w:t>
      </w:r>
    </w:p>
    <w:p w14:paraId="0C2B1D60" w14:textId="77777777" w:rsidR="00404D86" w:rsidRDefault="00404D86" w:rsidP="00404D86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2" w:name="tiao_3"/>
      <w:bookmarkEnd w:id="2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三、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健全绿色低碳循环发展的流通体系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（十）对标绿色物流先进方向。积极调整运输结构，推进铁水、公铁、公水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等多式联运，发展甩挂运输、共同配送。加快港口岸电设施建设，支持机场开展飞机辅助动力装置替代设备建设和应用。因地因企加快铁路专用线建设。鼓励城市物流配送、邮政快递等领域优先使用新能源或清洁能源汽车。支持物流企业构建数字化运营平台，鼓励发展智慧仓储、智慧运输，推动建立标准化托盘循环共用制度。（省交通运输厅、省发展改革委、省商务厅、省邮政管理局、中国铁路沈阳局集团、民航东北地区管理局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一）加大再生资源回收利用。强化拆解能力建设，建立废旧家电生产、消费、回收、处理全链条回收处理体系。鼓励废旧家电拆解企业开展技术创新，促进资源高效循环利用。依法严厉打击违法拆解废旧家电、非法转移或倾倒危险废物等行为。加快构建废旧物资循环利用体系，加强废纸、废塑料、废旧轮胎、废金属、废玻璃等再生资源回收利用，提升资源产出率和回收利用率。到2025年，实现省域内废旧家电拆解能力与产生量基本匹配。（省市场监管局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二）融入绿色贸易体系。以绿色“一带一路”创建为核心，以深入打好污染防治攻坚战为契机，拓展国际交流合作的广度与深度。进一步建立完善与相关国家地区、国际组织、研究机构、民间团体的交流合作机制，搭建平等对话交流平台。充分利用各国政府、世界银行等国际组织的扶持资金和政策，推进生态环境保护，加强生态环境保护理念、管理制度、节能环保产业技术等方面的国际交流合作。（省发展改革委、省生态环境厅等按职责分工负责） </w:t>
      </w:r>
    </w:p>
    <w:p w14:paraId="6D12A8F0" w14:textId="77777777" w:rsidR="00404D86" w:rsidRDefault="00404D86" w:rsidP="00404D86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3" w:name="tiao_4"/>
      <w:bookmarkEnd w:id="3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四、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健全绿色低碳循环发展的消费体系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三）加大绿色产品消费引导力度。加大绿色产品政府采购力度，对政府采购品目清单内的节能产品，实施政府优先采购或强制采购。逐步将绿色采购制度扩展至国有企业，大力引导企业和居民采购绿色产品，扩大绿色产品采购范围。推广绿色电力证书交易，引领全社会提升绿色电力消费。加强能效、水效标识监督管理，对存在虚假标注效能标识、环境标识、有害物标识等产品，依法予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以查处，按规定纳入企业信用信息公示系统。（省财政厅、省发展改革委、省住房城乡建设厅、省市场监管局、省国资委、省机关事务局等按职责分工负责）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四）倡导绿色低碳生活方式。厉行节约，坚决制止餐饮浪费行为，因地制宜推进生活垃圾分类和减量化、资源化。扎实推进塑料污染全链条治理，持续开展海滩垃圾治理行动。推进过度包装治理，推动生产经营者遵守限制商品过度包装的强制性标准。提升交通系统智能化水平，积极引导绿色出行。深入开展爱国卫生运动，整治环境脏乱差，打造宜居生活环境。继续推进节约型校园建设，提升学校资源配置与使用能效，打造绿色校园、生态校园、和谐校园。加强重点用能公共机构节能改造，逐步减少高耗能公共机构所占比例。到2025年，生产生活方式绿色转型成效显著。（省发展改革委、省生态环境厅、省住房城乡建设厅、省交通运输厅、省卫生健康委、省教育厅、省机关事务局等按职责分工负责） </w:t>
      </w:r>
    </w:p>
    <w:p w14:paraId="7FE800CF" w14:textId="77777777" w:rsidR="00404D86" w:rsidRDefault="00404D86" w:rsidP="00404D86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4" w:name="tiao_5"/>
      <w:bookmarkEnd w:id="4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五、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加快基础设施绿色升级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五）因地制宜推动能源体系绿色低碳转型。优先发展风电、光伏、核电，着力扩大天然气利用，积极推进清洁取暖。加快大容量储能技术研发推广，探索海洋能源开发利用。重点发展氢燃料电池关键零部件及集成系统，支持大连建设氢燃料发动机生产基地和燃料电池应用示范区，推进沈阳、鞍山、朝阳等氢能装备产业集聚区建设。严格落实《</w:t>
      </w:r>
      <w:hyperlink r:id="rId8" w:history="1">
        <w:r>
          <w:rPr>
            <w:rStyle w:val="fulltext-wrapfulltexta"/>
            <w:rFonts w:ascii="宋体" w:eastAsia="宋体" w:hAnsi="宋体" w:cs="宋体"/>
            <w:b w:val="0"/>
            <w:bCs w:val="0"/>
            <w:sz w:val="27"/>
            <w:szCs w:val="27"/>
          </w:rPr>
          <w:t>建设项目环境保护管理条例</w:t>
        </w:r>
      </w:hyperlink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》，对不符合要求的燃煤发电机组不予环评审批。开展二氧化碳捕集、利用和封存等技术研发，推动应用试验示范。到2025年，非化石能源装机占比超过50%，风电光伏装机力争达到3000万千瓦以上，新增核电装机224万千瓦。到2035年，全省非化石能源发电量占比超过50%。（省发展改革委、省自然资源厅、省生态环境厅、省科技厅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（十六）推进城镇环境基础设施建设升级。开展城市黑臭水体整治专项行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动，持续推动城市黑臭水体治理，开展水质年度交叉监测，巩固提升治理成效。优化危险废物处置设施布局，推进处置技术升级和规模化发展。充分利用固体废物及危险废物“互联网＋”监管系统，建立定期核查监管机制，对危险废物全过程跟踪和溯源管理。加快医疗废物集中处置设施升级改造，提升医疗废物应急处理能力，实现全省地级及以上城市医疗废物属地处置全覆盖，提高处置能力和水平。（省住房城乡建设厅、省生态环境厅、省卫生健康委、省发展改革委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七）加快交通基础设施绿色发展。将生态环保理念贯穿交通基础设施规划、建设、运营和维护全过程，集约利用土地等资源，合理避让具有重要生态功能的国土空间。贯彻执行国家《限制供地目录》《禁止供地目录》及开发利用条件与标准，加大建设项目用地审批审查力度，严把建设项目用地预审、农用地转用、土地征收审查和供地关口。加强新能源汽车充换电、加氢等配套基础设施建设。积极推广应用温拌沥青、智能通风、辅助动力替代、节能灯具、隔声屏障等先进节能环保技术和产品。加大工程建设中废弃资源综合利用力度，推动废旧路面、沥青、疏浚土以及建筑垃圾的资源化利用。（省交通运输厅、省自然资源厅、省发展改革委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八）改善城乡人居环境。充分发挥国土空间规划管控作用，将生态保护红线、永久基本农田、城镇开发边界三条控制线作为调整经济结构、规划产业发展、推进城镇化不可逾越的红线，筑牢生态安全屏障。推进绿色生态转型发展，实施复垦绿化、生态修复等治理工程，推进抚顺西露天矿、阜新海州露天矿等采煤沉陷区综合治理与整合利用。开展绿色社区创建行动，大力发展绿色建筑，建立绿色建筑统一标识制度，推动社区基础设施绿色化和既有建筑节能改造，增强城市防洪排涝能力。加快推进农村人居环境整治，因地制宜推进农村改厕、生活污水垃圾治理、村容村貌提升、乡村绿化美化等，建立系统化、专业化、社会化运行管护机制。继续做好农村清洁供暖改造、老旧危房改造，实施美丽乡村提升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行动，建设1000个美丽宜居村。（省自然资源厅、省生态环境厅、省住房城乡建设厅、省农业农村厅等按职责分工负责）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十九）加强农业基础设施建设。大力开展黑土地保护利用，加强农田基础设施建设、土壤侵蚀治理和肥沃耕层构建，改善黑土地生态环境质量。推进耕地质量保护与提升，示范推广土壤改良、地力培肥、治理修复等新产品新技术，稳步提高耕地综合生产能力。在重金属污染集中连片区域，指导建立受污染耕地安全利用推进区。组织实施大中型灌区续建配套与节水改造、重要生态系统保护修复重大工程，不断提升自然生态系统固碳能力和自我修复能力。到2025年，新建高效节水灌溉工程100万亩以上，森林覆盖率达到42.5%。（省农业农村厅、省生态环境厅、省水利厅、省林草局等按职责分工负责） </w:t>
      </w:r>
    </w:p>
    <w:p w14:paraId="02740EB2" w14:textId="77777777" w:rsidR="00404D86" w:rsidRDefault="00404D86" w:rsidP="00404D86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5" w:name="tiao_6"/>
      <w:bookmarkEnd w:id="5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六、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构建市场导向的绿色技术创新体系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）鼓励绿色低碳技术研发。大力推进绿色低碳技术基础应用研究，引导和支持高校向绿色人才培养定位转变，加快绿色科研成果转化。深入实施绿色技术创新攻关行动，围绕节能环保、资源循环利用等领域布局绿色技术创新项目。着力突破关键材料、仪器设备、核心工艺等技术瓶颈，培育建设绿色技术创新中心和新型研发机构，积极争取绿色技术国家技术创新中心落地。支持企业牵头组建绿色技术产学研联盟，参与国家和省级绿色技术研发项目，推动创新要素向企业集聚，强化企业创新主体地位。到2025年，绿色发展内生动力显著增强，主要污染物排放总量持续减少，生态环境持续改善，市场导向的绿色技术创新体系更加完善，重点行业、重点产品能源资源利用效率达到国内先进水平。（省科技厅、省生态环境厅、省农业农村厅、省教育厅、省发展改革委、省财政厅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（二十一）加速科技成果转化。落实完善首台（套）重大技术装备保险补贴政策，争取国家首台（套）保险补偿资金支持，推动首台（套）重大技术装备创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 xml:space="preserve">新应用。强化科技金融服务，开展创新创业大赛、科技企业投融资路演活动，引导金融资本和民间投资向科技成果转化集聚，促进绿色技术成果产业化。支持企业、高校、科研机构等建立绿色技术成果转化中试基地、科技企业孵化器、众创空间等，推进专业化技术转移机构建设发展。畅通绿色技术成果转移转化通道，加快先进成熟技术推广应用。（省科技厅、省发展改革委、省工业和信息化厅、省教育厅、省金融监管局、辽宁银保监局等按职责分工负责） </w:t>
      </w:r>
    </w:p>
    <w:p w14:paraId="39648221" w14:textId="77777777" w:rsidR="00404D86" w:rsidRDefault="00404D86" w:rsidP="00404D86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6" w:name="tiao_7"/>
      <w:bookmarkEnd w:id="6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七、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强化工作落实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二）强化法律法规支撑。落实能源资源节约、生态环保等法律法规，强化执法监督，提升执法效能。聚焦突出问题，采取执法专项行动、强化监督、交叉执法等措施，实施立体化执法监督。组织开展循环经济、推动绿色产业发展、扩大绿色消费、实行环境信息公开、应对气候变化等法规的立法协调。加大宣传贯彻法律法规力度，强化违法典型案例警示教育。（省司法厅、省生态环境厅、省市场监管局、省发展改革委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三）严格执行绿色收费价格机制。按照产生者付费原则，建立健全生活垃圾处理收费制度。推进农业水价综合改革，继续落实好居民阶梯电价、气价、水价制度和污水处理收费政策。完善节能环保电价政策，对高耗能、高排放行业企业执行差别化电价与惩罚性电价。（省发展改革委、省住房城乡建设厅、省生态环境厅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四）加大财税扶持力度。落实采用节能环保专用设备给予企业所得税减免政策，提高企业对节能环保设施进行升级改造的积极性。安排专项资金支持新能源基础设施建设、清洁能源产业发展、节约能源和清洁生产工艺技术和设备等。发挥财政资金撬动作用，大力吸引社会资本参与政府重点支持的节能低碳产品、清洁能源、清洁生产等领域PPP项目建设。积极争取国家“煤改电”“煤改气”、地热能、生物质能、太阳能等清洁取暖改造资金支持。（省财政厅、省税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务局、省发展改革委、省工业和信息化厅、省住房城乡建设厅、省生态环境厅等按职责分工负责）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五）大力发展绿色金融。推动落实银行机构与省政府签订的协议，引导银行机构精准对接，督促金融机构深入了解企业金融需求和生产经营状况，加大对绿色低碳企业和环保项目的资金支持力度。鼓励银行机构创新金融产品和服务模式，针对绿色低碳企业和环保项目开展更为灵活的信贷业务，拓宽抵质押物范围，推广适用于绿色低碳企业的金融新产品、新业务，优化对绿色低碳企业的金融服务。（省金融监管局、中国人民银行沈阳分行、辽宁银保监局、辽宁证监局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六）建立完善绿色标准体系。加快绿色产品认证制度建设，加强绿色低碳循环发展标准制修订，鼓励企业、科研单位、大专院校等制定相关团体标准和企业标准，加快标准化支撑机构建设。严格执行国家能源统计报表制度，开展节能环保、清洁生产、清洁能源统计监测，不断提高数据质量。加强部门协作联动，依法依规推进数据信息共享。（省市场监管局、省教育厅、省生态环境厅、省统计局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七）培育绿色交易市场。进一步健全排污权、用能权、用水权、碳排放权等交易机制。积极参与国家统一部署开展的排污权交易和碳排放权交易，实施发电行业碳排放配额分配、核查与清缴履约及其他重点行业碳排放核查。开展区域水权交易机制调查研究，探索区域水权交易机制。（省生态环境厅、省发展改革委、省水利厅、省市场监管局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八）督促落实形成合力。各地区、各有关部门要进一步压实工作责任，加强督促落实，将建立健全绿色低碳循环发展经济体系作为高质量发展的重要内容，保质保量完成各项任务。各地区要在抓落实上投入更大精力，确保政策措施落到实处。各有关部门要加强协同配合，形成工作合力，安排部署年度重点工作，及时总结好经验好模式。（省直各有关部门和各市、沈抚示范区按职责分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十九）营造良好氛围。围绕节能宣传周和低碳日主题，制定部署节能减排宣传工作计划。开展绿色食品宣传月行动，加大对绿色优质农产品的宣传推介力度。加强VOCs强制性国家标准的宣贯，推广环保型家具家居产品。各类新闻媒体要讲好绿色低碳循环发展故事，大力宣传取得的显著成就，积极宣扬先进典型，适时曝光破坏生态、污染环境、严重浪费资源和违规乱上高耗能、高排放项目等方面的负面典型，为绿色低碳循环发展营造良好氛围。（省委宣传部、省发展改革委、省生态环境厅、省农业农村厅、省工业和信息化厅、省机关事务局等按职责分工负责） </w:t>
      </w:r>
    </w:p>
    <w:p w14:paraId="5FE1000F" w14:textId="77777777" w:rsidR="00404D86" w:rsidRDefault="00404D86" w:rsidP="00404D86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br/>
      </w:r>
    </w:p>
    <w:p w14:paraId="55CC28A6" w14:textId="77777777" w:rsidR="00404D86" w:rsidRDefault="00404D86" w:rsidP="00404D86">
      <w:pPr>
        <w:ind w:left="375" w:right="3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</w:p>
    <w:p w14:paraId="3702D656" w14:textId="2BEB057C" w:rsidR="00A5131D" w:rsidRPr="00404D86" w:rsidRDefault="00A5131D" w:rsidP="00404D86"/>
    <w:sectPr w:rsidR="00A5131D" w:rsidRPr="00404D86">
      <w:headerReference w:type="default" r:id="rId9"/>
      <w:footerReference w:type="default" r:id="rId10"/>
      <w:pgSz w:w="11906" w:h="16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BA1F2" w14:textId="77777777" w:rsidR="0039600A" w:rsidRDefault="0039600A">
      <w:r>
        <w:separator/>
      </w:r>
    </w:p>
  </w:endnote>
  <w:endnote w:type="continuationSeparator" w:id="0">
    <w:p w14:paraId="371BB3DE" w14:textId="77777777" w:rsidR="0039600A" w:rsidRDefault="00396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Spacing w:w="15" w:type="dxa"/>
      <w:tblInd w:w="15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5278"/>
      <w:gridCol w:w="5278"/>
    </w:tblGrid>
    <w:tr w:rsidR="00014FB5" w14:paraId="3C48E2D6" w14:textId="77777777">
      <w:trPr>
        <w:tblCellSpacing w:w="15" w:type="dxa"/>
      </w:trPr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40A8D39F" w14:textId="77777777" w:rsidR="00A5131D" w:rsidRDefault="00A5131D">
          <w:pPr>
            <w:rPr>
              <w:rFonts w:ascii="宋体" w:eastAsia="宋体" w:hAnsi="宋体" w:cs="宋体" w:hint="eastAsia"/>
              <w:color w:val="000000"/>
              <w:sz w:val="18"/>
              <w:szCs w:val="18"/>
            </w:rPr>
          </w:pP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begin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instrText xml:space="preserve"> PAGE  </w:instrTex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separate"/>
          </w:r>
          <w:r>
            <w:rPr>
              <w:rFonts w:ascii="宋体" w:eastAsia="宋体" w:hAnsi="宋体" w:cs="宋体"/>
              <w:noProof/>
              <w:color w:val="000000"/>
              <w:sz w:val="18"/>
              <w:szCs w:val="18"/>
            </w:rPr>
            <w:t>1</w: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end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t>/</w: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begin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instrText xml:space="preserve"> NUMPAGES  </w:instrTex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separate"/>
          </w:r>
          <w:r>
            <w:rPr>
              <w:rFonts w:ascii="宋体" w:eastAsia="宋体" w:hAnsi="宋体" w:cs="宋体"/>
              <w:noProof/>
              <w:color w:val="000000"/>
              <w:sz w:val="18"/>
              <w:szCs w:val="18"/>
            </w:rPr>
            <w:t>2</w: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end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t>  共7条8152字</w:t>
          </w:r>
        </w:p>
      </w:tc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27CB45FE" w14:textId="77777777" w:rsidR="00A5131D" w:rsidRDefault="00A5131D">
          <w:pPr>
            <w:jc w:val="right"/>
            <w:rPr>
              <w:rFonts w:ascii="宋体" w:eastAsia="宋体" w:hAnsi="宋体" w:cs="宋体" w:hint="eastAsia"/>
              <w:color w:val="000000"/>
              <w:sz w:val="18"/>
              <w:szCs w:val="18"/>
            </w:rPr>
          </w:pPr>
          <w:r>
            <w:rPr>
              <w:rFonts w:ascii="宋体" w:eastAsia="宋体" w:hAnsi="宋体" w:cs="宋体"/>
              <w:color w:val="000000"/>
              <w:sz w:val="18"/>
              <w:szCs w:val="18"/>
            </w:rPr>
            <w:t>下载日期：2024-07-03</w:t>
          </w:r>
        </w:p>
      </w:tc>
    </w:tr>
  </w:tbl>
  <w:p w14:paraId="5333031C" w14:textId="77777777" w:rsidR="00A5131D" w:rsidRDefault="00A5131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B4227" w14:textId="77777777" w:rsidR="0039600A" w:rsidRDefault="0039600A">
      <w:r>
        <w:separator/>
      </w:r>
    </w:p>
  </w:footnote>
  <w:footnote w:type="continuationSeparator" w:id="0">
    <w:p w14:paraId="5001083C" w14:textId="77777777" w:rsidR="0039600A" w:rsidRDefault="003960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Spacing w:w="15" w:type="dxa"/>
      <w:tblInd w:w="15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4860"/>
      <w:gridCol w:w="5696"/>
    </w:tblGrid>
    <w:tr w:rsidR="00014FB5" w14:paraId="591EA9D0" w14:textId="77777777">
      <w:trPr>
        <w:tblCellSpacing w:w="15" w:type="dxa"/>
      </w:trPr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623F2854" w14:textId="77777777" w:rsidR="00A5131D" w:rsidRDefault="00404D86">
          <w:pPr>
            <w:rPr>
              <w:rFonts w:eastAsia="Times New Roman"/>
              <w:color w:val="000000"/>
            </w:rPr>
          </w:pPr>
          <w:r>
            <w:rPr>
              <w:rFonts w:eastAsia="Times New Roman"/>
              <w:color w:val="000000"/>
            </w:rPr>
            <w:pict w14:anchorId="5E2DBA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36.8pt;height:24pt;mso-position-horizontal-relative:text;mso-position-vertical-relative:text">
                <v:imagedata r:id="rId1" o:title=""/>
              </v:shape>
            </w:pict>
          </w:r>
        </w:p>
      </w:tc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2BFB0C96" w14:textId="77777777" w:rsidR="00A5131D" w:rsidRDefault="00A5131D">
          <w:pPr>
            <w:jc w:val="right"/>
            <w:rPr>
              <w:rFonts w:ascii="宋体" w:eastAsia="宋体" w:hAnsi="宋体" w:cs="宋体" w:hint="eastAsia"/>
              <w:color w:val="000000"/>
              <w:sz w:val="23"/>
              <w:szCs w:val="23"/>
            </w:rPr>
          </w:pPr>
          <w:r>
            <w:rPr>
              <w:rFonts w:ascii="宋体" w:eastAsia="宋体" w:hAnsi="宋体" w:cs="宋体"/>
              <w:color w:val="000000"/>
              <w:sz w:val="23"/>
              <w:szCs w:val="23"/>
            </w:rPr>
            <w:t>【法宝引证码】CLI.14.4778760</w:t>
          </w:r>
        </w:p>
      </w:tc>
    </w:tr>
  </w:tbl>
  <w:p w14:paraId="086569CE" w14:textId="77777777" w:rsidR="00A5131D" w:rsidRDefault="00A5131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B3E"/>
    <w:rsid w:val="00014FB5"/>
    <w:rsid w:val="0039600A"/>
    <w:rsid w:val="00404D86"/>
    <w:rsid w:val="005D133A"/>
    <w:rsid w:val="009D2435"/>
    <w:rsid w:val="00A5131D"/>
    <w:rsid w:val="00A77B3E"/>
    <w:rsid w:val="00B274E1"/>
    <w:rsid w:val="00C82B57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F0D2B"/>
  <w15:chartTrackingRefBased/>
  <w15:docId w15:val="{BA6474AD-1B47-45CD-BA97-E4411BA63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lltext-wrap">
    <w:name w:val="fulltext-wrap"/>
    <w:basedOn w:val="a"/>
    <w:pPr>
      <w:pBdr>
        <w:top w:val="none" w:sz="0" w:space="18" w:color="auto"/>
        <w:left w:val="none" w:sz="0" w:space="18" w:color="auto"/>
        <w:bottom w:val="none" w:sz="0" w:space="18" w:color="auto"/>
        <w:right w:val="none" w:sz="0" w:space="18" w:color="auto"/>
      </w:pBdr>
    </w:pPr>
  </w:style>
  <w:style w:type="paragraph" w:customStyle="1" w:styleId="fulltext-wraptitle">
    <w:name w:val="fulltext-wrap_title"/>
    <w:basedOn w:val="a"/>
    <w:pPr>
      <w:jc w:val="center"/>
    </w:pPr>
    <w:rPr>
      <w:sz w:val="30"/>
      <w:szCs w:val="30"/>
    </w:rPr>
  </w:style>
  <w:style w:type="paragraph" w:customStyle="1" w:styleId="div">
    <w:name w:val="div"/>
    <w:basedOn w:val="a"/>
    <w:pPr>
      <w:textAlignment w:val="baseline"/>
    </w:pPr>
  </w:style>
  <w:style w:type="paragraph" w:customStyle="1" w:styleId="divFullText">
    <w:name w:val="divFullText"/>
    <w:basedOn w:val="a"/>
    <w:pPr>
      <w:spacing w:line="600" w:lineRule="atLeast"/>
    </w:pPr>
    <w:rPr>
      <w:rFonts w:ascii="宋体" w:eastAsia="宋体" w:hAnsi="宋体" w:cs="宋体"/>
      <w:color w:val="000000"/>
      <w:sz w:val="27"/>
      <w:szCs w:val="27"/>
    </w:rPr>
  </w:style>
  <w:style w:type="paragraph" w:customStyle="1" w:styleId="p">
    <w:name w:val="p"/>
    <w:basedOn w:val="a"/>
    <w:pPr>
      <w:textAlignment w:val="baseline"/>
    </w:pPr>
  </w:style>
  <w:style w:type="paragraph" w:customStyle="1" w:styleId="fulltext-wrapfulltextTiaoYinV2">
    <w:name w:val="fulltext-wrap_fulltext_TiaoYinV2"/>
    <w:basedOn w:val="a"/>
    <w:pPr>
      <w:spacing w:line="384" w:lineRule="auto"/>
    </w:pPr>
    <w:rPr>
      <w:b/>
      <w:bCs/>
      <w:color w:val="218FC4"/>
      <w:sz w:val="21"/>
      <w:szCs w:val="21"/>
    </w:rPr>
  </w:style>
  <w:style w:type="character" w:customStyle="1" w:styleId="fulltext-wrapfulltexta">
    <w:name w:val="fulltext-wrap_fulltext_a"/>
    <w:rPr>
      <w:color w:val="218FC4"/>
    </w:rPr>
  </w:style>
  <w:style w:type="character" w:customStyle="1" w:styleId="fulltext-wrapnavtiao">
    <w:name w:val="fulltext-wrap_navtiao"/>
    <w:rPr>
      <w:b/>
      <w:bCs/>
    </w:rPr>
  </w:style>
  <w:style w:type="paragraph" w:styleId="a3">
    <w:name w:val="header"/>
    <w:basedOn w:val="a"/>
    <w:link w:val="a4"/>
    <w:rsid w:val="00A513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A5131D"/>
    <w:rPr>
      <w:sz w:val="18"/>
      <w:szCs w:val="18"/>
    </w:rPr>
  </w:style>
  <w:style w:type="paragraph" w:styleId="a5">
    <w:name w:val="footer"/>
    <w:basedOn w:val="a"/>
    <w:link w:val="a6"/>
    <w:rsid w:val="00A5131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rsid w:val="00A513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kulaw.com/chl/8d83bf01b80de0d2bdfb.html?way=textSl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kulaw.com/lar/98405e33e313c3db82c2d02c3de83a2ebdfb.html?way=textSlc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kulaw.com/chl/9cb1ab29ffa2fb12bdfb.html?way=textSlc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4189</Words>
  <Characters>4189</Characters>
  <Application>Microsoft Office Word</Application>
  <DocSecurity>0</DocSecurity>
  <Lines>139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超涵 章</dc:creator>
  <cp:keywords/>
  <cp:lastModifiedBy>超涵 章</cp:lastModifiedBy>
  <cp:revision>4</cp:revision>
  <cp:lastPrinted>1899-12-31T16:00:00Z</cp:lastPrinted>
  <dcterms:created xsi:type="dcterms:W3CDTF">2024-07-10T02:50:00Z</dcterms:created>
  <dcterms:modified xsi:type="dcterms:W3CDTF">2025-11-13T14:59:00Z</dcterms:modified>
</cp:coreProperties>
</file>