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398FF" w14:textId="3AD42044" w:rsidR="002F7F7C" w:rsidRDefault="002F7F7C" w:rsidP="00995B49">
      <w:pPr>
        <w:pStyle w:val="div"/>
        <w:spacing w:line="600" w:lineRule="atLeast"/>
        <w:ind w:right="1455"/>
        <w:rPr>
          <w:rFonts w:ascii="宋体" w:eastAsia="宋体" w:hAnsi="宋体" w:cs="宋体" w:hint="eastAsia"/>
          <w:color w:val="000000"/>
          <w:sz w:val="27"/>
          <w:szCs w:val="27"/>
        </w:rPr>
      </w:pPr>
    </w:p>
    <w:p w14:paraId="5A2133B8" w14:textId="77777777" w:rsidR="002F7F7C" w:rsidRDefault="002F7F7C">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黑龙江省建立健全绿色低碳循环发展经济体系实施方案</w:t>
      </w:r>
    </w:p>
    <w:p w14:paraId="46CA05D1" w14:textId="77777777" w:rsidR="002F7F7C" w:rsidRDefault="002F7F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》（国发〔2021〕4号），促进经济社会发展全面绿色转型，结合我省实际，制定本实施方案。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深入贯彻习近平生态文明思想和习近平总书记对黑龙江的重要讲话重要指示批示精神，完整准确全面贯彻新发展理念，牢固树立“绿水青山就是金山银山，冰天雪地也是金山银山”理念，坚持重点突破、创新引领、稳中求进、市场导向，坚决去、主动调、加快转，提升放大绿色发展优势，全方位全过程推行绿色规划、绿色设计、绿色投资、绿色建设、绿色生产、绿色流通、绿色生活、绿色消费，统筹推进经济高质量发展和生态环境高水平保护，建立健全绿色低碳循环发展的经济体系，确保实现碳达峰、碳中和目标。</w:t>
      </w:r>
      <w:r>
        <w:rPr>
          <w:rFonts w:ascii="宋体" w:eastAsia="宋体" w:hAnsi="宋体" w:cs="宋体"/>
          <w:color w:val="000000"/>
          <w:sz w:val="27"/>
          <w:szCs w:val="27"/>
        </w:rPr>
        <w:br/>
        <w:t xml:space="preserve">　　到2025年，绿色产业比重明显提升，绿色低碳循环发展的生产体系、流通体系、消费体系初步形成。单位GDP能耗下降15%，单位GDP二氧化碳排放下降16%，非化石能源消费比重提高到15%左右，非化石能源装机占比超过50%，地级城市空气质量优良天数比例提高到94%。到2035年，绿色产业规模迈上新台阶，广泛形成绿色生产生活方式，碳排放达峰后稳中有降，建成富强民主文明和谐美丽的社会主义现代化新龙江。 </w:t>
      </w:r>
    </w:p>
    <w:p w14:paraId="4F4DF2F3" w14:textId="77777777" w:rsidR="002F7F7C" w:rsidRDefault="002F7F7C">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健全绿色低碳循环发展的生产体系</w:t>
      </w:r>
      <w:r>
        <w:rPr>
          <w:rFonts w:ascii="宋体" w:eastAsia="宋体" w:hAnsi="宋体" w:cs="宋体"/>
          <w:b w:val="0"/>
          <w:bCs w:val="0"/>
          <w:color w:val="000000"/>
          <w:sz w:val="27"/>
          <w:szCs w:val="27"/>
        </w:rPr>
        <w:br/>
        <w:t xml:space="preserve">　　（一）加快工业绿色升级步伐。将优化工业结构作为重中之重，推进项目源</w:t>
      </w:r>
      <w:r>
        <w:rPr>
          <w:rFonts w:ascii="宋体" w:eastAsia="宋体" w:hAnsi="宋体" w:cs="宋体"/>
          <w:b w:val="0"/>
          <w:bCs w:val="0"/>
          <w:color w:val="000000"/>
          <w:sz w:val="27"/>
          <w:szCs w:val="27"/>
        </w:rPr>
        <w:lastRenderedPageBreak/>
        <w:t>头控碳、生产过程降碳、生态系统固碳，加快发展绿色低碳产业，坚决遏制高耗能高排放项目盲目发展。继续深化供给侧结构性改革，依法依规淘汰落后产能和化解过剩产能，加快实施重点行业绿色化改造，推行产品绿色设计，使用绿色低碳原材料，建设绿色建造体系。深入实施绿色制造，培育一批绿色工厂、绿色园区。加快循环发展，组织好齐齐哈尔、大庆、鸡西、七台河等国家级资源综合利用基地建设。扎实推进清洁生产监管，依法对“双超、双有、能耗超限额”企业实施强制性清洁生产审核，强化以排污许可制为核心的固定污染源监管。</w:t>
      </w:r>
      <w:r>
        <w:rPr>
          <w:rFonts w:ascii="宋体" w:eastAsia="宋体" w:hAnsi="宋体" w:cs="宋体"/>
          <w:b w:val="0"/>
          <w:bCs w:val="0"/>
          <w:color w:val="000000"/>
          <w:sz w:val="27"/>
          <w:szCs w:val="27"/>
        </w:rPr>
        <w:br/>
        <w:t xml:space="preserve">　　专栏1　促进工业绿色升级 </w:t>
      </w:r>
    </w:p>
    <w:tbl>
      <w:tblPr>
        <w:tblW w:w="5000" w:type="pct"/>
        <w:tblInd w:w="450"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862"/>
        <w:gridCol w:w="3709"/>
        <w:gridCol w:w="6031"/>
      </w:tblGrid>
      <w:tr w:rsidR="00000000" w14:paraId="35EA111E" w14:textId="77777777">
        <w:trPr>
          <w:trHeight w:val="570"/>
        </w:trPr>
        <w:tc>
          <w:tcPr>
            <w:tcW w:w="0" w:type="auto"/>
            <w:tcBorders>
              <w:top w:val="single" w:sz="12"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7C6E2DD0"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重点方向</w:t>
            </w:r>
          </w:p>
        </w:tc>
        <w:tc>
          <w:tcPr>
            <w:tcW w:w="0" w:type="auto"/>
            <w:tcBorders>
              <w:top w:val="single" w:sz="12"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9E08717"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目标</w:t>
            </w:r>
          </w:p>
        </w:tc>
        <w:tc>
          <w:tcPr>
            <w:tcW w:w="0" w:type="auto"/>
            <w:tcBorders>
              <w:top w:val="single" w:sz="12"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25AB4105"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具体任务</w:t>
            </w:r>
          </w:p>
        </w:tc>
      </w:tr>
      <w:tr w:rsidR="00000000" w14:paraId="6562FE68" w14:textId="77777777">
        <w:trPr>
          <w:trHeight w:val="1155"/>
        </w:trPr>
        <w:tc>
          <w:tcPr>
            <w:tcW w:w="0" w:type="auto"/>
            <w:tcBorders>
              <w:top w:val="single" w:sz="6" w:space="0" w:color="000000"/>
              <w:left w:val="single" w:sz="6" w:space="0" w:color="A5A5A5"/>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6F9F7D7E"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绿色制造</w:t>
            </w:r>
          </w:p>
          <w:p w14:paraId="549E438F"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示范行动</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5692974B"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到2025年，规上工业企业万元工业增加值能耗下降10%左右。</w:t>
            </w:r>
          </w:p>
        </w:tc>
        <w:tc>
          <w:tcPr>
            <w:tcW w:w="0" w:type="auto"/>
            <w:tcBorders>
              <w:top w:val="single" w:sz="6" w:space="0" w:color="000000"/>
              <w:left w:val="single" w:sz="6" w:space="0" w:color="000000"/>
              <w:bottom w:val="single" w:sz="6" w:space="0" w:color="000000"/>
              <w:right w:val="single" w:sz="6" w:space="0" w:color="A5A5A5"/>
            </w:tcBorders>
            <w:shd w:val="clear" w:color="auto" w:fill="F9F9F9"/>
            <w:tcMar>
              <w:top w:w="0" w:type="dxa"/>
              <w:left w:w="68" w:type="dxa"/>
              <w:bottom w:w="0" w:type="dxa"/>
              <w:right w:w="68" w:type="dxa"/>
            </w:tcMar>
            <w:vAlign w:val="center"/>
            <w:hideMark/>
          </w:tcPr>
          <w:p w14:paraId="50C309FD"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创建省级以上绿色工厂20家、绿色工业园区2个、绿色设计示范企业2户，完成重点用能单位节能改造50家。</w:t>
            </w:r>
          </w:p>
        </w:tc>
      </w:tr>
      <w:tr w:rsidR="00000000" w14:paraId="1FD7FDAB" w14:textId="77777777">
        <w:trPr>
          <w:trHeight w:val="915"/>
        </w:trPr>
        <w:tc>
          <w:tcPr>
            <w:tcW w:w="0" w:type="auto"/>
            <w:tcBorders>
              <w:top w:val="single" w:sz="6"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21C6D145"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排污许可质</w:t>
            </w:r>
          </w:p>
          <w:p w14:paraId="635716B6"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量提升行动</w:t>
            </w:r>
          </w:p>
        </w:tc>
        <w:tc>
          <w:tcPr>
            <w:tcW w:w="0" w:type="auto"/>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1F0F2B5F"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3年内完成排污许可证质量审核率100%。</w:t>
            </w:r>
          </w:p>
        </w:tc>
        <w:tc>
          <w:tcPr>
            <w:tcW w:w="0" w:type="auto"/>
            <w:tcBorders>
              <w:top w:val="single" w:sz="6"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23FF9A87"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审核固定污染源排污许可证质量5000份以上，实现质量审核全覆盖。</w:t>
            </w:r>
          </w:p>
        </w:tc>
      </w:tr>
      <w:tr w:rsidR="00000000" w14:paraId="43E226BD" w14:textId="77777777">
        <w:trPr>
          <w:trHeight w:val="975"/>
        </w:trPr>
        <w:tc>
          <w:tcPr>
            <w:tcW w:w="0" w:type="auto"/>
            <w:tcBorders>
              <w:top w:val="single" w:sz="6" w:space="0" w:color="000000"/>
              <w:left w:val="single" w:sz="6" w:space="0" w:color="A5A5A5"/>
              <w:bottom w:val="single" w:sz="12" w:space="0" w:color="000000"/>
              <w:right w:val="single" w:sz="6" w:space="0" w:color="000000"/>
            </w:tcBorders>
            <w:shd w:val="clear" w:color="auto" w:fill="F9F9F9"/>
            <w:tcMar>
              <w:top w:w="0" w:type="dxa"/>
              <w:left w:w="68" w:type="dxa"/>
              <w:bottom w:w="0" w:type="dxa"/>
              <w:right w:w="68" w:type="dxa"/>
            </w:tcMar>
            <w:vAlign w:val="center"/>
            <w:hideMark/>
          </w:tcPr>
          <w:p w14:paraId="3C2B4DAE"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清洁生产</w:t>
            </w:r>
          </w:p>
          <w:p w14:paraId="644FEDC4"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促进</w:t>
            </w:r>
            <w:r>
              <w:rPr>
                <w:rFonts w:ascii="宋体" w:eastAsia="宋体" w:hAnsi="宋体" w:cs="宋体"/>
                <w:color w:val="000000"/>
                <w:sz w:val="27"/>
                <w:szCs w:val="27"/>
              </w:rPr>
              <w:lastRenderedPageBreak/>
              <w:t>行动</w:t>
            </w:r>
          </w:p>
        </w:tc>
        <w:tc>
          <w:tcPr>
            <w:tcW w:w="0" w:type="auto"/>
            <w:tcBorders>
              <w:top w:val="single" w:sz="6" w:space="0" w:color="000000"/>
              <w:left w:val="single" w:sz="6" w:space="0" w:color="000000"/>
              <w:bottom w:val="single" w:sz="12" w:space="0" w:color="000000"/>
              <w:right w:val="single" w:sz="6" w:space="0" w:color="000000"/>
            </w:tcBorders>
            <w:shd w:val="clear" w:color="auto" w:fill="F9F9F9"/>
            <w:tcMar>
              <w:top w:w="0" w:type="dxa"/>
              <w:left w:w="68" w:type="dxa"/>
              <w:bottom w:w="0" w:type="dxa"/>
              <w:right w:w="68" w:type="dxa"/>
            </w:tcMar>
            <w:vAlign w:val="center"/>
            <w:hideMark/>
          </w:tcPr>
          <w:p w14:paraId="69616512"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lastRenderedPageBreak/>
              <w:t>实行强制性清洁生产审核。</w:t>
            </w:r>
          </w:p>
        </w:tc>
        <w:tc>
          <w:tcPr>
            <w:tcW w:w="0" w:type="auto"/>
            <w:tcBorders>
              <w:top w:val="single" w:sz="6" w:space="0" w:color="000000"/>
              <w:left w:val="single" w:sz="6" w:space="0" w:color="000000"/>
              <w:bottom w:val="single" w:sz="12" w:space="0" w:color="000000"/>
              <w:right w:val="single" w:sz="6" w:space="0" w:color="A5A5A5"/>
            </w:tcBorders>
            <w:shd w:val="clear" w:color="auto" w:fill="F9F9F9"/>
            <w:tcMar>
              <w:top w:w="0" w:type="dxa"/>
              <w:left w:w="68" w:type="dxa"/>
              <w:bottom w:w="0" w:type="dxa"/>
              <w:right w:w="68" w:type="dxa"/>
            </w:tcMar>
            <w:vAlign w:val="center"/>
            <w:hideMark/>
          </w:tcPr>
          <w:p w14:paraId="586F60D1"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扎实推进清洁生产监管，对“双超、双有、能耗超限额”企业开展清洁生产审核。</w:t>
            </w:r>
          </w:p>
        </w:tc>
      </w:tr>
    </w:tbl>
    <w:p w14:paraId="55F50151" w14:textId="77777777" w:rsidR="002F7F7C" w:rsidRDefault="002F7F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二）提升农业绿色发展品质。围绕科技助农、绿色优农、质量兴农、品牌强农、产业富农“五大行动”，加强农业环境管控，强化土壤固碳减排功能，推进农产品绿色化低碳化生态化。采取工程、农艺、生物等措施，保护好黑土地这个“耕地中的大熊猫”。深入实施农作物和畜禽良种联合攻关，推进制种基地和良种繁育体系建设，实现农产品品种培育，促进品质提升。鼓励发展生态种植、生态养殖，加强绿色食品、有机农产品认证和管理。发展设施农业，推进生产过程节能降耗。开展“中国粮食、中国饭碗”质量提升行动，打好寒地黑土、绿色有机、非转基因优势牌，加快推动农业由数量型向数量质量效益型转变。发展生态循环农业和林业循环经济，推进秸秆综合利用，建立畜禽粪污收集、贮存、处理和利用体系。推行节水农业、高效用水技术、地表水置换地下水，实施休耕停水、控灌节水、工程换水“三水”措施。加强农膜污染治理，实施农药、兽用抗菌药使用减量和产地环境净化行动。加快一二三产业融合发展。</w:t>
      </w:r>
      <w:r>
        <w:rPr>
          <w:rFonts w:ascii="宋体" w:eastAsia="宋体" w:hAnsi="宋体" w:cs="宋体"/>
          <w:color w:val="000000"/>
          <w:sz w:val="27"/>
          <w:szCs w:val="27"/>
        </w:rPr>
        <w:br/>
        <w:t xml:space="preserve">　　专栏2　推进农业绿色发展 </w:t>
      </w:r>
    </w:p>
    <w:tbl>
      <w:tblPr>
        <w:tblW w:w="5000" w:type="pct"/>
        <w:tblInd w:w="450"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908"/>
        <w:gridCol w:w="3222"/>
        <w:gridCol w:w="6472"/>
      </w:tblGrid>
      <w:tr w:rsidR="00000000" w14:paraId="494ADFC7" w14:textId="77777777">
        <w:trPr>
          <w:trHeight w:val="630"/>
        </w:trPr>
        <w:tc>
          <w:tcPr>
            <w:tcW w:w="0" w:type="auto"/>
            <w:tcBorders>
              <w:top w:val="single" w:sz="12"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33406667"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重点方向</w:t>
            </w:r>
          </w:p>
        </w:tc>
        <w:tc>
          <w:tcPr>
            <w:tcW w:w="0" w:type="auto"/>
            <w:tcBorders>
              <w:top w:val="single" w:sz="12"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8A55F6D"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目标</w:t>
            </w:r>
          </w:p>
        </w:tc>
        <w:tc>
          <w:tcPr>
            <w:tcW w:w="0" w:type="auto"/>
            <w:tcBorders>
              <w:top w:val="single" w:sz="12"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0B4AA28E"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具体任务</w:t>
            </w:r>
          </w:p>
        </w:tc>
      </w:tr>
      <w:tr w:rsidR="00000000" w14:paraId="7E1A5FF9" w14:textId="77777777">
        <w:trPr>
          <w:trHeight w:val="1335"/>
        </w:trPr>
        <w:tc>
          <w:tcPr>
            <w:tcW w:w="0" w:type="auto"/>
            <w:tcBorders>
              <w:top w:val="single" w:sz="6" w:space="0" w:color="000000"/>
              <w:left w:val="single" w:sz="6" w:space="0" w:color="A5A5A5"/>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5877A5FD"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高标准农田</w:t>
            </w:r>
          </w:p>
          <w:p w14:paraId="0127CCCE"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建设行动</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6EE8B1E8"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到2025年，新建及改造4100万亩，总规模达到1.22亿亩。</w:t>
            </w:r>
          </w:p>
        </w:tc>
        <w:tc>
          <w:tcPr>
            <w:tcW w:w="0" w:type="auto"/>
            <w:tcBorders>
              <w:top w:val="single" w:sz="6" w:space="0" w:color="000000"/>
              <w:left w:val="single" w:sz="6" w:space="0" w:color="000000"/>
              <w:bottom w:val="single" w:sz="6" w:space="0" w:color="000000"/>
              <w:right w:val="single" w:sz="6" w:space="0" w:color="A5A5A5"/>
            </w:tcBorders>
            <w:shd w:val="clear" w:color="auto" w:fill="F9F9F9"/>
            <w:tcMar>
              <w:top w:w="0" w:type="dxa"/>
              <w:left w:w="68" w:type="dxa"/>
              <w:bottom w:w="0" w:type="dxa"/>
              <w:right w:w="68" w:type="dxa"/>
            </w:tcMar>
            <w:vAlign w:val="center"/>
            <w:hideMark/>
          </w:tcPr>
          <w:p w14:paraId="6FFDFE86"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耕地质量提高一个等级，实现集中连片、沟渠连通，基本实现旱涝保收、高产稳产。</w:t>
            </w:r>
          </w:p>
        </w:tc>
      </w:tr>
      <w:tr w:rsidR="00000000" w14:paraId="6332FD70" w14:textId="77777777">
        <w:trPr>
          <w:trHeight w:val="1260"/>
        </w:trPr>
        <w:tc>
          <w:tcPr>
            <w:tcW w:w="0" w:type="auto"/>
            <w:tcBorders>
              <w:top w:val="single" w:sz="6"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54E0D90E"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秸秆综合</w:t>
            </w:r>
          </w:p>
          <w:p w14:paraId="50F3C2D4"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利用行动</w:t>
            </w:r>
          </w:p>
        </w:tc>
        <w:tc>
          <w:tcPr>
            <w:tcW w:w="0" w:type="auto"/>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2862991"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到2025年，全省秸秆综合利用率达到95%。</w:t>
            </w:r>
          </w:p>
        </w:tc>
        <w:tc>
          <w:tcPr>
            <w:tcW w:w="0" w:type="auto"/>
            <w:tcBorders>
              <w:top w:val="single" w:sz="6"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5FF55E64"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按年度制定实施《黑龙江省秸秆综合利用工作实施方案》。</w:t>
            </w:r>
          </w:p>
        </w:tc>
      </w:tr>
      <w:tr w:rsidR="00000000" w14:paraId="43C36E39" w14:textId="77777777">
        <w:trPr>
          <w:trHeight w:val="1125"/>
        </w:trPr>
        <w:tc>
          <w:tcPr>
            <w:tcW w:w="0" w:type="auto"/>
            <w:tcBorders>
              <w:top w:val="single" w:sz="6" w:space="0" w:color="000000"/>
              <w:left w:val="single" w:sz="6" w:space="0" w:color="A5A5A5"/>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3631AD18"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畜禽粪污</w:t>
            </w:r>
          </w:p>
          <w:p w14:paraId="2ACA51C7"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综合利用行动</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2EB013E3"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到2025年，全省畜禽粪污综合利用率达到85%。</w:t>
            </w:r>
          </w:p>
        </w:tc>
        <w:tc>
          <w:tcPr>
            <w:tcW w:w="0" w:type="auto"/>
            <w:tcBorders>
              <w:top w:val="single" w:sz="6" w:space="0" w:color="000000"/>
              <w:left w:val="single" w:sz="6" w:space="0" w:color="000000"/>
              <w:bottom w:val="single" w:sz="6" w:space="0" w:color="000000"/>
              <w:right w:val="single" w:sz="6" w:space="0" w:color="A5A5A5"/>
            </w:tcBorders>
            <w:shd w:val="clear" w:color="auto" w:fill="F9F9F9"/>
            <w:tcMar>
              <w:top w:w="0" w:type="dxa"/>
              <w:left w:w="68" w:type="dxa"/>
              <w:bottom w:w="0" w:type="dxa"/>
              <w:right w:w="68" w:type="dxa"/>
            </w:tcMar>
            <w:vAlign w:val="center"/>
            <w:hideMark/>
          </w:tcPr>
          <w:p w14:paraId="33F7C814"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以畜禽养殖废弃物减量化生产、无害化处理、资源化利用为重点，推进畜禽养殖废弃物综合利用，新增畜禽粪污处理能力465万吨。</w:t>
            </w:r>
          </w:p>
        </w:tc>
      </w:tr>
      <w:tr w:rsidR="00000000" w14:paraId="02DA7295" w14:textId="77777777">
        <w:trPr>
          <w:trHeight w:val="1125"/>
        </w:trPr>
        <w:tc>
          <w:tcPr>
            <w:tcW w:w="0" w:type="auto"/>
            <w:tcBorders>
              <w:top w:val="single" w:sz="6" w:space="0" w:color="000000"/>
              <w:left w:val="single" w:sz="6" w:space="0" w:color="A5A5A5"/>
              <w:bottom w:val="single" w:sz="12" w:space="0" w:color="000000"/>
              <w:right w:val="single" w:sz="6" w:space="0" w:color="000000"/>
            </w:tcBorders>
            <w:tcMar>
              <w:top w:w="0" w:type="dxa"/>
              <w:left w:w="68" w:type="dxa"/>
              <w:bottom w:w="0" w:type="dxa"/>
              <w:right w:w="68" w:type="dxa"/>
            </w:tcMar>
            <w:vAlign w:val="center"/>
            <w:hideMark/>
          </w:tcPr>
          <w:p w14:paraId="3B685B12"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黑土地保护</w:t>
            </w:r>
          </w:p>
          <w:p w14:paraId="2D7A9DA1"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利用行动</w:t>
            </w:r>
          </w:p>
        </w:tc>
        <w:tc>
          <w:tcPr>
            <w:tcW w:w="0" w:type="auto"/>
            <w:tcBorders>
              <w:top w:val="single" w:sz="6" w:space="0" w:color="000000"/>
              <w:left w:val="single" w:sz="6" w:space="0" w:color="000000"/>
              <w:bottom w:val="single" w:sz="12" w:space="0" w:color="000000"/>
              <w:right w:val="single" w:sz="6" w:space="0" w:color="000000"/>
            </w:tcBorders>
            <w:tcMar>
              <w:top w:w="0" w:type="dxa"/>
              <w:left w:w="68" w:type="dxa"/>
              <w:bottom w:w="0" w:type="dxa"/>
              <w:right w:w="68" w:type="dxa"/>
            </w:tcMar>
            <w:vAlign w:val="center"/>
            <w:hideMark/>
          </w:tcPr>
          <w:p w14:paraId="53FDE608"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到2025年，黑土耕地保护利用示范面积达到1亿亩。</w:t>
            </w:r>
          </w:p>
        </w:tc>
        <w:tc>
          <w:tcPr>
            <w:tcW w:w="0" w:type="auto"/>
            <w:tcBorders>
              <w:top w:val="single" w:sz="6" w:space="0" w:color="000000"/>
              <w:left w:val="single" w:sz="6" w:space="0" w:color="000000"/>
              <w:bottom w:val="single" w:sz="12" w:space="0" w:color="000000"/>
              <w:right w:val="single" w:sz="6" w:space="0" w:color="A5A5A5"/>
            </w:tcBorders>
            <w:tcMar>
              <w:top w:w="0" w:type="dxa"/>
              <w:left w:w="68" w:type="dxa"/>
              <w:bottom w:w="0" w:type="dxa"/>
              <w:right w:w="68" w:type="dxa"/>
            </w:tcMar>
            <w:vAlign w:val="center"/>
            <w:hideMark/>
          </w:tcPr>
          <w:p w14:paraId="4E6E91C1"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建立加强黑土地保护长效机制，确保黑土地不减少、不退化，实现黑土地永续利用。</w:t>
            </w:r>
          </w:p>
        </w:tc>
      </w:tr>
    </w:tbl>
    <w:p w14:paraId="116A6CF6" w14:textId="77777777" w:rsidR="002F7F7C" w:rsidRDefault="002F7F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三）鼓励服务业绿色升级。提高生产性服务业绿色发展质量，鼓励研发设计、检验检测认证、商务咨询、服务外包、现代物流、信息技术、会展等服务业加快绿色转型，鼓励办展设施循环利用，办好绿色展会，创新绿色服务模式，助力制造业绿色低碳循环发展。推进生活性服务业绿色发展，培育壮大商贸绿色流通主体，有序发展出行、住宿等领域共享经济，提高闲置资源利用率。鼓励星级饭店、酒店、餐饮行业不主动提供一次性用品，引导消费方式绿色化。严格落实推动汽修、装修装饰等行业使用低挥发性有机物含量原辅材料的要求，加强国家</w:t>
      </w:r>
      <w:r>
        <w:rPr>
          <w:rFonts w:ascii="宋体" w:eastAsia="宋体" w:hAnsi="宋体" w:cs="宋体"/>
          <w:color w:val="000000"/>
          <w:sz w:val="27"/>
          <w:szCs w:val="27"/>
        </w:rPr>
        <w:lastRenderedPageBreak/>
        <w:t>和地方涂料、油墨、胶粘剂、清洗剂等产品VOCs（挥发性有机物）含量限值标准执行情况的监督检查。</w:t>
      </w:r>
      <w:r>
        <w:rPr>
          <w:rFonts w:ascii="宋体" w:eastAsia="宋体" w:hAnsi="宋体" w:cs="宋体"/>
          <w:color w:val="000000"/>
          <w:sz w:val="27"/>
          <w:szCs w:val="27"/>
        </w:rPr>
        <w:br/>
        <w:t xml:space="preserve">　　（四）积极发展寒地冰雪产业。抓住北京冬奥会契机，将冰雪“冷资源”转换成“热经济”，充分释放亚布力论坛能量，把亚布力发展成高端企业董事会、年会举办地，打造成我省数字经济和振兴发展的品牌。推进寒地特色产业发展，建设黑河、大兴安岭寒地测试产业基地。丰富冰雪经济谱系，弘扬冰雪文化和名人，促进冰雪旅游、冰雪运动、冰雪文化、冰雪节庆、冰雪娱乐、冰雪装备、冰雪教育培训等协同创新发展，做强做大冰雪产业。</w:t>
      </w:r>
      <w:r>
        <w:rPr>
          <w:rFonts w:ascii="宋体" w:eastAsia="宋体" w:hAnsi="宋体" w:cs="宋体"/>
          <w:color w:val="000000"/>
          <w:sz w:val="27"/>
          <w:szCs w:val="27"/>
        </w:rPr>
        <w:br/>
        <w:t xml:space="preserve">　　（五）培育壮大绿色环保产业。加快培育绿色产业市场主体，落实国家绿色产业指导目录，扶持一批“专精特新”中小企业、绿色技术创新企业，培育一批专业化骨干企业，积极争取创建国家绿色产业示范基地，依托省建投集团组建生态环保集团。加快发展节能环保服务业，推进合同能源管理、合同节水管理，推广节能咨询、诊断、设计、融资、改造、托管等“一站式”综合服务模式，充分发挥环境污染第三方治理等模式和以环境治理效果为导向的环境托管服务。</w:t>
      </w:r>
      <w:r>
        <w:rPr>
          <w:rFonts w:ascii="宋体" w:eastAsia="宋体" w:hAnsi="宋体" w:cs="宋体"/>
          <w:color w:val="000000"/>
          <w:sz w:val="27"/>
          <w:szCs w:val="27"/>
        </w:rPr>
        <w:br/>
        <w:t xml:space="preserve">　　专栏3　开展节能环保服务业试点 </w:t>
      </w:r>
    </w:p>
    <w:tbl>
      <w:tblPr>
        <w:tblW w:w="5000" w:type="pct"/>
        <w:tblInd w:w="450"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14"/>
        <w:gridCol w:w="2836"/>
        <w:gridCol w:w="6752"/>
      </w:tblGrid>
      <w:tr w:rsidR="00000000" w14:paraId="584D3ECC" w14:textId="77777777">
        <w:trPr>
          <w:trHeight w:val="450"/>
        </w:trPr>
        <w:tc>
          <w:tcPr>
            <w:tcW w:w="0" w:type="auto"/>
            <w:tcBorders>
              <w:top w:val="single" w:sz="12"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3AE2E100"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重点方向</w:t>
            </w:r>
          </w:p>
        </w:tc>
        <w:tc>
          <w:tcPr>
            <w:tcW w:w="0" w:type="auto"/>
            <w:tcBorders>
              <w:top w:val="single" w:sz="12"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CDEA05B"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试点项目</w:t>
            </w:r>
          </w:p>
        </w:tc>
        <w:tc>
          <w:tcPr>
            <w:tcW w:w="0" w:type="auto"/>
            <w:tcBorders>
              <w:top w:val="single" w:sz="12"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73BA975A"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主要任务</w:t>
            </w:r>
          </w:p>
        </w:tc>
      </w:tr>
      <w:tr w:rsidR="00000000" w14:paraId="291CC6DC" w14:textId="77777777">
        <w:trPr>
          <w:trHeight w:val="735"/>
        </w:trPr>
        <w:tc>
          <w:tcPr>
            <w:tcW w:w="0" w:type="auto"/>
            <w:vMerge w:val="restart"/>
            <w:tcBorders>
              <w:top w:val="single" w:sz="6" w:space="0" w:color="000000"/>
              <w:left w:val="single" w:sz="6" w:space="0" w:color="A5A5A5"/>
              <w:right w:val="single" w:sz="6" w:space="0" w:color="000000"/>
            </w:tcBorders>
            <w:shd w:val="clear" w:color="auto" w:fill="F9F9F9"/>
            <w:tcMar>
              <w:top w:w="0" w:type="dxa"/>
              <w:left w:w="68" w:type="dxa"/>
              <w:bottom w:w="0" w:type="dxa"/>
              <w:right w:w="68" w:type="dxa"/>
            </w:tcMar>
            <w:vAlign w:val="center"/>
            <w:hideMark/>
          </w:tcPr>
          <w:p w14:paraId="266EEF8D"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合同能源管理</w:t>
            </w:r>
          </w:p>
        </w:tc>
        <w:tc>
          <w:tcPr>
            <w:tcW w:w="0" w:type="auto"/>
            <w:vMerge w:val="restart"/>
            <w:tcBorders>
              <w:top w:val="single" w:sz="6" w:space="0" w:color="000000"/>
              <w:left w:val="single" w:sz="6" w:space="0" w:color="000000"/>
              <w:right w:val="single" w:sz="6" w:space="0" w:color="000000"/>
            </w:tcBorders>
            <w:shd w:val="clear" w:color="auto" w:fill="F9F9F9"/>
            <w:tcMar>
              <w:top w:w="0" w:type="dxa"/>
              <w:left w:w="68" w:type="dxa"/>
              <w:bottom w:w="0" w:type="dxa"/>
              <w:right w:w="68" w:type="dxa"/>
            </w:tcMar>
            <w:vAlign w:val="center"/>
            <w:hideMark/>
          </w:tcPr>
          <w:p w14:paraId="08E8CD17"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建龙北满绿色能源综合利用项目</w:t>
            </w:r>
          </w:p>
        </w:tc>
        <w:tc>
          <w:tcPr>
            <w:tcW w:w="0" w:type="auto"/>
            <w:tcBorders>
              <w:top w:val="single" w:sz="6" w:space="0" w:color="000000"/>
              <w:left w:val="single" w:sz="6" w:space="0" w:color="000000"/>
              <w:bottom w:val="single" w:sz="6" w:space="0" w:color="000000"/>
              <w:right w:val="single" w:sz="6" w:space="0" w:color="A5A5A5"/>
            </w:tcBorders>
            <w:shd w:val="clear" w:color="auto" w:fill="F9F9F9"/>
            <w:tcMar>
              <w:top w:w="0" w:type="dxa"/>
              <w:left w:w="68" w:type="dxa"/>
              <w:bottom w:w="0" w:type="dxa"/>
              <w:right w:w="68" w:type="dxa"/>
            </w:tcMar>
            <w:vAlign w:val="center"/>
            <w:hideMark/>
          </w:tcPr>
          <w:p w14:paraId="6610AF2A"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委托第三方为建龙北满一期5.98兆瓦屋面分布式光伏项目实施合同能源管理。</w:t>
            </w:r>
          </w:p>
        </w:tc>
      </w:tr>
      <w:tr w:rsidR="00000000" w14:paraId="403E65CD" w14:textId="77777777">
        <w:trPr>
          <w:trHeight w:val="825"/>
        </w:trPr>
        <w:tc>
          <w:tcPr>
            <w:tcW w:w="0" w:type="auto"/>
            <w:vMerge/>
            <w:tcBorders>
              <w:top w:val="single" w:sz="6" w:space="0" w:color="666666"/>
              <w:left w:val="single" w:sz="6" w:space="0" w:color="A5A5A5"/>
              <w:right w:val="single" w:sz="6" w:space="0" w:color="000000"/>
            </w:tcBorders>
            <w:vAlign w:val="center"/>
            <w:hideMark/>
          </w:tcPr>
          <w:p w14:paraId="5005AF47" w14:textId="77777777" w:rsidR="002F7F7C" w:rsidRDefault="002F7F7C">
            <w:pPr>
              <w:rPr>
                <w:rFonts w:ascii="宋体" w:eastAsia="宋体" w:hAnsi="宋体" w:cs="宋体" w:hint="eastAsia"/>
                <w:color w:val="000000"/>
                <w:sz w:val="27"/>
                <w:szCs w:val="27"/>
              </w:rPr>
            </w:pPr>
          </w:p>
        </w:tc>
        <w:tc>
          <w:tcPr>
            <w:tcW w:w="0" w:type="auto"/>
            <w:vMerge/>
            <w:tcBorders>
              <w:top w:val="single" w:sz="6" w:space="0" w:color="666666"/>
              <w:left w:val="single" w:sz="6" w:space="0" w:color="000000"/>
              <w:bottom w:val="single" w:sz="6" w:space="0" w:color="000000"/>
              <w:right w:val="single" w:sz="6" w:space="0" w:color="000000"/>
            </w:tcBorders>
            <w:vAlign w:val="center"/>
            <w:hideMark/>
          </w:tcPr>
          <w:p w14:paraId="052209F8" w14:textId="77777777" w:rsidR="002F7F7C" w:rsidRDefault="002F7F7C">
            <w:pPr>
              <w:rPr>
                <w:rFonts w:ascii="宋体" w:eastAsia="宋体" w:hAnsi="宋体" w:cs="宋体" w:hint="eastAsia"/>
                <w:color w:val="000000"/>
                <w:sz w:val="27"/>
                <w:szCs w:val="27"/>
              </w:rPr>
            </w:pPr>
          </w:p>
        </w:tc>
        <w:tc>
          <w:tcPr>
            <w:tcW w:w="0" w:type="auto"/>
            <w:tcBorders>
              <w:top w:val="single" w:sz="6"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05E5140A"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委托第三方为建龙北满厂区内绿色能源合作项目暨二期分布式屋面及风电发电项目实施合同能源管理。</w:t>
            </w:r>
          </w:p>
        </w:tc>
      </w:tr>
      <w:tr w:rsidR="00000000" w14:paraId="4B9D7A52" w14:textId="77777777">
        <w:trPr>
          <w:trHeight w:val="840"/>
        </w:trPr>
        <w:tc>
          <w:tcPr>
            <w:tcW w:w="0" w:type="auto"/>
            <w:vMerge/>
            <w:tcBorders>
              <w:top w:val="single" w:sz="6" w:space="0" w:color="666666"/>
              <w:left w:val="single" w:sz="6" w:space="0" w:color="A5A5A5"/>
              <w:right w:val="single" w:sz="6" w:space="0" w:color="000000"/>
            </w:tcBorders>
            <w:vAlign w:val="center"/>
            <w:hideMark/>
          </w:tcPr>
          <w:p w14:paraId="34D43CB8" w14:textId="77777777" w:rsidR="002F7F7C" w:rsidRDefault="002F7F7C">
            <w:pPr>
              <w:rPr>
                <w:rFonts w:ascii="宋体" w:eastAsia="宋体" w:hAnsi="宋体" w:cs="宋体" w:hint="eastAsia"/>
                <w:color w:val="000000"/>
                <w:sz w:val="27"/>
                <w:szCs w:val="27"/>
              </w:rPr>
            </w:pP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4D2A311D"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齐齐哈尔市老旧小区既</w:t>
            </w:r>
            <w:r>
              <w:rPr>
                <w:rFonts w:ascii="宋体" w:eastAsia="宋体" w:hAnsi="宋体" w:cs="宋体"/>
                <w:color w:val="000000"/>
                <w:sz w:val="27"/>
                <w:szCs w:val="27"/>
              </w:rPr>
              <w:lastRenderedPageBreak/>
              <w:t>有居住建筑节能改造项目</w:t>
            </w:r>
          </w:p>
        </w:tc>
        <w:tc>
          <w:tcPr>
            <w:tcW w:w="0" w:type="auto"/>
            <w:tcBorders>
              <w:top w:val="single" w:sz="6" w:space="0" w:color="000000"/>
              <w:left w:val="single" w:sz="6" w:space="0" w:color="000000"/>
              <w:bottom w:val="single" w:sz="6" w:space="0" w:color="000000"/>
              <w:right w:val="single" w:sz="6" w:space="0" w:color="A5A5A5"/>
            </w:tcBorders>
            <w:shd w:val="clear" w:color="auto" w:fill="F9F9F9"/>
            <w:tcMar>
              <w:top w:w="0" w:type="dxa"/>
              <w:left w:w="68" w:type="dxa"/>
              <w:bottom w:w="0" w:type="dxa"/>
              <w:right w:w="68" w:type="dxa"/>
            </w:tcMar>
            <w:vAlign w:val="center"/>
            <w:hideMark/>
          </w:tcPr>
          <w:p w14:paraId="66AB104E"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“十四五”期间，老旧小区既有居住建筑节能改造面积</w:t>
            </w:r>
            <w:r>
              <w:rPr>
                <w:rFonts w:ascii="宋体" w:eastAsia="宋体" w:hAnsi="宋体" w:cs="宋体"/>
                <w:color w:val="000000"/>
                <w:sz w:val="27"/>
                <w:szCs w:val="27"/>
              </w:rPr>
              <w:lastRenderedPageBreak/>
              <w:t>达到600万平米。</w:t>
            </w:r>
          </w:p>
        </w:tc>
      </w:tr>
      <w:tr w:rsidR="00000000" w14:paraId="5AC1B17A" w14:textId="77777777">
        <w:trPr>
          <w:trHeight w:val="1140"/>
        </w:trPr>
        <w:tc>
          <w:tcPr>
            <w:tcW w:w="0" w:type="auto"/>
            <w:vMerge/>
            <w:tcBorders>
              <w:top w:val="single" w:sz="6" w:space="0" w:color="666666"/>
              <w:left w:val="single" w:sz="6" w:space="0" w:color="A5A5A5"/>
              <w:bottom w:val="single" w:sz="6" w:space="0" w:color="000000"/>
              <w:right w:val="single" w:sz="6" w:space="0" w:color="000000"/>
            </w:tcBorders>
            <w:vAlign w:val="center"/>
            <w:hideMark/>
          </w:tcPr>
          <w:p w14:paraId="736A6A89" w14:textId="77777777" w:rsidR="002F7F7C" w:rsidRDefault="002F7F7C">
            <w:pPr>
              <w:rPr>
                <w:rFonts w:ascii="宋体" w:eastAsia="宋体" w:hAnsi="宋体" w:cs="宋体" w:hint="eastAsia"/>
                <w:color w:val="000000"/>
                <w:sz w:val="27"/>
                <w:szCs w:val="27"/>
              </w:rPr>
            </w:pPr>
          </w:p>
        </w:tc>
        <w:tc>
          <w:tcPr>
            <w:tcW w:w="0" w:type="auto"/>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486064D"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齐齐哈尔市阳光热力集团智慧供热综合利用项目</w:t>
            </w:r>
          </w:p>
        </w:tc>
        <w:tc>
          <w:tcPr>
            <w:tcW w:w="0" w:type="auto"/>
            <w:tcBorders>
              <w:top w:val="single" w:sz="6"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34AC8D9E"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阳光热力集团智慧供热项目、锅炉房（换热站）屋顶光伏发电项目、燃煤锅炉烟气余热综合回收利用项目等。</w:t>
            </w:r>
          </w:p>
        </w:tc>
      </w:tr>
      <w:tr w:rsidR="00000000" w14:paraId="71350FCE" w14:textId="77777777">
        <w:trPr>
          <w:trHeight w:val="1110"/>
        </w:trPr>
        <w:tc>
          <w:tcPr>
            <w:tcW w:w="0" w:type="auto"/>
            <w:tcBorders>
              <w:top w:val="single" w:sz="6" w:space="0" w:color="000000"/>
              <w:left w:val="single" w:sz="6" w:space="0" w:color="A5A5A5"/>
              <w:bottom w:val="single" w:sz="12" w:space="0" w:color="000000"/>
              <w:right w:val="single" w:sz="6" w:space="0" w:color="000000"/>
            </w:tcBorders>
            <w:shd w:val="clear" w:color="auto" w:fill="F9F9F9"/>
            <w:tcMar>
              <w:top w:w="0" w:type="dxa"/>
              <w:left w:w="68" w:type="dxa"/>
              <w:bottom w:w="0" w:type="dxa"/>
              <w:right w:w="68" w:type="dxa"/>
            </w:tcMar>
            <w:vAlign w:val="center"/>
            <w:hideMark/>
          </w:tcPr>
          <w:p w14:paraId="53C26F4F"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环境托管服务</w:t>
            </w:r>
          </w:p>
        </w:tc>
        <w:tc>
          <w:tcPr>
            <w:tcW w:w="0" w:type="auto"/>
            <w:tcBorders>
              <w:top w:val="single" w:sz="6" w:space="0" w:color="000000"/>
              <w:left w:val="single" w:sz="6" w:space="0" w:color="000000"/>
              <w:bottom w:val="single" w:sz="12" w:space="0" w:color="000000"/>
              <w:right w:val="single" w:sz="6" w:space="0" w:color="000000"/>
            </w:tcBorders>
            <w:shd w:val="clear" w:color="auto" w:fill="F9F9F9"/>
            <w:tcMar>
              <w:top w:w="0" w:type="dxa"/>
              <w:left w:w="68" w:type="dxa"/>
              <w:bottom w:w="0" w:type="dxa"/>
              <w:right w:w="68" w:type="dxa"/>
            </w:tcMar>
            <w:vAlign w:val="center"/>
            <w:hideMark/>
          </w:tcPr>
          <w:p w14:paraId="6535094E"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安达经济开发区环境污染第三方治理</w:t>
            </w:r>
          </w:p>
        </w:tc>
        <w:tc>
          <w:tcPr>
            <w:tcW w:w="0" w:type="auto"/>
            <w:tcBorders>
              <w:top w:val="single" w:sz="6" w:space="0" w:color="000000"/>
              <w:left w:val="single" w:sz="6" w:space="0" w:color="000000"/>
              <w:bottom w:val="single" w:sz="12" w:space="0" w:color="000000"/>
              <w:right w:val="single" w:sz="6" w:space="0" w:color="A5A5A5"/>
            </w:tcBorders>
            <w:shd w:val="clear" w:color="auto" w:fill="F9F9F9"/>
            <w:tcMar>
              <w:top w:w="0" w:type="dxa"/>
              <w:left w:w="68" w:type="dxa"/>
              <w:bottom w:w="0" w:type="dxa"/>
              <w:right w:w="68" w:type="dxa"/>
            </w:tcMar>
            <w:vAlign w:val="center"/>
            <w:hideMark/>
          </w:tcPr>
          <w:p w14:paraId="3EB2ECD9"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围绕安达经济开发区污水处理厂升级改造、高浓污水处理、危废处理、兴隆泡治理、环保在线监测等开展第三方治理。</w:t>
            </w:r>
          </w:p>
        </w:tc>
      </w:tr>
    </w:tbl>
    <w:p w14:paraId="1BAC3CE9" w14:textId="77777777" w:rsidR="002F7F7C" w:rsidRDefault="002F7F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六）推动园区绿色转型。实施产业园区绿色化培育工程，提高新建园区绿色低碳循环水平，从设计开始贯穿绿色发展理念，依法依规开展规划环境影响评价，严格准入标准。推进既有园区和产业集群循环化改造，在培育6个千亿级产业园区和50个以上百亿级产业园区过程中，促进园区公用设施共建共享、能源梯级利用、水资源循环使用、废物综合利用，规划布局分布式新能源。鼓励化工等产业园区配套建设危险废物集中贮存、预处理和处置设施。</w:t>
      </w:r>
      <w:r>
        <w:rPr>
          <w:rFonts w:ascii="宋体" w:eastAsia="宋体" w:hAnsi="宋体" w:cs="宋体"/>
          <w:color w:val="000000"/>
          <w:sz w:val="27"/>
          <w:szCs w:val="27"/>
        </w:rPr>
        <w:br/>
        <w:t xml:space="preserve">　　（七）构建绿色供应链。探索产品全生命周期绿色环保管理，鼓励企业开展绿色设计、选择绿色材料、实施绿色采购、打造绿色制造工艺、推行绿色包装、开展绿色运输、加强废弃产品回收处理。开展省级绿色供应链管理企业评价，择优向上推荐，积极创建省级以上绿色供应链管理企业。 </w:t>
      </w:r>
    </w:p>
    <w:p w14:paraId="39A97FDA" w14:textId="77777777" w:rsidR="002F7F7C" w:rsidRDefault="002F7F7C">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健全绿色低碳循环发展的流通体系</w:t>
      </w:r>
      <w:r>
        <w:rPr>
          <w:rFonts w:ascii="宋体" w:eastAsia="宋体" w:hAnsi="宋体" w:cs="宋体"/>
          <w:b w:val="0"/>
          <w:bCs w:val="0"/>
          <w:color w:val="000000"/>
          <w:sz w:val="27"/>
          <w:szCs w:val="27"/>
        </w:rPr>
        <w:br/>
        <w:t xml:space="preserve">　　（八）提升物流绿色发展水平。积极调整运输结构，推进铁路、公路、航空、水运等多式联运。加快铁路专用线、综合货运枢纽建设，持续推动大宗货物运输公转铁。构建完善国际航线网络及货运网络，建成面向北美的航空物流中</w:t>
      </w:r>
      <w:r>
        <w:rPr>
          <w:rFonts w:ascii="宋体" w:eastAsia="宋体" w:hAnsi="宋体" w:cs="宋体"/>
          <w:b w:val="0"/>
          <w:bCs w:val="0"/>
          <w:color w:val="000000"/>
          <w:sz w:val="27"/>
          <w:szCs w:val="27"/>
        </w:rPr>
        <w:lastRenderedPageBreak/>
        <w:t>心，构筑东北亚面向欧洲的重要门户。加强运输组织管理，促进各种运输方式和运输组织形式间的有效衔接、高效运转。发展绿色仓储，支持节能环保型仓储设施、绿色分拣中心建设，推广使用可循环、可折叠包装产品和物流配送器具。推广绿色低碳运输工具，港口和机场服务、城市物流配送、邮政快递等领域要优先使用新能源或清洁能源汽车。</w:t>
      </w:r>
      <w:r>
        <w:rPr>
          <w:rFonts w:ascii="宋体" w:eastAsia="宋体" w:hAnsi="宋体" w:cs="宋体"/>
          <w:b w:val="0"/>
          <w:bCs w:val="0"/>
          <w:color w:val="000000"/>
          <w:sz w:val="27"/>
          <w:szCs w:val="27"/>
        </w:rPr>
        <w:br/>
        <w:t xml:space="preserve">　　专栏4　推进绿色物流体系建设 </w:t>
      </w:r>
    </w:p>
    <w:tbl>
      <w:tblPr>
        <w:tblW w:w="5000" w:type="pct"/>
        <w:tblInd w:w="450"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650"/>
        <w:gridCol w:w="4318"/>
        <w:gridCol w:w="5634"/>
      </w:tblGrid>
      <w:tr w:rsidR="00000000" w14:paraId="1AEA6405" w14:textId="77777777">
        <w:trPr>
          <w:trHeight w:val="450"/>
        </w:trPr>
        <w:tc>
          <w:tcPr>
            <w:tcW w:w="0" w:type="auto"/>
            <w:tcBorders>
              <w:top w:val="single" w:sz="12"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369A936E"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重点任务</w:t>
            </w:r>
          </w:p>
        </w:tc>
        <w:tc>
          <w:tcPr>
            <w:tcW w:w="0" w:type="auto"/>
            <w:tcBorders>
              <w:top w:val="single" w:sz="12"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316B681"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目标</w:t>
            </w:r>
          </w:p>
        </w:tc>
        <w:tc>
          <w:tcPr>
            <w:tcW w:w="0" w:type="auto"/>
            <w:tcBorders>
              <w:top w:val="single" w:sz="12"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79646101"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具体措施</w:t>
            </w:r>
          </w:p>
        </w:tc>
      </w:tr>
      <w:tr w:rsidR="00000000" w14:paraId="200D070E" w14:textId="77777777">
        <w:trPr>
          <w:trHeight w:val="1035"/>
        </w:trPr>
        <w:tc>
          <w:tcPr>
            <w:tcW w:w="0" w:type="auto"/>
            <w:tcBorders>
              <w:top w:val="single" w:sz="6" w:space="0" w:color="000000"/>
              <w:left w:val="single" w:sz="6" w:space="0" w:color="A5A5A5"/>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2D0BC2A6"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推进铁路</w:t>
            </w:r>
          </w:p>
          <w:p w14:paraId="373721F0"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专用线建设</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591DC08A"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到2025年，完成铁路货运量1.19亿吨。</w:t>
            </w:r>
          </w:p>
        </w:tc>
        <w:tc>
          <w:tcPr>
            <w:tcW w:w="0" w:type="auto"/>
            <w:tcBorders>
              <w:top w:val="single" w:sz="6" w:space="0" w:color="000000"/>
              <w:left w:val="single" w:sz="6" w:space="0" w:color="000000"/>
              <w:bottom w:val="single" w:sz="6" w:space="0" w:color="000000"/>
              <w:right w:val="single" w:sz="6" w:space="0" w:color="A5A5A5"/>
            </w:tcBorders>
            <w:shd w:val="clear" w:color="auto" w:fill="F9F9F9"/>
            <w:tcMar>
              <w:top w:w="0" w:type="dxa"/>
              <w:left w:w="68" w:type="dxa"/>
              <w:bottom w:w="0" w:type="dxa"/>
              <w:right w:w="68" w:type="dxa"/>
            </w:tcMar>
            <w:vAlign w:val="center"/>
            <w:hideMark/>
          </w:tcPr>
          <w:p w14:paraId="65704B7E"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推进哈尔滨局“一核心二网络三通道”等多式联运工程建设，持续推动大宗货物公转铁。</w:t>
            </w:r>
          </w:p>
        </w:tc>
      </w:tr>
      <w:tr w:rsidR="00000000" w14:paraId="3770A6D3" w14:textId="77777777">
        <w:trPr>
          <w:trHeight w:val="1830"/>
        </w:trPr>
        <w:tc>
          <w:tcPr>
            <w:tcW w:w="0" w:type="auto"/>
            <w:tcBorders>
              <w:top w:val="single" w:sz="6"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2ED4553E"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推进物流</w:t>
            </w:r>
            <w:r>
              <w:rPr>
                <w:rFonts w:ascii="宋体" w:eastAsia="宋体" w:hAnsi="宋体" w:cs="宋体"/>
                <w:color w:val="000000"/>
                <w:sz w:val="27"/>
                <w:szCs w:val="27"/>
              </w:rPr>
              <w:lastRenderedPageBreak/>
              <w:t>通</w:t>
            </w:r>
          </w:p>
          <w:p w14:paraId="22D6E4FF"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道布局优化</w:t>
            </w:r>
          </w:p>
        </w:tc>
        <w:tc>
          <w:tcPr>
            <w:tcW w:w="0" w:type="auto"/>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91BCA54"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lastRenderedPageBreak/>
              <w:t>到2025年，基本建立布局合理、功能完备、智慧高效、绿色安全的物流通道网络，构建“枢纽＋通道＋网络”的多层级现代物流体系。</w:t>
            </w:r>
          </w:p>
        </w:tc>
        <w:tc>
          <w:tcPr>
            <w:tcW w:w="0" w:type="auto"/>
            <w:tcBorders>
              <w:top w:val="single" w:sz="6" w:space="0" w:color="000000"/>
              <w:left w:val="single" w:sz="6" w:space="0" w:color="000000"/>
              <w:bottom w:val="single" w:sz="6" w:space="0" w:color="000000"/>
              <w:right w:val="single" w:sz="6" w:space="0" w:color="A5A5A5"/>
            </w:tcBorders>
            <w:tcMar>
              <w:top w:w="0" w:type="dxa"/>
              <w:left w:w="68" w:type="dxa"/>
              <w:bottom w:w="0" w:type="dxa"/>
              <w:right w:w="68" w:type="dxa"/>
            </w:tcMar>
            <w:vAlign w:val="center"/>
            <w:hideMark/>
          </w:tcPr>
          <w:p w14:paraId="2A2DBB21"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构建五纵、两横、一边的全省物流通道体系，完善物流通道网络布局。</w:t>
            </w:r>
          </w:p>
        </w:tc>
      </w:tr>
      <w:tr w:rsidR="00000000" w14:paraId="2E4EF4B8" w14:textId="77777777">
        <w:trPr>
          <w:trHeight w:val="2070"/>
        </w:trPr>
        <w:tc>
          <w:tcPr>
            <w:tcW w:w="0" w:type="auto"/>
            <w:tcBorders>
              <w:top w:val="single" w:sz="6" w:space="0" w:color="000000"/>
              <w:left w:val="single" w:sz="6" w:space="0" w:color="A5A5A5"/>
              <w:bottom w:val="single" w:sz="12" w:space="0" w:color="000000"/>
              <w:right w:val="single" w:sz="6" w:space="0" w:color="000000"/>
            </w:tcBorders>
            <w:shd w:val="clear" w:color="auto" w:fill="F9F9F9"/>
            <w:tcMar>
              <w:top w:w="0" w:type="dxa"/>
              <w:left w:w="68" w:type="dxa"/>
              <w:bottom w:w="0" w:type="dxa"/>
              <w:right w:w="68" w:type="dxa"/>
            </w:tcMar>
            <w:vAlign w:val="center"/>
            <w:hideMark/>
          </w:tcPr>
          <w:p w14:paraId="77BCAB37"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推进建设北</w:t>
            </w:r>
          </w:p>
          <w:p w14:paraId="1C015086"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方快运基地</w:t>
            </w:r>
          </w:p>
          <w:p w14:paraId="797ADBC0"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和航空货运</w:t>
            </w:r>
          </w:p>
          <w:p w14:paraId="794D41FE"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基</w:t>
            </w:r>
            <w:r>
              <w:rPr>
                <w:rFonts w:ascii="宋体" w:eastAsia="宋体" w:hAnsi="宋体" w:cs="宋体"/>
                <w:color w:val="000000"/>
                <w:sz w:val="27"/>
                <w:szCs w:val="27"/>
              </w:rPr>
              <w:lastRenderedPageBreak/>
              <w:t>地</w:t>
            </w:r>
          </w:p>
        </w:tc>
        <w:tc>
          <w:tcPr>
            <w:tcW w:w="0" w:type="auto"/>
            <w:tcBorders>
              <w:top w:val="single" w:sz="6" w:space="0" w:color="000000"/>
              <w:left w:val="single" w:sz="6" w:space="0" w:color="000000"/>
              <w:bottom w:val="single" w:sz="12" w:space="0" w:color="000000"/>
              <w:right w:val="single" w:sz="6" w:space="0" w:color="000000"/>
            </w:tcBorders>
            <w:shd w:val="clear" w:color="auto" w:fill="F9F9F9"/>
            <w:tcMar>
              <w:top w:w="0" w:type="dxa"/>
              <w:left w:w="68" w:type="dxa"/>
              <w:bottom w:w="0" w:type="dxa"/>
              <w:right w:w="68" w:type="dxa"/>
            </w:tcMar>
            <w:vAlign w:val="center"/>
            <w:hideMark/>
          </w:tcPr>
          <w:p w14:paraId="23E9A72F"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lastRenderedPageBreak/>
              <w:t>到2025年，哈尔滨机场年货邮吞吐量达到40万吨，力争进入全国机场货邮吞吐量前15位，争取主要货运航空公司在哈尔滨设立运行基地。</w:t>
            </w:r>
          </w:p>
        </w:tc>
        <w:tc>
          <w:tcPr>
            <w:tcW w:w="0" w:type="auto"/>
            <w:tcBorders>
              <w:top w:val="single" w:sz="6" w:space="0" w:color="000000"/>
              <w:left w:val="single" w:sz="6" w:space="0" w:color="000000"/>
              <w:bottom w:val="single" w:sz="12" w:space="0" w:color="000000"/>
              <w:right w:val="single" w:sz="6" w:space="0" w:color="A5A5A5"/>
            </w:tcBorders>
            <w:shd w:val="clear" w:color="auto" w:fill="F9F9F9"/>
            <w:tcMar>
              <w:top w:w="0" w:type="dxa"/>
              <w:left w:w="68" w:type="dxa"/>
              <w:bottom w:w="0" w:type="dxa"/>
              <w:right w:w="68" w:type="dxa"/>
            </w:tcMar>
            <w:vAlign w:val="center"/>
            <w:hideMark/>
          </w:tcPr>
          <w:p w14:paraId="55BF7DEE"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全面提升哈尔滨国际航空枢纽功能，加快升级改造区域干线机场，推进支线机场和通用机场建设，规划建设哈尔滨机场货运航线，争取将北美、欧洲、俄罗斯等国际航线周转地落户哈尔滨。</w:t>
            </w:r>
          </w:p>
        </w:tc>
      </w:tr>
    </w:tbl>
    <w:p w14:paraId="260F07D8" w14:textId="77777777" w:rsidR="002F7F7C" w:rsidRDefault="002F7F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九）完善再生资源回收利用体系。推进垃圾分类与再生资源回收“两网融合”，支持建立再生资源区域分类回收和交易中心，合理布局建设回收体系，提高再生资源回收率。落实生产者责任延伸制度，以电器电子产品、汽车、铅蓄电池、饮料纸基复合包装等领域为重点，鼓励有条件的生产企业加快建立逆向物流回收体系。支持再生资源回收企业建立在线交易平台，完善线下回收网点。</w:t>
      </w:r>
      <w:r>
        <w:rPr>
          <w:rFonts w:ascii="宋体" w:eastAsia="宋体" w:hAnsi="宋体" w:cs="宋体"/>
          <w:color w:val="000000"/>
          <w:sz w:val="27"/>
          <w:szCs w:val="27"/>
        </w:rPr>
        <w:br/>
        <w:t xml:space="preserve">　　（十）提升绿色低碳贸易品质。积极优化贸易结构，引导企业扩大先进技术、成套设备、高端装备和关键零部件进口，支持企业开展国际认证，提升出口商品附加值。积极探索国际仲裁服务，强化信誉体系建设。强化边境口岸内外同防，落实落细常态化疫情防控措施，筑牢生物安全防线，强化系统治理和全链条防控，建立健全重大生物安全突发事件应急预案，全面提升生物安全治理能力。推进绿色“一带一路”合作，深化与俄罗斯哈巴罗夫斯克边疆区生态环境保护交流合作。 </w:t>
      </w:r>
    </w:p>
    <w:p w14:paraId="29ACAA82" w14:textId="77777777" w:rsidR="002F7F7C" w:rsidRDefault="002F7F7C">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健全绿色低碳循环发展的消费体系</w:t>
      </w:r>
      <w:r>
        <w:rPr>
          <w:rFonts w:ascii="宋体" w:eastAsia="宋体" w:hAnsi="宋体" w:cs="宋体"/>
          <w:b w:val="0"/>
          <w:bCs w:val="0"/>
          <w:color w:val="000000"/>
          <w:sz w:val="27"/>
          <w:szCs w:val="27"/>
        </w:rPr>
        <w:br/>
        <w:t xml:space="preserve">　　（十一）鼓励绿色产品消费。加大政府绿色采购力度，落实环境标志产品、节能产品政府采购品目清单等相关制度，扩大绿色产品采购范围和规模，逐步将绿色采购制度扩展至国有企业。鼓励工业企业研发生产绿色设计产品，增加市场供给。畅通绿色产品消费渠道，鼓励各地采取补贴、积分奖励等方式促进绿色消费，鼓励电商平台设立绿色产品销售专区。加强绿色产品和服务认证管理，完善监管机制，严厉打击能效、水效、环境标识、电器电子产品有害物质限制使用等</w:t>
      </w:r>
      <w:r>
        <w:rPr>
          <w:rFonts w:ascii="宋体" w:eastAsia="宋体" w:hAnsi="宋体" w:cs="宋体"/>
          <w:b w:val="0"/>
          <w:bCs w:val="0"/>
          <w:color w:val="000000"/>
          <w:sz w:val="27"/>
          <w:szCs w:val="27"/>
        </w:rPr>
        <w:lastRenderedPageBreak/>
        <w:t>虚标行为。推广绿色电力证书交易，引领全社会提升绿色电力消费。</w:t>
      </w:r>
      <w:r>
        <w:rPr>
          <w:rFonts w:ascii="宋体" w:eastAsia="宋体" w:hAnsi="宋体" w:cs="宋体"/>
          <w:b w:val="0"/>
          <w:bCs w:val="0"/>
          <w:color w:val="000000"/>
          <w:sz w:val="27"/>
          <w:szCs w:val="27"/>
        </w:rPr>
        <w:br/>
        <w:t xml:space="preserve">　　（十二）倡导绿色低碳生活方式。因地制宜推进生活垃圾分类和减量化、资源化，加快建设与生活垃圾分类相匹配的收运、回收、处理设施，实现生活垃圾分类资源价值和环保价值。扎实推进塑料污染全链条治理，开展年度塑料污染治理联合专项行动。推广应用一联电子运单、45毫米以下瘦身胶带，推行简约包装，开展过度包装和随意包装专项治理，推行电商件不再二次包装。加强宣传引导，积极引导绿色出行，深入开展爱国卫生运动，推进节约粮食专项行动、光盘行动，杜绝“舌尖上的浪费”。开展绿色生活创建活动，做好全国节能宣传周、低碳日、环境保护日等宣传活动，倡导简约适度、绿色低碳的生活方式。 </w:t>
      </w:r>
    </w:p>
    <w:p w14:paraId="60160A2D" w14:textId="77777777" w:rsidR="002F7F7C" w:rsidRDefault="002F7F7C">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建立健全绿色基础设施体系</w:t>
      </w:r>
      <w:r>
        <w:rPr>
          <w:rFonts w:ascii="宋体" w:eastAsia="宋体" w:hAnsi="宋体" w:cs="宋体"/>
          <w:b w:val="0"/>
          <w:bCs w:val="0"/>
          <w:color w:val="000000"/>
          <w:sz w:val="27"/>
          <w:szCs w:val="27"/>
        </w:rPr>
        <w:br/>
        <w:t xml:space="preserve">　　（十三）推动能源体系绿色低碳转型。坚持节能优先，完善能源消费总量和强度双控制度，推进用能低碳化、电气化。优先发展非化石能源，规模化、基地化开发风能、太阳能资源，推动生物质能充分利用、替代散煤，推进佳木斯一体化小型核能供热堆示范，开展地热能、氢能等清洁能源应用试点。清洁高效开发利用化石能源，深入实施“气化龙江”工程，严控新增煤电装机容量，着力保障能源安全稳定供应。积极构建新型电力系统，坚持“源网荷储”一体化和多能互补发展，优化电网网架结构，推进外送通道建设，实施城乡配电网建设和智能升级计划，推进农村电网改造升级。提高电网调峰能力，2022年底前荒沟抽水蓄能电站建成投产，加快推进尚志、依兰等地7个总装机950万千瓦的抽水蓄能电站前期工作，发展新型储能。加快推进清洁供暖，开展智慧供暖试点，建设全国智慧供热产业云基地。开展二氧化碳捕集、利用和封存试验示范，推动等离激元热催化二氧化碳合成清洁燃料技术工程应用，支持热合成催化碳捕集利用示范项目申报国家低碳技术目录。</w:t>
      </w:r>
      <w:r>
        <w:rPr>
          <w:rFonts w:ascii="宋体" w:eastAsia="宋体" w:hAnsi="宋体" w:cs="宋体"/>
          <w:b w:val="0"/>
          <w:bCs w:val="0"/>
          <w:color w:val="000000"/>
          <w:sz w:val="27"/>
          <w:szCs w:val="27"/>
        </w:rPr>
        <w:br/>
        <w:t xml:space="preserve">　　专栏5　推动能源绿色发展 </w:t>
      </w:r>
    </w:p>
    <w:tbl>
      <w:tblPr>
        <w:tblW w:w="5000" w:type="pct"/>
        <w:tblInd w:w="450"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858"/>
        <w:gridCol w:w="2188"/>
        <w:gridCol w:w="7556"/>
      </w:tblGrid>
      <w:tr w:rsidR="00000000" w14:paraId="0434471D" w14:textId="77777777">
        <w:trPr>
          <w:trHeight w:val="600"/>
        </w:trPr>
        <w:tc>
          <w:tcPr>
            <w:tcW w:w="0" w:type="auto"/>
            <w:tcBorders>
              <w:top w:val="single" w:sz="12"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48914F17"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重点方向</w:t>
            </w:r>
          </w:p>
        </w:tc>
        <w:tc>
          <w:tcPr>
            <w:tcW w:w="0" w:type="auto"/>
            <w:tcBorders>
              <w:top w:val="single" w:sz="12" w:space="0" w:color="000000"/>
              <w:bottom w:val="single" w:sz="6" w:space="0" w:color="000000"/>
              <w:right w:val="single" w:sz="6" w:space="0" w:color="000000"/>
            </w:tcBorders>
            <w:tcMar>
              <w:top w:w="0" w:type="dxa"/>
              <w:left w:w="65" w:type="dxa"/>
              <w:bottom w:w="0" w:type="dxa"/>
              <w:right w:w="68" w:type="dxa"/>
            </w:tcMar>
            <w:vAlign w:val="center"/>
            <w:hideMark/>
          </w:tcPr>
          <w:p w14:paraId="09941108"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目标</w:t>
            </w:r>
          </w:p>
        </w:tc>
        <w:tc>
          <w:tcPr>
            <w:tcW w:w="0" w:type="auto"/>
            <w:tcBorders>
              <w:top w:val="single" w:sz="12" w:space="0" w:color="000000"/>
              <w:bottom w:val="single" w:sz="6" w:space="0" w:color="000000"/>
              <w:right w:val="single" w:sz="6" w:space="0" w:color="A5A5A5"/>
            </w:tcBorders>
            <w:tcMar>
              <w:top w:w="0" w:type="dxa"/>
              <w:left w:w="65" w:type="dxa"/>
              <w:bottom w:w="0" w:type="dxa"/>
              <w:right w:w="68" w:type="dxa"/>
            </w:tcMar>
            <w:vAlign w:val="center"/>
            <w:hideMark/>
          </w:tcPr>
          <w:p w14:paraId="105E140F"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具体任务</w:t>
            </w:r>
          </w:p>
        </w:tc>
      </w:tr>
      <w:tr w:rsidR="00000000" w14:paraId="32674E35" w14:textId="77777777">
        <w:trPr>
          <w:trHeight w:val="1740"/>
        </w:trPr>
        <w:tc>
          <w:tcPr>
            <w:tcW w:w="0" w:type="auto"/>
            <w:tcBorders>
              <w:top w:val="single" w:sz="6" w:space="0" w:color="A5A5A5"/>
              <w:left w:val="single" w:sz="6" w:space="0" w:color="A5A5A5"/>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6498D7D5"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优先发展</w:t>
            </w:r>
          </w:p>
          <w:p w14:paraId="569CFE57"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非化石能源</w:t>
            </w:r>
          </w:p>
        </w:tc>
        <w:tc>
          <w:tcPr>
            <w:tcW w:w="0" w:type="auto"/>
            <w:tcBorders>
              <w:top w:val="single" w:sz="6" w:space="0" w:color="A5A5A5"/>
              <w:bottom w:val="single" w:sz="6" w:space="0" w:color="000000"/>
              <w:right w:val="single" w:sz="6" w:space="0" w:color="000000"/>
            </w:tcBorders>
            <w:shd w:val="clear" w:color="auto" w:fill="F9F9F9"/>
            <w:tcMar>
              <w:top w:w="0" w:type="dxa"/>
              <w:left w:w="65" w:type="dxa"/>
              <w:bottom w:w="0" w:type="dxa"/>
              <w:right w:w="68" w:type="dxa"/>
            </w:tcMar>
            <w:vAlign w:val="center"/>
            <w:hideMark/>
          </w:tcPr>
          <w:p w14:paraId="5FD62206"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到2025年，全省非化石能源装机占总装机比重超过50%。</w:t>
            </w:r>
          </w:p>
        </w:tc>
        <w:tc>
          <w:tcPr>
            <w:tcW w:w="0" w:type="auto"/>
            <w:tcBorders>
              <w:top w:val="single" w:sz="6" w:space="0" w:color="A5A5A5"/>
              <w:bottom w:val="single" w:sz="6" w:space="0" w:color="000000"/>
              <w:right w:val="single" w:sz="6" w:space="0" w:color="A5A5A5"/>
            </w:tcBorders>
            <w:shd w:val="clear" w:color="auto" w:fill="F9F9F9"/>
            <w:tcMar>
              <w:top w:w="0" w:type="dxa"/>
              <w:left w:w="65" w:type="dxa"/>
              <w:bottom w:w="0" w:type="dxa"/>
              <w:right w:w="68" w:type="dxa"/>
            </w:tcMar>
            <w:vAlign w:val="center"/>
            <w:hideMark/>
          </w:tcPr>
          <w:p w14:paraId="34E438E4"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规划建设哈尔滨、绥化综合能源基地，齐齐哈尔、大庆可再生能源综合应用示范基地，东部煤炭城市、佳木斯、牡丹江高比例可再生能源外送基地等5个千万千瓦级基地。“十四五”新增风电、光伏发电、生物质发电等新能源及可再生能源装机3000万千瓦以上。</w:t>
            </w:r>
          </w:p>
        </w:tc>
      </w:tr>
      <w:tr w:rsidR="00000000" w14:paraId="413BE285" w14:textId="77777777">
        <w:trPr>
          <w:trHeight w:val="930"/>
        </w:trPr>
        <w:tc>
          <w:tcPr>
            <w:tcW w:w="0" w:type="auto"/>
            <w:tcBorders>
              <w:top w:val="single" w:sz="6" w:space="0" w:color="A5A5A5"/>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403016C1"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严控煤电</w:t>
            </w:r>
          </w:p>
          <w:p w14:paraId="0FE5B93E"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机组规模</w:t>
            </w:r>
          </w:p>
        </w:tc>
        <w:tc>
          <w:tcPr>
            <w:tcW w:w="0" w:type="auto"/>
            <w:tcBorders>
              <w:top w:val="single" w:sz="6" w:space="0" w:color="A5A5A5"/>
              <w:bottom w:val="single" w:sz="6" w:space="0" w:color="000000"/>
              <w:right w:val="single" w:sz="6" w:space="0" w:color="000000"/>
            </w:tcBorders>
            <w:tcMar>
              <w:top w:w="0" w:type="dxa"/>
              <w:left w:w="65" w:type="dxa"/>
              <w:bottom w:w="0" w:type="dxa"/>
              <w:right w:w="68" w:type="dxa"/>
            </w:tcMar>
            <w:vAlign w:val="center"/>
            <w:hideMark/>
          </w:tcPr>
          <w:p w14:paraId="7B002BCE"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到2025年，全省煤电装机占总装机比重下降到50%以下。</w:t>
            </w:r>
          </w:p>
        </w:tc>
        <w:tc>
          <w:tcPr>
            <w:tcW w:w="0" w:type="auto"/>
            <w:tcBorders>
              <w:top w:val="single" w:sz="6" w:space="0" w:color="A5A5A5"/>
              <w:bottom w:val="single" w:sz="6" w:space="0" w:color="000000"/>
              <w:right w:val="single" w:sz="6" w:space="0" w:color="A5A5A5"/>
            </w:tcBorders>
            <w:tcMar>
              <w:top w:w="0" w:type="dxa"/>
              <w:left w:w="65" w:type="dxa"/>
              <w:bottom w:w="0" w:type="dxa"/>
              <w:right w:w="68" w:type="dxa"/>
            </w:tcMar>
            <w:vAlign w:val="center"/>
            <w:hideMark/>
          </w:tcPr>
          <w:p w14:paraId="509D6516"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将80万千瓦煤电机组转为调峰或应急备用。新增热电联产机组不超过300万千瓦，2025年以后原则上不再新增。</w:t>
            </w:r>
          </w:p>
        </w:tc>
      </w:tr>
      <w:tr w:rsidR="00000000" w14:paraId="6B9D09AC" w14:textId="77777777">
        <w:trPr>
          <w:trHeight w:val="945"/>
        </w:trPr>
        <w:tc>
          <w:tcPr>
            <w:tcW w:w="0" w:type="auto"/>
            <w:tcBorders>
              <w:top w:val="single" w:sz="6" w:space="0" w:color="A5A5A5"/>
              <w:left w:val="single" w:sz="6" w:space="0" w:color="A5A5A5"/>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316DE6E1"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推动清洁</w:t>
            </w:r>
          </w:p>
          <w:p w14:paraId="603F020E"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取暖减煤</w:t>
            </w:r>
          </w:p>
        </w:tc>
        <w:tc>
          <w:tcPr>
            <w:tcW w:w="0" w:type="auto"/>
            <w:tcBorders>
              <w:top w:val="single" w:sz="6" w:space="0" w:color="A5A5A5"/>
              <w:bottom w:val="single" w:sz="6" w:space="0" w:color="000000"/>
              <w:right w:val="single" w:sz="6" w:space="0" w:color="000000"/>
            </w:tcBorders>
            <w:shd w:val="clear" w:color="auto" w:fill="F9F9F9"/>
            <w:tcMar>
              <w:top w:w="0" w:type="dxa"/>
              <w:left w:w="65" w:type="dxa"/>
              <w:bottom w:w="0" w:type="dxa"/>
              <w:right w:w="68" w:type="dxa"/>
            </w:tcMar>
            <w:vAlign w:val="center"/>
            <w:hideMark/>
          </w:tcPr>
          <w:p w14:paraId="6C3EB564"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到2025年，全省清洁取暖率提高到80%。</w:t>
            </w:r>
          </w:p>
        </w:tc>
        <w:tc>
          <w:tcPr>
            <w:tcW w:w="0" w:type="auto"/>
            <w:tcBorders>
              <w:top w:val="single" w:sz="6" w:space="0" w:color="A5A5A5"/>
              <w:bottom w:val="single" w:sz="6" w:space="0" w:color="000000"/>
              <w:right w:val="single" w:sz="6" w:space="0" w:color="A5A5A5"/>
            </w:tcBorders>
            <w:shd w:val="clear" w:color="auto" w:fill="F9F9F9"/>
            <w:tcMar>
              <w:top w:w="0" w:type="dxa"/>
              <w:left w:w="65" w:type="dxa"/>
              <w:bottom w:w="0" w:type="dxa"/>
              <w:right w:w="68" w:type="dxa"/>
            </w:tcMar>
            <w:vAlign w:val="center"/>
            <w:hideMark/>
          </w:tcPr>
          <w:p w14:paraId="3CC1A328"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以清洁高效、成本可控为原则，宜并则并、宜气则气、宜电则电，新增清洁取暖面积超过1亿平方米。</w:t>
            </w:r>
          </w:p>
        </w:tc>
      </w:tr>
      <w:tr w:rsidR="00000000" w14:paraId="724E2FC4" w14:textId="77777777">
        <w:trPr>
          <w:trHeight w:val="1245"/>
        </w:trPr>
        <w:tc>
          <w:tcPr>
            <w:tcW w:w="0" w:type="auto"/>
            <w:tcBorders>
              <w:top w:val="single" w:sz="6" w:space="0" w:color="A5A5A5"/>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02890B04"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页岩油气</w:t>
            </w:r>
          </w:p>
          <w:p w14:paraId="5E7851EC"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勘探开发</w:t>
            </w:r>
          </w:p>
        </w:tc>
        <w:tc>
          <w:tcPr>
            <w:tcW w:w="0" w:type="auto"/>
            <w:tcBorders>
              <w:top w:val="single" w:sz="6" w:space="0" w:color="A5A5A5"/>
              <w:bottom w:val="single" w:sz="6" w:space="0" w:color="000000"/>
              <w:right w:val="single" w:sz="6" w:space="0" w:color="000000"/>
            </w:tcBorders>
            <w:tcMar>
              <w:top w:w="0" w:type="dxa"/>
              <w:left w:w="65" w:type="dxa"/>
              <w:bottom w:w="0" w:type="dxa"/>
              <w:right w:w="68" w:type="dxa"/>
            </w:tcMar>
            <w:vAlign w:val="center"/>
            <w:hideMark/>
          </w:tcPr>
          <w:p w14:paraId="48EBB0CA"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建成大庆古龙陆相页岩油国家级示范区。</w:t>
            </w:r>
          </w:p>
        </w:tc>
        <w:tc>
          <w:tcPr>
            <w:tcW w:w="0" w:type="auto"/>
            <w:tcBorders>
              <w:top w:val="single" w:sz="6" w:space="0" w:color="A5A5A5"/>
              <w:bottom w:val="single" w:sz="6" w:space="0" w:color="000000"/>
              <w:right w:val="single" w:sz="6" w:space="0" w:color="A5A5A5"/>
            </w:tcBorders>
            <w:tcMar>
              <w:top w:w="0" w:type="dxa"/>
              <w:left w:w="65" w:type="dxa"/>
              <w:bottom w:w="0" w:type="dxa"/>
              <w:right w:w="68" w:type="dxa"/>
            </w:tcMar>
            <w:vAlign w:val="center"/>
            <w:hideMark/>
          </w:tcPr>
          <w:p w14:paraId="14EA0F00"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到2025年，部署水平井500口，建成产能300万吨，产量达到100万吨以上，加强压裂返排液循环利用技术研发和使用，形成页岩油绿色、低碳、智能化生产模式。</w:t>
            </w:r>
          </w:p>
        </w:tc>
      </w:tr>
      <w:tr w:rsidR="00000000" w14:paraId="3568AC0D" w14:textId="77777777">
        <w:trPr>
          <w:trHeight w:val="1500"/>
        </w:trPr>
        <w:tc>
          <w:tcPr>
            <w:tcW w:w="0" w:type="auto"/>
            <w:tcBorders>
              <w:top w:val="single" w:sz="6" w:space="0" w:color="A5A5A5"/>
              <w:left w:val="single" w:sz="6" w:space="0" w:color="A5A5A5"/>
              <w:bottom w:val="single" w:sz="12" w:space="0" w:color="000000"/>
              <w:right w:val="single" w:sz="6" w:space="0" w:color="000000"/>
            </w:tcBorders>
            <w:shd w:val="clear" w:color="auto" w:fill="F9F9F9"/>
            <w:tcMar>
              <w:top w:w="0" w:type="dxa"/>
              <w:left w:w="68" w:type="dxa"/>
              <w:bottom w:w="0" w:type="dxa"/>
              <w:right w:w="68" w:type="dxa"/>
            </w:tcMar>
            <w:vAlign w:val="center"/>
            <w:hideMark/>
          </w:tcPr>
          <w:p w14:paraId="3C8B57F5"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实施“气化</w:t>
            </w:r>
          </w:p>
          <w:p w14:paraId="48BA1F41"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lastRenderedPageBreak/>
              <w:t>龙江”工程</w:t>
            </w:r>
          </w:p>
        </w:tc>
        <w:tc>
          <w:tcPr>
            <w:tcW w:w="0" w:type="auto"/>
            <w:tcBorders>
              <w:top w:val="single" w:sz="6" w:space="0" w:color="A5A5A5"/>
              <w:bottom w:val="single" w:sz="12" w:space="0" w:color="000000"/>
              <w:right w:val="single" w:sz="6" w:space="0" w:color="000000"/>
            </w:tcBorders>
            <w:shd w:val="clear" w:color="auto" w:fill="F9F9F9"/>
            <w:tcMar>
              <w:top w:w="0" w:type="dxa"/>
              <w:left w:w="65" w:type="dxa"/>
              <w:bottom w:w="0" w:type="dxa"/>
              <w:right w:w="68" w:type="dxa"/>
            </w:tcMar>
            <w:vAlign w:val="center"/>
            <w:hideMark/>
          </w:tcPr>
          <w:p w14:paraId="274DE4DF"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lastRenderedPageBreak/>
              <w:t>到2025年，天然气消费量</w:t>
            </w:r>
          </w:p>
          <w:p w14:paraId="7251F3D5"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争取接近100亿</w:t>
            </w:r>
            <w:r>
              <w:rPr>
                <w:rFonts w:ascii="宋体" w:eastAsia="宋体" w:hAnsi="宋体" w:cs="宋体"/>
                <w:color w:val="000000"/>
                <w:sz w:val="27"/>
                <w:szCs w:val="27"/>
              </w:rPr>
              <w:lastRenderedPageBreak/>
              <w:t>方。</w:t>
            </w:r>
          </w:p>
        </w:tc>
        <w:tc>
          <w:tcPr>
            <w:tcW w:w="0" w:type="auto"/>
            <w:tcBorders>
              <w:top w:val="single" w:sz="6" w:space="0" w:color="A5A5A5"/>
              <w:bottom w:val="single" w:sz="12" w:space="0" w:color="000000"/>
              <w:right w:val="single" w:sz="6" w:space="0" w:color="A5A5A5"/>
            </w:tcBorders>
            <w:shd w:val="clear" w:color="auto" w:fill="F9F9F9"/>
            <w:tcMar>
              <w:top w:w="0" w:type="dxa"/>
              <w:left w:w="65" w:type="dxa"/>
              <w:bottom w:w="0" w:type="dxa"/>
              <w:right w:w="68" w:type="dxa"/>
            </w:tcMar>
            <w:vAlign w:val="center"/>
            <w:hideMark/>
          </w:tcPr>
          <w:p w14:paraId="4D0434C1"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lastRenderedPageBreak/>
              <w:t>建设重点储气库群，在大庆油田四站储气库群、大庆LNG储气设施已建成储气的基础上，2022年建成哈尔滨、齐齐哈尔市LNG储气设施。建设国家级支线管道总里程1904公里，省级支</w:t>
            </w:r>
            <w:r>
              <w:rPr>
                <w:rFonts w:ascii="宋体" w:eastAsia="宋体" w:hAnsi="宋体" w:cs="宋体"/>
                <w:color w:val="000000"/>
                <w:sz w:val="27"/>
                <w:szCs w:val="27"/>
              </w:rPr>
              <w:lastRenderedPageBreak/>
              <w:t>线管道总里程1522公里。</w:t>
            </w:r>
          </w:p>
        </w:tc>
      </w:tr>
    </w:tbl>
    <w:p w14:paraId="0B9D43B2" w14:textId="77777777" w:rsidR="002F7F7C" w:rsidRDefault="002F7F7C">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十四）推进城镇环境基础设施建设升级。提升污水收集处理能力，实施雨污管网分流改造更新工程。提升城市污泥无害化处置率和资源化利用率，持续推进城镇生活污水处理提质增效专项行动，持续开展年度污水处理规范化管理评估，基本消除城市黑臭水体。加快城镇生活垃圾处理设施建设，推进垃圾焚烧发电、餐厨垃圾处理、建筑垃圾处理等项目建设。加强小微企业等社会源危险废物集中收集贮存能力建设，提升信息化、智能化监管水平，严格执行经营许可管理制度。提升医疗废物应急处理能力，加强分类管理，完善收集转运处置体系，指导做好应急处置物资储备工作。</w:t>
      </w:r>
      <w:r>
        <w:rPr>
          <w:rFonts w:ascii="宋体" w:eastAsia="宋体" w:hAnsi="宋体" w:cs="宋体"/>
          <w:color w:val="000000"/>
          <w:sz w:val="27"/>
          <w:szCs w:val="27"/>
        </w:rPr>
        <w:br/>
        <w:t xml:space="preserve">　　专栏6　推动城镇环境绿色发展 </w:t>
      </w:r>
    </w:p>
    <w:tbl>
      <w:tblPr>
        <w:tblW w:w="5000" w:type="pct"/>
        <w:tblInd w:w="450"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750"/>
        <w:gridCol w:w="2783"/>
        <w:gridCol w:w="7069"/>
      </w:tblGrid>
      <w:tr w:rsidR="00000000" w14:paraId="0F17CD47" w14:textId="77777777">
        <w:trPr>
          <w:trHeight w:val="525"/>
        </w:trPr>
        <w:tc>
          <w:tcPr>
            <w:tcW w:w="0" w:type="auto"/>
            <w:tcBorders>
              <w:top w:val="single" w:sz="12" w:space="0" w:color="000000"/>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2B3AB664"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重点方向</w:t>
            </w:r>
          </w:p>
        </w:tc>
        <w:tc>
          <w:tcPr>
            <w:tcW w:w="0" w:type="auto"/>
            <w:tcBorders>
              <w:top w:val="single" w:sz="12" w:space="0" w:color="000000"/>
              <w:bottom w:val="single" w:sz="6" w:space="0" w:color="000000"/>
              <w:right w:val="single" w:sz="6" w:space="0" w:color="000000"/>
            </w:tcBorders>
            <w:tcMar>
              <w:top w:w="0" w:type="dxa"/>
              <w:left w:w="65" w:type="dxa"/>
              <w:bottom w:w="0" w:type="dxa"/>
              <w:right w:w="68" w:type="dxa"/>
            </w:tcMar>
            <w:vAlign w:val="center"/>
            <w:hideMark/>
          </w:tcPr>
          <w:p w14:paraId="0673F30C"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目标</w:t>
            </w:r>
          </w:p>
        </w:tc>
        <w:tc>
          <w:tcPr>
            <w:tcW w:w="0" w:type="auto"/>
            <w:tcBorders>
              <w:top w:val="single" w:sz="12" w:space="0" w:color="000000"/>
              <w:bottom w:val="single" w:sz="6" w:space="0" w:color="000000"/>
              <w:right w:val="single" w:sz="6" w:space="0" w:color="A5A5A5"/>
            </w:tcBorders>
            <w:tcMar>
              <w:top w:w="0" w:type="dxa"/>
              <w:left w:w="65" w:type="dxa"/>
              <w:bottom w:w="0" w:type="dxa"/>
              <w:right w:w="68" w:type="dxa"/>
            </w:tcMar>
            <w:vAlign w:val="center"/>
            <w:hideMark/>
          </w:tcPr>
          <w:p w14:paraId="293FC93C"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具体任务</w:t>
            </w:r>
          </w:p>
        </w:tc>
      </w:tr>
      <w:tr w:rsidR="00000000" w14:paraId="6BA88E20" w14:textId="77777777">
        <w:trPr>
          <w:trHeight w:val="840"/>
        </w:trPr>
        <w:tc>
          <w:tcPr>
            <w:tcW w:w="0" w:type="auto"/>
            <w:tcBorders>
              <w:top w:val="single" w:sz="6" w:space="0" w:color="A5A5A5"/>
              <w:left w:val="single" w:sz="6" w:space="0" w:color="A5A5A5"/>
              <w:bottom w:val="single" w:sz="6" w:space="0" w:color="000000"/>
              <w:right w:val="single" w:sz="6" w:space="0" w:color="000000"/>
            </w:tcBorders>
            <w:shd w:val="clear" w:color="auto" w:fill="F9F9F9"/>
            <w:tcMar>
              <w:top w:w="0" w:type="dxa"/>
              <w:left w:w="68" w:type="dxa"/>
              <w:bottom w:w="0" w:type="dxa"/>
              <w:right w:w="68" w:type="dxa"/>
            </w:tcMar>
            <w:vAlign w:val="center"/>
            <w:hideMark/>
          </w:tcPr>
          <w:p w14:paraId="1F2AE567" w14:textId="77777777" w:rsidR="002F7F7C" w:rsidRDefault="002F7F7C">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生活污水处理</w:t>
            </w:r>
          </w:p>
        </w:tc>
        <w:tc>
          <w:tcPr>
            <w:tcW w:w="0" w:type="auto"/>
            <w:tcBorders>
              <w:top w:val="single" w:sz="6" w:space="0" w:color="A5A5A5"/>
              <w:bottom w:val="single" w:sz="6" w:space="0" w:color="000000"/>
              <w:right w:val="single" w:sz="6" w:space="0" w:color="000000"/>
            </w:tcBorders>
            <w:shd w:val="clear" w:color="auto" w:fill="F9F9F9"/>
            <w:tcMar>
              <w:top w:w="0" w:type="dxa"/>
              <w:left w:w="65" w:type="dxa"/>
              <w:bottom w:w="0" w:type="dxa"/>
              <w:right w:w="68" w:type="dxa"/>
            </w:tcMar>
            <w:vAlign w:val="center"/>
            <w:hideMark/>
          </w:tcPr>
          <w:p w14:paraId="4BAF5445"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到2025年，县城污水处理率达到95%以上。</w:t>
            </w:r>
          </w:p>
        </w:tc>
        <w:tc>
          <w:tcPr>
            <w:tcW w:w="0" w:type="auto"/>
            <w:tcBorders>
              <w:top w:val="single" w:sz="6" w:space="0" w:color="A5A5A5"/>
              <w:bottom w:val="single" w:sz="6" w:space="0" w:color="000000"/>
              <w:right w:val="single" w:sz="6" w:space="0" w:color="A5A5A5"/>
            </w:tcBorders>
            <w:shd w:val="clear" w:color="auto" w:fill="F9F9F9"/>
            <w:tcMar>
              <w:top w:w="0" w:type="dxa"/>
              <w:left w:w="65" w:type="dxa"/>
              <w:bottom w:w="0" w:type="dxa"/>
              <w:right w:w="68" w:type="dxa"/>
            </w:tcMar>
            <w:vAlign w:val="center"/>
            <w:hideMark/>
          </w:tcPr>
          <w:p w14:paraId="2040A938" w14:textId="77777777" w:rsidR="002F7F7C" w:rsidRDefault="002F7F7C">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新增提标污水处理能力30万吨/日。</w:t>
            </w:r>
          </w:p>
        </w:tc>
      </w:tr>
      <w:tr w:rsidR="00000000" w14:paraId="6BC37445" w14:textId="77777777">
        <w:trPr>
          <w:trHeight w:val="1305"/>
        </w:trPr>
        <w:tc>
          <w:tcPr>
            <w:tcW w:w="0" w:type="auto"/>
            <w:tcBorders>
              <w:top w:val="single" w:sz="6" w:space="0" w:color="A5A5A5"/>
              <w:left w:val="single" w:sz="6" w:space="0" w:color="A5A5A5"/>
              <w:bottom w:val="single" w:sz="6" w:space="0" w:color="000000"/>
              <w:right w:val="single" w:sz="6" w:space="0" w:color="000000"/>
            </w:tcBorders>
            <w:tcMar>
              <w:top w:w="0" w:type="dxa"/>
              <w:left w:w="68" w:type="dxa"/>
              <w:bottom w:w="0" w:type="dxa"/>
              <w:right w:w="68" w:type="dxa"/>
            </w:tcMar>
            <w:vAlign w:val="center"/>
            <w:hideMark/>
          </w:tcPr>
          <w:p w14:paraId="3C615816"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生活垃圾处理</w:t>
            </w:r>
          </w:p>
        </w:tc>
        <w:tc>
          <w:tcPr>
            <w:tcW w:w="0" w:type="auto"/>
            <w:tcBorders>
              <w:top w:val="single" w:sz="6" w:space="0" w:color="A5A5A5"/>
              <w:bottom w:val="single" w:sz="6" w:space="0" w:color="000000"/>
              <w:right w:val="single" w:sz="6" w:space="0" w:color="000000"/>
            </w:tcBorders>
            <w:tcMar>
              <w:top w:w="0" w:type="dxa"/>
              <w:left w:w="65" w:type="dxa"/>
              <w:bottom w:w="0" w:type="dxa"/>
              <w:right w:w="68" w:type="dxa"/>
            </w:tcMar>
            <w:vAlign w:val="center"/>
            <w:hideMark/>
          </w:tcPr>
          <w:p w14:paraId="7D7D2492"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到2025年，县级以上城市生活垃圾无害化处理率100%。</w:t>
            </w:r>
          </w:p>
        </w:tc>
        <w:tc>
          <w:tcPr>
            <w:tcW w:w="0" w:type="auto"/>
            <w:tcBorders>
              <w:top w:val="single" w:sz="6" w:space="0" w:color="A5A5A5"/>
              <w:bottom w:val="single" w:sz="6" w:space="0" w:color="000000"/>
              <w:right w:val="single" w:sz="6" w:space="0" w:color="A5A5A5"/>
            </w:tcBorders>
            <w:tcMar>
              <w:top w:w="0" w:type="dxa"/>
              <w:left w:w="65" w:type="dxa"/>
              <w:bottom w:w="0" w:type="dxa"/>
              <w:right w:w="68" w:type="dxa"/>
            </w:tcMar>
            <w:vAlign w:val="center"/>
            <w:hideMark/>
          </w:tcPr>
          <w:p w14:paraId="44F0FA69"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新增垃圾焚烧发电装机22.8万千瓦、垃圾处理能力1.1万吨/日，新增餐厨垃圾处理能力700吨/日、建筑垃圾处理能力200万吨/年。</w:t>
            </w:r>
          </w:p>
        </w:tc>
      </w:tr>
      <w:tr w:rsidR="00000000" w14:paraId="72C963BA" w14:textId="77777777">
        <w:trPr>
          <w:trHeight w:val="1830"/>
        </w:trPr>
        <w:tc>
          <w:tcPr>
            <w:tcW w:w="0" w:type="auto"/>
            <w:tcBorders>
              <w:top w:val="single" w:sz="6" w:space="0" w:color="A5A5A5"/>
              <w:left w:val="single" w:sz="6" w:space="0" w:color="A5A5A5"/>
              <w:bottom w:val="single" w:sz="12" w:space="0" w:color="000000"/>
              <w:right w:val="single" w:sz="6" w:space="0" w:color="000000"/>
            </w:tcBorders>
            <w:shd w:val="clear" w:color="auto" w:fill="F9F9F9"/>
            <w:tcMar>
              <w:top w:w="0" w:type="dxa"/>
              <w:left w:w="68" w:type="dxa"/>
              <w:bottom w:w="0" w:type="dxa"/>
              <w:right w:w="68" w:type="dxa"/>
            </w:tcMar>
            <w:vAlign w:val="center"/>
            <w:hideMark/>
          </w:tcPr>
          <w:p w14:paraId="44506B02" w14:textId="77777777" w:rsidR="002F7F7C" w:rsidRDefault="002F7F7C">
            <w:pPr>
              <w:pStyle w:val="fulltext-wrapfulltexttablep"/>
              <w:spacing w:line="600" w:lineRule="atLeast"/>
              <w:jc w:val="center"/>
              <w:textAlignment w:val="center"/>
              <w:rPr>
                <w:rFonts w:ascii="宋体" w:eastAsia="宋体" w:hAnsi="宋体" w:cs="宋体" w:hint="eastAsia"/>
                <w:color w:val="000000"/>
                <w:sz w:val="27"/>
                <w:szCs w:val="27"/>
              </w:rPr>
            </w:pPr>
            <w:r>
              <w:rPr>
                <w:rFonts w:ascii="宋体" w:eastAsia="宋体" w:hAnsi="宋体" w:cs="宋体"/>
                <w:color w:val="000000"/>
                <w:sz w:val="27"/>
                <w:szCs w:val="27"/>
              </w:rPr>
              <w:t>医疗废物处理</w:t>
            </w:r>
          </w:p>
        </w:tc>
        <w:tc>
          <w:tcPr>
            <w:tcW w:w="0" w:type="auto"/>
            <w:tcBorders>
              <w:top w:val="single" w:sz="6" w:space="0" w:color="A5A5A5"/>
              <w:bottom w:val="single" w:sz="12" w:space="0" w:color="000000"/>
              <w:right w:val="single" w:sz="6" w:space="0" w:color="000000"/>
            </w:tcBorders>
            <w:shd w:val="clear" w:color="auto" w:fill="F9F9F9"/>
            <w:tcMar>
              <w:top w:w="0" w:type="dxa"/>
              <w:left w:w="65" w:type="dxa"/>
              <w:bottom w:w="0" w:type="dxa"/>
              <w:right w:w="68" w:type="dxa"/>
            </w:tcMar>
            <w:vAlign w:val="center"/>
            <w:hideMark/>
          </w:tcPr>
          <w:p w14:paraId="5C2613F3"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到2025年，县级以上城市建成区医疗废物无害化处置率达到100%。</w:t>
            </w:r>
          </w:p>
        </w:tc>
        <w:tc>
          <w:tcPr>
            <w:tcW w:w="0" w:type="auto"/>
            <w:tcBorders>
              <w:top w:val="single" w:sz="6" w:space="0" w:color="A5A5A5"/>
              <w:bottom w:val="single" w:sz="12" w:space="0" w:color="000000"/>
              <w:right w:val="single" w:sz="6" w:space="0" w:color="A5A5A5"/>
            </w:tcBorders>
            <w:shd w:val="clear" w:color="auto" w:fill="F9F9F9"/>
            <w:tcMar>
              <w:top w:w="0" w:type="dxa"/>
              <w:left w:w="65" w:type="dxa"/>
              <w:bottom w:w="0" w:type="dxa"/>
              <w:right w:w="68" w:type="dxa"/>
            </w:tcMar>
            <w:vAlign w:val="center"/>
            <w:hideMark/>
          </w:tcPr>
          <w:p w14:paraId="3BD84485" w14:textId="77777777" w:rsidR="002F7F7C" w:rsidRDefault="002F7F7C">
            <w:pPr>
              <w:pStyle w:val="fulltext-wrapfulltexttablep"/>
              <w:spacing w:line="600" w:lineRule="atLeast"/>
              <w:textAlignment w:val="center"/>
              <w:rPr>
                <w:rFonts w:ascii="宋体" w:eastAsia="宋体" w:hAnsi="宋体" w:cs="宋体" w:hint="eastAsia"/>
                <w:color w:val="000000"/>
                <w:sz w:val="27"/>
                <w:szCs w:val="27"/>
              </w:rPr>
            </w:pPr>
            <w:r>
              <w:rPr>
                <w:rFonts w:ascii="宋体" w:eastAsia="宋体" w:hAnsi="宋体" w:cs="宋体"/>
                <w:color w:val="000000"/>
                <w:sz w:val="27"/>
                <w:szCs w:val="27"/>
              </w:rPr>
              <w:t>推动桦南县医疗废物集中处理建设项目、黑河市五大连池医疗垃圾中转站等2个拟建项目开工。加快推进哈尔滨国环医疗固体废物无害化集中处置中心技改项目、富锦市医疗废物无害化处置中心等5个在建项目建设。</w:t>
            </w:r>
          </w:p>
        </w:tc>
      </w:tr>
    </w:tbl>
    <w:p w14:paraId="3303C65D" w14:textId="77777777" w:rsidR="002F7F7C" w:rsidRDefault="002F7F7C">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十五）提升交通基础设施绿色发展水平。组织实施《关于推动基础设施高质量发展的实施方案》。将生态环保理念贯穿交通基础设施规划、建设、运营和维护全过程，提高新建交通设施绿色标准，积极打造绿色公路、绿色铁路、绿色港口、绿色空港。进一步完善高速铁路网，推进既有铁路电气化改造，打造以哈尔滨为中心的快速交通圈。加快绿色交通基础设施建设，有序推进充电桩、配套电网、加注（气）站、加氢站等基础设施建设。到2025年，力争新增各类充电终端1.7万个以上。推广绿色照明，以城市道路、隧道照明节能改造为重点实施绿色照明工程。</w:t>
      </w:r>
      <w:r>
        <w:rPr>
          <w:rFonts w:ascii="宋体" w:eastAsia="宋体" w:hAnsi="宋体" w:cs="宋体"/>
          <w:color w:val="000000"/>
          <w:sz w:val="27"/>
          <w:szCs w:val="27"/>
        </w:rPr>
        <w:br/>
        <w:t xml:space="preserve">　　（十六）改善城乡人居环境。统筹城市发展和安全，优化空间布局，合理确定开发强度，鼓励城市留白增绿。增强城市防洪排涝能力。开展绿色社区创建行动，大力发展绿色建筑，建立绿色建筑标识制度，结合城镇老旧小区改造推动社区基础设施绿色化和既有建筑节能改造。加快推进农村人居环境整治，因地制宜推进农村改厕、生活垃圾处理和污水治理、村容村貌提升、乡村绿化美化等，建立日常运行管护机制，推广“龙江民居”试点经验。 </w:t>
      </w:r>
    </w:p>
    <w:p w14:paraId="32DDB7ED" w14:textId="77777777" w:rsidR="002F7F7C" w:rsidRDefault="002F7F7C">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构建市场导向的绿色技术创新体系</w:t>
      </w:r>
      <w:r>
        <w:rPr>
          <w:rFonts w:ascii="宋体" w:eastAsia="宋体" w:hAnsi="宋体" w:cs="宋体"/>
          <w:b w:val="0"/>
          <w:bCs w:val="0"/>
          <w:color w:val="000000"/>
          <w:sz w:val="27"/>
          <w:szCs w:val="27"/>
        </w:rPr>
        <w:br/>
        <w:t xml:space="preserve">　　（十七）鼓励绿色低碳技术研发。实施绿色技术创新攻关行动，围绕节能环保、清洁生产、清洁能源等绿色低碳循环发展领域开展关键技术研发。培育建设一批省级绿色技术领域工程技术研究中心、重点实验室等各类创新基地平台，支</w:t>
      </w:r>
      <w:r>
        <w:rPr>
          <w:rFonts w:ascii="宋体" w:eastAsia="宋体" w:hAnsi="宋体" w:cs="宋体"/>
          <w:b w:val="0"/>
          <w:bCs w:val="0"/>
          <w:color w:val="000000"/>
          <w:sz w:val="27"/>
          <w:szCs w:val="27"/>
        </w:rPr>
        <w:lastRenderedPageBreak/>
        <w:t>持各类科研平台启动绿色低碳前沿技术研究。鼓励企业与高校、科研院所联合组建绿色低碳循环发展领域各类科技创新基地，促进产学研协同创新。</w:t>
      </w:r>
      <w:r>
        <w:rPr>
          <w:rFonts w:ascii="宋体" w:eastAsia="宋体" w:hAnsi="宋体" w:cs="宋体"/>
          <w:b w:val="0"/>
          <w:bCs w:val="0"/>
          <w:color w:val="000000"/>
          <w:sz w:val="27"/>
          <w:szCs w:val="27"/>
        </w:rPr>
        <w:br/>
        <w:t xml:space="preserve">　　（十八）加速科技成果转化。积极利用首台（套）重大技术装备政策支持绿色技术应用，推广应用“揭榜挂帅”制等科技项目组织模式。强化对俄科技创新合作。发挥与广东、深圳对口合作优势，培育实施战略性旗舰项目。推进绿色低碳科技成果转化，推广应用减污降碳技术。 </w:t>
      </w:r>
    </w:p>
    <w:p w14:paraId="7EE5C647" w14:textId="77777777" w:rsidR="002F7F7C" w:rsidRDefault="002F7F7C">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完善绿色低碳循环发展的政策保障体系</w:t>
      </w:r>
      <w:r>
        <w:rPr>
          <w:rFonts w:ascii="宋体" w:eastAsia="宋体" w:hAnsi="宋体" w:cs="宋体"/>
          <w:b w:val="0"/>
          <w:bCs w:val="0"/>
          <w:color w:val="000000"/>
          <w:sz w:val="27"/>
          <w:szCs w:val="27"/>
        </w:rPr>
        <w:br/>
        <w:t xml:space="preserve">　　（十九）强化执法监督。依法严厉打击涉生态环境违法犯罪行为，推进生态环境保护综合行政执法与刑事司法高效衔接。</w:t>
      </w:r>
      <w:r>
        <w:rPr>
          <w:rFonts w:ascii="宋体" w:eastAsia="宋体" w:hAnsi="宋体" w:cs="宋体"/>
          <w:b w:val="0"/>
          <w:bCs w:val="0"/>
          <w:color w:val="000000"/>
          <w:sz w:val="27"/>
          <w:szCs w:val="27"/>
        </w:rPr>
        <w:br/>
        <w:t xml:space="preserve">　　（二十）健全绿色收费价格机制。落实污水处理收费政策，完善生活垃圾处理收费制度。落实节能环保电价政策，完善高耗能、高污染和产能严重过剩行业差别化电价政策。深入推进农业水价综合改革，配套建设计量设施，健全节水激励机制。合理制定天然气终端价格，因地制宜实施天然气替代，拓展天然气利用领域。</w:t>
      </w:r>
      <w:r>
        <w:rPr>
          <w:rFonts w:ascii="宋体" w:eastAsia="宋体" w:hAnsi="宋体" w:cs="宋体"/>
          <w:b w:val="0"/>
          <w:bCs w:val="0"/>
          <w:color w:val="000000"/>
          <w:sz w:val="27"/>
          <w:szCs w:val="27"/>
        </w:rPr>
        <w:br/>
        <w:t xml:space="preserve">　　（二十一）加大财税支持。积极争取中央预算内专项资金，支持环境基础设施补短板强弱项、绿色环保产业发展。积极探索绿色制造相关扶持政策。统筹利用现有相关专项资金，对符合支持条件的节能减碳项目实施和技术研发给予支持。加大宣传贯彻绿色低碳税收优惠政策力度，按照国家统一部署，做好资源税征收和水资源费改税试点工作，出台全省水资源税改革试点实施办法。</w:t>
      </w:r>
      <w:r>
        <w:rPr>
          <w:rFonts w:ascii="宋体" w:eastAsia="宋体" w:hAnsi="宋体" w:cs="宋体"/>
          <w:b w:val="0"/>
          <w:bCs w:val="0"/>
          <w:color w:val="000000"/>
          <w:sz w:val="27"/>
          <w:szCs w:val="27"/>
        </w:rPr>
        <w:br/>
        <w:t xml:space="preserve">　　（二十二）大力发展绿色金融。充分发挥“兴安岭生态银行”平台作用，完善项目策划对接、价值转换、资金循环分配、项目监管等工作机制，推进自然生态资源的储备、整理、提升、转换和开发利用，打通资源-资产-资本-财富转化通道。扩大绿色信贷、绿色债券规模，有序推进绿色保险，落实好国家对金融机构绿色金融业绩评价考核要求。加强普惠金融和绿色金融体系建设，加快政府性融</w:t>
      </w:r>
      <w:r>
        <w:rPr>
          <w:rFonts w:ascii="宋体" w:eastAsia="宋体" w:hAnsi="宋体" w:cs="宋体"/>
          <w:b w:val="0"/>
          <w:bCs w:val="0"/>
          <w:color w:val="000000"/>
          <w:sz w:val="27"/>
          <w:szCs w:val="27"/>
        </w:rPr>
        <w:lastRenderedPageBreak/>
        <w:t>资担保体系建设，加大对实体经济、中小微企业支持力度，缓解融资难融资贵问题，推动企业融资成本保持合理水平。支持符合条件的绿色产业企业上市融资，为省内绿色产业重点企业量身推送政策。</w:t>
      </w:r>
      <w:r>
        <w:rPr>
          <w:rFonts w:ascii="宋体" w:eastAsia="宋体" w:hAnsi="宋体" w:cs="宋体"/>
          <w:b w:val="0"/>
          <w:bCs w:val="0"/>
          <w:color w:val="000000"/>
          <w:sz w:val="27"/>
          <w:szCs w:val="27"/>
        </w:rPr>
        <w:br/>
        <w:t xml:space="preserve">　　（二十三）落实绿色标准、绿色认证和统计监测制度。落实国家各项绿色标准，执行国家绿色认证制度，鼓励并帮助有意愿的企业开展绿色产品认证。加强日常全省能源生产、消耗等领域统计监测和信息共享工作，开展规模以上工业节能环保监测、清洁能源生产和消费监测。</w:t>
      </w:r>
      <w:r>
        <w:rPr>
          <w:rFonts w:ascii="宋体" w:eastAsia="宋体" w:hAnsi="宋体" w:cs="宋体"/>
          <w:b w:val="0"/>
          <w:bCs w:val="0"/>
          <w:color w:val="000000"/>
          <w:sz w:val="27"/>
          <w:szCs w:val="27"/>
        </w:rPr>
        <w:br/>
        <w:t xml:space="preserve">　　（二十四）培育绿色交易市场机制。探索开展排污权、用能权、用水权、碳排放权市场化交易。积极参与全国碳排放权交易市场建设。探索建立全省用能权交易市场，做好用能权交易市场与能耗双控工作的衔接。</w:t>
      </w:r>
      <w:r>
        <w:rPr>
          <w:rFonts w:ascii="宋体" w:eastAsia="宋体" w:hAnsi="宋体" w:cs="宋体"/>
          <w:b w:val="0"/>
          <w:bCs w:val="0"/>
          <w:color w:val="000000"/>
          <w:sz w:val="27"/>
          <w:szCs w:val="27"/>
        </w:rPr>
        <w:br/>
        <w:t xml:space="preserve">　　（二十五）加快推进生态产品价值转换。落实好《黑龙江省建立健全生态产品价值实现机制的实施意见》。推进大兴安岭、伊春、齐齐哈尔、绥滨等地开展创新实践，推动森工集团储备开发林业碳汇项目，争取国家试点。总结试点经验，出台全省生态产品价值核算指南。开展森林、草原、湿地、土壤、冻土以及农业固碳减排基础研究，进一步摸清我省碳汇存量和增量。加大碳汇特别是林业碳汇项目开发力度，加强龙粤、深哈跨省合作交流，推动碳汇项目跨区域交易。 </w:t>
      </w:r>
    </w:p>
    <w:p w14:paraId="4FF48110" w14:textId="77777777" w:rsidR="002F7F7C" w:rsidRDefault="002F7F7C">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认真抓好组织实施</w:t>
      </w:r>
      <w:r>
        <w:rPr>
          <w:rFonts w:ascii="宋体" w:eastAsia="宋体" w:hAnsi="宋体" w:cs="宋体"/>
          <w:b w:val="0"/>
          <w:bCs w:val="0"/>
          <w:color w:val="000000"/>
          <w:sz w:val="27"/>
          <w:szCs w:val="27"/>
        </w:rPr>
        <w:br/>
        <w:t xml:space="preserve">　　（二十六）加强组织领导。依托省推进碳达峰碳中和工作领导小组成立专班，统筹推进建立健全绿色低碳循环发展经济体系有关工作。各有关部门要加强协同配合，形成工作合力。省发改委要强化统筹协调，及时梳理总结各地、各有关部门绿色低碳循环发展的成效、经验、做法。</w:t>
      </w:r>
      <w:r>
        <w:rPr>
          <w:rFonts w:ascii="宋体" w:eastAsia="宋体" w:hAnsi="宋体" w:cs="宋体"/>
          <w:b w:val="0"/>
          <w:bCs w:val="0"/>
          <w:color w:val="000000"/>
          <w:sz w:val="27"/>
          <w:szCs w:val="27"/>
        </w:rPr>
        <w:br/>
        <w:t xml:space="preserve">　　（二十七）抓好贯彻落实。各地要落实主体责任，各有关部门要发挥职能作用，在抓落实上投入更大精力，将绿色低碳循环发展作为高质量发展的重要内容，制定完善相关配套政策，保质保量完成各项任务。</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（二十八）营造良好氛围。各类新闻媒体要讲好我省绿色低碳循环发展故事，大力宣传取得的显著成就，积极宣扬先进典型，适时曝光负面典型，为绿色低碳循环发展营造良好氛围。 </w:t>
      </w:r>
    </w:p>
    <w:p w14:paraId="7208129C" w14:textId="77777777" w:rsidR="002F7F7C" w:rsidRDefault="002F7F7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ABED5AC" w14:textId="77777777" w:rsidR="002F7F7C" w:rsidRDefault="002F7F7C">
      <w:pPr>
        <w:ind w:left="375" w:right="375"/>
        <w:rPr>
          <w:rFonts w:ascii="Arial" w:eastAsia="Arial" w:hAnsi="Arial" w:cs="Arial"/>
        </w:rPr>
      </w:pPr>
      <w:r>
        <w:rPr>
          <w:rFonts w:ascii="Arial" w:eastAsia="Arial" w:hAnsi="Arial" w:cs="Arial"/>
        </w:rPr>
        <w:br/>
      </w:r>
    </w:p>
    <w:sectPr w:rsidR="002F7F7C">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E1F05" w14:textId="77777777" w:rsidR="00A27357" w:rsidRDefault="00A27357">
      <w:r>
        <w:separator/>
      </w:r>
    </w:p>
  </w:endnote>
  <w:endnote w:type="continuationSeparator" w:id="0">
    <w:p w14:paraId="540B93BD" w14:textId="77777777" w:rsidR="00A27357" w:rsidRDefault="00A27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C70AB2" w14:paraId="7422C8F3" w14:textId="77777777">
      <w:trPr>
        <w:tblCellSpacing w:w="15" w:type="dxa"/>
      </w:trPr>
      <w:tc>
        <w:tcPr>
          <w:tcW w:w="0" w:type="auto"/>
          <w:tcMar>
            <w:top w:w="15" w:type="dxa"/>
            <w:left w:w="15" w:type="dxa"/>
            <w:bottom w:w="15" w:type="dxa"/>
            <w:right w:w="15" w:type="dxa"/>
          </w:tcMar>
          <w:vAlign w:val="center"/>
          <w:hideMark/>
        </w:tcPr>
        <w:p w14:paraId="11AC2DF8" w14:textId="77777777" w:rsidR="002F7F7C" w:rsidRDefault="002F7F7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共8条8538字</w:t>
          </w:r>
        </w:p>
      </w:tc>
      <w:tc>
        <w:tcPr>
          <w:tcW w:w="0" w:type="auto"/>
          <w:tcMar>
            <w:top w:w="15" w:type="dxa"/>
            <w:left w:w="15" w:type="dxa"/>
            <w:bottom w:w="15" w:type="dxa"/>
            <w:right w:w="15" w:type="dxa"/>
          </w:tcMar>
          <w:vAlign w:val="center"/>
          <w:hideMark/>
        </w:tcPr>
        <w:p w14:paraId="156C3B11" w14:textId="77777777" w:rsidR="002F7F7C" w:rsidRDefault="002F7F7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58400F2" w14:textId="77777777" w:rsidR="002F7F7C" w:rsidRDefault="002F7F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A48C" w14:textId="77777777" w:rsidR="00A27357" w:rsidRDefault="00A27357">
      <w:r>
        <w:separator/>
      </w:r>
    </w:p>
  </w:footnote>
  <w:footnote w:type="continuationSeparator" w:id="0">
    <w:p w14:paraId="7B94BE6E" w14:textId="77777777" w:rsidR="00A27357" w:rsidRDefault="00A27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C70AB2" w14:paraId="4C9602EA" w14:textId="77777777">
      <w:trPr>
        <w:tblCellSpacing w:w="15" w:type="dxa"/>
      </w:trPr>
      <w:tc>
        <w:tcPr>
          <w:tcW w:w="0" w:type="auto"/>
          <w:tcMar>
            <w:top w:w="15" w:type="dxa"/>
            <w:left w:w="15" w:type="dxa"/>
            <w:bottom w:w="15" w:type="dxa"/>
            <w:right w:w="15" w:type="dxa"/>
          </w:tcMar>
          <w:vAlign w:val="center"/>
          <w:hideMark/>
        </w:tcPr>
        <w:p w14:paraId="128D247F" w14:textId="77777777" w:rsidR="002F7F7C" w:rsidRDefault="00995B49">
          <w:pPr>
            <w:rPr>
              <w:rFonts w:eastAsia="Times New Roman"/>
              <w:color w:val="000000"/>
            </w:rPr>
          </w:pPr>
          <w:r>
            <w:rPr>
              <w:rFonts w:eastAsia="Times New Roman"/>
              <w:color w:val="000000"/>
            </w:rPr>
            <w:pict w14:anchorId="439EBF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BBDD4B5" w14:textId="77777777" w:rsidR="002F7F7C" w:rsidRDefault="002F7F7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【法宝引证码】CLI.14.4838762</w:t>
          </w:r>
        </w:p>
      </w:tc>
    </w:tr>
  </w:tbl>
  <w:p w14:paraId="31FA98B6" w14:textId="77777777" w:rsidR="002F7F7C" w:rsidRDefault="002F7F7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F7F7C"/>
    <w:rsid w:val="00995B49"/>
    <w:rsid w:val="00A27357"/>
    <w:rsid w:val="00A77B3E"/>
    <w:rsid w:val="00C70AB2"/>
    <w:rsid w:val="00C82B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04BFDE"/>
  <w15:chartTrackingRefBased/>
  <w15:docId w15:val="{C9401084-7F9C-4796-BAE0-5791A42B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2F7F7C"/>
    <w:pPr>
      <w:tabs>
        <w:tab w:val="center" w:pos="4153"/>
        <w:tab w:val="right" w:pos="8306"/>
      </w:tabs>
      <w:snapToGrid w:val="0"/>
      <w:jc w:val="center"/>
    </w:pPr>
    <w:rPr>
      <w:sz w:val="18"/>
      <w:szCs w:val="18"/>
    </w:rPr>
  </w:style>
  <w:style w:type="character" w:customStyle="1" w:styleId="a4">
    <w:name w:val="页眉 字符"/>
    <w:link w:val="a3"/>
    <w:rsid w:val="002F7F7C"/>
    <w:rPr>
      <w:sz w:val="18"/>
      <w:szCs w:val="18"/>
    </w:rPr>
  </w:style>
  <w:style w:type="paragraph" w:styleId="a5">
    <w:name w:val="footer"/>
    <w:basedOn w:val="a"/>
    <w:link w:val="a6"/>
    <w:rsid w:val="002F7F7C"/>
    <w:pPr>
      <w:tabs>
        <w:tab w:val="center" w:pos="4153"/>
        <w:tab w:val="right" w:pos="8306"/>
      </w:tabs>
      <w:snapToGrid w:val="0"/>
    </w:pPr>
    <w:rPr>
      <w:sz w:val="18"/>
      <w:szCs w:val="18"/>
    </w:rPr>
  </w:style>
  <w:style w:type="character" w:customStyle="1" w:styleId="a6">
    <w:name w:val="页脚 字符"/>
    <w:link w:val="a5"/>
    <w:rsid w:val="002F7F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4340</Words>
  <Characters>4428</Characters>
  <Application>Microsoft Office Word</Application>
  <DocSecurity>0</DocSecurity>
  <Lines>260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2024-07-10T02:50:00Z</dcterms:created>
  <dcterms:modified xsi:type="dcterms:W3CDTF">2025-11-13T15:05:00Z</dcterms:modified>
</cp:coreProperties>
</file>