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777B" w14:textId="77777777" w:rsidR="00731C2D" w:rsidRDefault="00731C2D">
      <w:pPr>
        <w:pStyle w:val="div"/>
        <w:spacing w:line="600" w:lineRule="atLeast"/>
        <w:ind w:left="375" w:right="375"/>
        <w:jc w:val="center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t>浙江省减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协同创新区建设实施方案</w:t>
      </w:r>
    </w:p>
    <w:p w14:paraId="565371B0" w14:textId="77777777" w:rsidR="00731C2D" w:rsidRDefault="00731C2D">
      <w:pPr>
        <w:spacing w:after="300"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为深入贯彻党的二十大精神，落实党中央、国务院重大战略部署，统筹产业结构调整、污染治理、生态保护、应对气候变化，协同推进降碳、减污、扩绿、增长，高水平推进全国首个减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协同创新区建设，根据生态环境部等七部委联合印发的《减污降碳协同增效实施方案》，以及《中共浙江省委 浙江省人民政府关于</w:t>
      </w:r>
      <w:hyperlink r:id="rId6" w:history="1">
        <w:r>
          <w:rPr>
            <w:rStyle w:val="fulltext-wrapfulltexta"/>
            <w:rFonts w:ascii="宋体" w:eastAsia="宋体" w:hAnsi="宋体" w:cs="宋体"/>
            <w:sz w:val="27"/>
            <w:szCs w:val="27"/>
          </w:rPr>
          <w:t>完整准确全面贯彻新发展理念做好碳达峰碳中和工作的实施意见</w:t>
        </w:r>
      </w:hyperlink>
      <w:r>
        <w:rPr>
          <w:rFonts w:ascii="宋体" w:eastAsia="宋体" w:hAnsi="宋体" w:cs="宋体"/>
          <w:color w:val="000000"/>
          <w:sz w:val="27"/>
          <w:szCs w:val="27"/>
        </w:rPr>
        <w:t>》《中共浙江省委 浙江省人民政府关于深入打好污染防治攻坚战的实施意见》等文件要求，制定本实施方案。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bookmarkStart w:id="0" w:name="tiao_1"/>
      <w:bookmarkEnd w:id="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一、</w:t>
      </w:r>
      <w:r>
        <w:rPr>
          <w:rFonts w:ascii="宋体" w:eastAsia="宋体" w:hAnsi="宋体" w:cs="宋体"/>
          <w:color w:val="000000"/>
          <w:sz w:val="27"/>
          <w:szCs w:val="27"/>
        </w:rPr>
        <w:t>总体要求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（一）基本原则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协同增效，源头防控。坚持系统观念，强化目标协同、区域协同、领域协同、任务协同、政策协同、监管协同，以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碳达峰行动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进一步深化环境治理，以环境治理助推高质量达峰。突出主要领域、重点行业和关键环节，强化资源能源节约和高效利用，加快形成有利于减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的产业结构、生产方式和生活方式。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政府主导，市场激励。更好发挥政府作用，创新管理方式，加强推广应用，形成各具特色的典型做法和有效模式，实现多层面、多领域减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协同。坚持双轮驱动，发挥市场在资源配置中的决定性作用，充分调动企业积极性，激发市场主体绿色低碳转型发展的内生动力。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科技引领，优化路径。加强减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集成技术研发应用，提升绿色低碳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创新策源能力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。统筹水、气、固废、温室气体等多领域减排要求，优化治理目标、治理工艺和技术路线，强化多污染物与温室气体协同控制，增强污染防治与碳排放治理的协调性。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r>
        <w:rPr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数字赋能，机制创新。以数字化改革为牵引，探索减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污降碳协同数智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赋能技术手段，打通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“双碳”数智平台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等应用成果。完善管理制度、基础能力和市场机制，有力支撑减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污降碳目标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任务落地实施。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（二）主要目标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到2025年，基本形成符合主体功能定位的开发格局，初步建立资源循环利用体系，构建减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协同制度体系，实现技术突破、管理优化、制度创新，形成可复制、可推广的减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协同发展典型模式。主要污染物总量减排和单位GDP二氧化碳排放完成国家下达的控制目标，非化石能源占一次能源消费比重达到24%，所有设区市和60%的县（市、区）通过“无废城市”建设评估，设区市减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协同指数提高10%，创建20个创新城市、50个创新园区，建设200个标杆项目。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到2030年，减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协同能力显著提升，助力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实现碳达峰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目标；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碳达峰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与空气质量改善协同推进取得显著成效；水、土壤、固体废物等污染防治领域协同治理水平显著提高。非化石能源占一次能源消费比重达到30%，设区市减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 xml:space="preserve">协同指数累计提高20%，累计创建40个创新城市、100个创新园区，建设400个标杆项目。 </w:t>
      </w:r>
    </w:p>
    <w:p w14:paraId="5A3D5C21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" w:name="tiao_2"/>
      <w:bookmarkEnd w:id="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二、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加强源头防控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（一）强化生态环境分区管控。统筹考虑碳排放控制要求，研究制定减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源头管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控政策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体系。指导湖州做好“三线一单”协同推动减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试点，探索“三线一单”促进减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协同管控的技术路径、管理模式。全面总结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湖州试点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经验，在全省建立与减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污降碳目标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相适应的分区管控体系。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（二）加强生态环境准入管理。坚决遏制高耗能、高排放、低水平项目盲目发展。持续加强产业集群环境治理，明确产业布局和发展方向，高起点设定项目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准入类别，引导产业向“专精特新”转型。在</w:t>
      </w:r>
      <w:hyperlink r:id="rId7" w:history="1">
        <w:r>
          <w:rPr>
            <w:rStyle w:val="fulltext-wrapfulltexta"/>
            <w:rFonts w:ascii="宋体" w:eastAsia="宋体" w:hAnsi="宋体" w:cs="宋体"/>
            <w:b w:val="0"/>
            <w:bCs w:val="0"/>
            <w:sz w:val="27"/>
            <w:szCs w:val="27"/>
          </w:rPr>
          <w:t>产业结构调整指导目录</w:t>
        </w:r>
      </w:hyperlink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中考虑减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协同要求。以“两高”行业为主导产业的园区规划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环评应增加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碳排放情况与减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排潜力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分析。新建、改建、扩建钢铁、火电、建材、化工、石化、有色金属、造纸、印染、化纤等建设项目，按照国家和省有关规定将温室气体排放纳入环境影响评价范围。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（三）推动能源绿色低碳供应。深入推进国家清洁能源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示范省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创建，统筹能源安全和绿色低碳发展，大力发展太阳能、风能等可再生能源，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安全发展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核电，合理开发水能，完善促进氢能产业发展，全力争取清洁电力入浙，推动化石能源清洁高效利用，完善能源基础设施建设，加快终端能源消费电气化。严禁在国家政策允许的领域以外新（扩）建燃煤自备电厂。到2025年，风光装机实现倍增，全省风电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光伏总装机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达到3400万千瓦以上，核电装机超过1000万千瓦。 </w:t>
      </w:r>
    </w:p>
    <w:p w14:paraId="7F044D1A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" w:name="tiao_3"/>
      <w:bookmarkEnd w:id="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三、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推进大气污染防治协同控制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（四）推进重点行业绿色低碳发展。聚焦宁波、舟山石化，杭州、湖州水泥，嘉兴、绍兴、台州化工，宁波、衢州钢铁等行业开展减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。石化行业推行减油增化，优化产品结构，提高炼油和石化产业基地化以及石化和化工园区一体化、集约化程度，加快炼化系统能量优化技术研发应用。水泥行业严格执行熟料产能置换，严控产能，加快原燃料替代。化工行业提高化学产品质量标准，加快高效精馏技术装备应用，推动副产能源资源与钢铁、建材等其他行业耦合发展。钢铁行业有序发展短流程电炉工艺，提高废钢比，持续降低高炉燃料比。推动一批重点企业能耗、物耗、水耗达到国际领先水平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五）加强工业源大气污染物与温室气体协同控制。加大氮氧化物、挥发性有机物（VOCs）以及温室气体协同减排力度。实施低VOCs含量原辅材料和产品源头替代工程。深化石化等重点行业VOCs治理，强化工业园区、企业集群大气污染综合整治。因地制宜建设一批涉VOCs“绿岛”项目，到2025年，活性炭再生处置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建设规模达到60万吨/年以上，实现活性炭集中收集再生体系全覆盖。一体推进重点行业大气污染深度治理与节能降碳，推动钢铁、水泥行业及锅炉超低排放改造，探索开展大气污染物与温室气体排放协同控制改造提升工程试点，推动二氧化碳捕集、利用与封存技术研发和转化应用。深化工业炉窑综合治理，稳步推进清洁燃料替代。到2025年，溶剂型工业涂料、油墨使用比例分别降低20个百分点、10个百分点，溶剂型胶粘剂使用量降低20%；60%的省级以上开发区（园区）建成清新园区；打造60个工业源大气污染物与温室气体协同控制标杆项目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（六）强化移动源大气污染物与温室气体协同控制。推进港口集疏运铁路、物流园区及大型工矿企业铁路专用线等“公转铁”线路建设，大力发展江海直达、江海联运。深入实施清洁柴油车（机、船）行动，基本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淘汰国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三及以下排放标准汽车，加快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淘汰国四标准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柴油货车。除保留的应急、特种专业技术用车等车辆外，新增或更新的城市公交、邮政、公务用车、出租车新能源比例为80%。推动氢燃料电池汽车示范应用，有序推广清洁能源汽车，加强新能源和清洁能源船舶推广应用。全面完成港口主要码头岸电设施改造，积极推进“油、电、氢、气”合建站建设。到2025年，全省国四及以下老旧营运货车更新淘汰4万辆。铁路货运量占比完成国家下达目标，集装箱江海河联运量年均增速超过10%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七）推进非二氧化碳温室气体协同控制。控制农业领域甲烷、氧化亚氮排放。提升秸秆综合利用水平，强化秸秆焚烧管控。积极推广使用沼气发电等规模化资源化综合利用技术。加强造纸、化工、食品等行业污水处理的甲烷回收利用。加强消耗臭氧层物质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氢氟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碳化物管理，加快使用含氢氯氟烃生产线改造，逐步淘汰氢氯氟烃使用。 </w:t>
      </w:r>
    </w:p>
    <w:p w14:paraId="630EECF5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3" w:name="tiao_4"/>
      <w:bookmarkEnd w:id="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四、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推进水环境治理协同控制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（八）深化水环境治理与温室气体减排协同。聚焦绍兴、嘉兴纺织，衢州、嘉兴造纸，温州电镀等行业开展减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协同。纺织行业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推行小浴比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染色、无聚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乙烯醇上浆织造、再生纤维素纤维绿色制浆、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针织物平幅染色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、涤纶织物少水连续式染色等技术和装备改造。造纸行业开展黑液、制浆造纸污泥等废料以及制浆臭气、污水厌氧消化甲烷等废气中生物质能源的回收利用。电镀行业淘汰现有高耗能机电设备，提高生产线自动化率。大力推进污水资源化利用，推进产业园区用水系统集成优化。适度发展稻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鱼综合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种养、渔光一体、鱼菜共生等多层次综合水产养殖模式。到2025年，打造60个水环境治理与温室气体减排协同标杆项目，打造一批农业领域减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协同试点，建成1000家低碳生态农场。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（九）注重污水处理减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。鼓励污水处理厂采用高效低能耗设备。鼓励污水处理厂互联互通、削峰填谷，推广污泥沼气热电联产及水源热泵等热能利用技术，推广建设太阳能发电设施。实施农村生活污水治理“强基增效双提标”行动，持续推进处理设施建设改造，因地制宜开展农村生活污水治理。实施城镇“污水零直排区”建设攻坚行动。到2025年，所有县（市、区）完成城镇“污水零直排区”建设，完成10个污水处理设施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协同示范工程建设；城市生活污水集中收集率力争达到80%以上，城市污水处理率达到98%以上；农村生活污水治理行政村覆盖率和处理设施出水达标率达95%以上。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）强化水资源节约集约利用。大力实施国家节水行动，全面强化水资源刚性约束，实行水资源消耗总量和强度双控。推进污水资源化利用和海水淡化规模化利用。推进工业节水减排，纺织等行业水耗达到清洁生产先进水平。构建区域再生水循环利用体系，因地制宜建设人工湿地水质净化工程及再生水调蓄设施。探索推广污水社区化分类处理和就地回用。建设资源能源标杆再生水厂。到2025年，全省用水总量控制在186.8亿立方米以内，万元地区生产总值用水量较2020年下降16%以上，万元工业增加值用水量较2020年下降18%以上；城市再生水利用率不低于20%（缺水城市利用率不低于25%），再生水利用配置试点地区和城市再生水利用率达到25%以上，创建节水型企业1000家以上。 </w:t>
      </w:r>
    </w:p>
    <w:p w14:paraId="4EA55F6D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4" w:name="tiao_5"/>
      <w:bookmarkEnd w:id="4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五、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推进固体废物污染防治协同控制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一）建设全域“无废城市”。开展全国“无废城市”数字化改革试点建设。推进各类固体废物源头减量。加强生活垃圾填埋场综合治理。深入开展生活垃圾焚烧发电行业达标排放专项整治。提升危险废物监管和利用处置能力，加快形成满足实际需求的垃圾焚烧飞灰协同处理、废盐资源化利用能力。到2025年，全省城乡生活垃圾分类实现全覆盖，基本实现危险废物“趋零填埋”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二）强化固体废物综合利用。推动工业固体废物资源利用或替代建材生产原料。推进退役动力电池等新型废弃物回收利用。加快生活垃圾焚烧飞灰、废盐综合利用项目建设，推进建筑垃圾和生活垃圾资源化利用。提升农业固体废物资源化利用水平，推动畜禽粪污资源化利用和无害化处理。到2025年，一般工业固体废物综合利用率达到98%以上，建筑垃圾综合利用率达到90%以上，畜禽粪污资源化利用和无害化处理率保持在92%以上，打造80个固体废物污染防治协同控制标杆项目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（十三）加强塑料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污染全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链条治理。严格落实禁塑限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塑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制度，有序禁止、限制部分塑料制品的生产、销售和使用，推进塑料替代产品。大力开展重点区域塑料垃圾清理整治，加大塑料废弃物再生利用，推动塑料废弃物再生利用产业规模化、规范化、清洁化发展。在全省沿海各设区市推广建设“海洋云仓（蓝色循环）”海洋污染物数字化治理应用。到2025年，城乡一体的多元共治体系基本形成，塑料污染得到有效控制。 </w:t>
      </w:r>
    </w:p>
    <w:p w14:paraId="394AAC12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5" w:name="tiao_6"/>
      <w:bookmarkEnd w:id="5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六、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统筹保护修复和扩容增汇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（十四）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推进八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大水系生态修复。推动实施八大水系和近岸海域生态修复与生物多样性保护行动方案。实施河湖水系综合整治，禁止侵占自然河湖、湿地等水源涵养空间。开展河湖岸坡生态化改造与生态缓冲带修复。到2025年，修复河湖生态缓冲带1000公里，完成岸坡生态化改造2000公里，新增省级美丽河湖500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条（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个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）。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五）加强生态保护修复监管。用好第三次全国国土调查成果，构建完善生态监测网络，完善自然保护地、生态保护红线监管制度。加强重点区域流域海域、生态保护红线、自然保护地、县域重点生态功能区等生态状况监测评估，强化生态保护修复监督评估。加强生态破坏问题监督和查处力度，持续深入实施“绿盾”自然保护地强化督查专项行动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（十六）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增强碳汇能力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。深入实施森林质量精准提升工程。加强自然湿地修复和综合整治。开展耕地质量提升行动，促进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农业固碳增汇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。完善城市绿色系统，科学合理布局城市生态廊道和生态缓冲带。探索实施城市阳台农业、建筑屋顶园林化行动，提高城市建筑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自身碳汇能力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。建立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生态系统碳汇监测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核算体系，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开展碳汇本底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调查和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碳储量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评估。实施“蓝色海湾”整治行动。大力发展海洋“蓝碳”，有序发展浅海贝藻养殖，增加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海洋渔业碳汇功能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，支持温州开展红树林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蓝碳试点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建设。到2025年，全省森林覆盖率达到61.5%，建成林业增汇试点县10个，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林业碳汇先行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基地10万亩，湿地保护率达到55%以上。 </w:t>
      </w:r>
    </w:p>
    <w:p w14:paraId="00B7EF5B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6" w:name="tiao_7"/>
      <w:bookmarkEnd w:id="6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七、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开展模式创新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（十七）不同类型城市减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协同创新试点。聚焦现代化国际大城市、工业型城市、数字经济型城市和生态良好型城市等4大城市类型创新模式，加快探索各具特色的减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协同推进机制，助力实现区域绿色低碳发展目标。杭州市开展现代化国际大城市减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协同创新试点建设，发挥数字化改革和智慧治理优势，探索以人为核心的城市生态环境治理效能评价体系，将减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协同增效融入城市规划建设和管理、基本公共服务、生产生活各领域，打造高品质生活美丽城市样板。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（十八）重点产业园区减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协同创新试点。聚焦石化、化工、化纤、纺织印染、造纸、建材、钢铁、电镀等重点产业园区，积极探索符合园区特点的减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协同创新模式，促进资源能源的集约节约高效循环利用，提升基础设施绿色低碳水平。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（十九）重点行业企业减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协同创新试点。聚焦污染物和二氧化碳排放量大、环境治理绩效提升空间大的重点行业，推动一批企业开展减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协同创新行动，探索多污染物与温室气体协同控制技术工艺。 </w:t>
      </w:r>
    </w:p>
    <w:p w14:paraId="2B662E1B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7" w:name="tiao_8"/>
      <w:bookmarkEnd w:id="7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八、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创新政策制度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（二十）强化减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协同管理。探索建立碳排放总量控制制度和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碳增量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准入机制，积极推动能耗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“双控”向碳排放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总量和强度“双控”转变。建立重点行业碳排放管理台账，在杭州等地探索统筹排污许可和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管理试点。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（二十一）推动减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一体化监管试点。在嘉兴市探索建立减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一体化监管体系，推动将温室气体管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控要求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统筹融入环境管理全过程以及治水、治气、治土、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清废等全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要素中。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（二十二）建立减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协同评价机制。建立并动态发布浙江省减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协同指数，对各城市减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协同工作推进情况进行跟踪评估，客观评价各城市环境-气候-经济效益协同、重点措施增效、协同管理提效的实施效果。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（二十三）完善环境资源市场化配置机制。探索温室气体自愿减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排交易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市场试点，推动丽水市温室气体自愿减排交易、安吉县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竹林碳汇交易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、椒江区大陈岛海洋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蓝碳交易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等试点建设，健全资源环境市场配置机制，推动一批较为成熟的项目参与国际自愿减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排市场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备案交易。扩大可再生能源、生态系统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碳汇等碳减排项目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储备。建立和实施全省统一的排污权有偿使用和交易制度。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（二十四）构建减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协同多元激励机制。加大对绿色低碳投资项目和协同技术应用的财政政策支持。建立减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协同项目库，出台专项金融支持政策。继续大力发展绿色信贷、绿色保险、绿色债券等金融产品，加快发展减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污降碳投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融资项目。在丽水市获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批国家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气候投融资试点基础上，争取温州、衢州等市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纳入后续国家气候投融资试点，探索气候投融资模式创新。支持宁波市开展碳资信工作。扩大绿色低碳产品供给和消费，建立绿色消费激励和回馈机制。完善环境信用评价和绿色金融联动机制。 </w:t>
      </w:r>
    </w:p>
    <w:p w14:paraId="0A03968F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8" w:name="tiao_9"/>
      <w:bookmarkEnd w:id="8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九、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提升协同能力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（二十五）编制大气污染物和温室气体排放融合清单。研究大气污染物和二氧化碳融合的技术方法，建立排污许可、环境统计、污染源在线监测等数据支撑清单编制的工作机制，提升融合清单的精细化和时效性。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六）提升碳监测能力。在推动杭州、宁波、丽水等城市碳监测评估试点基础上，开展区域层面、城市层面、园区层面及重点行业企业温室气体排放监测试点工作，探索卫星遥感技术在碳监测领域的深度应用，初步构建碳监测网络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（二十七）建设“减污降碳在线”应用场景。以监管闭环和企业服务两个多跨场景作为小切口，建设减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“一本账”“一体考”“一链管”“一体配置”“一体决策”“一键达”等多个子场景应用。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（二十八）推动数字孪生试点建设。探索建设减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协同数字孪生应用场景，在上虞杭州湾精细化工园区开展试点应用。探索建设空气污染与碳排放协同预警及精准调控数字孪生应用场景。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（二十九）科技研发创新与应用示范。设立一批重大科技专项，开展减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协同控制关键核心技术研发与示范应用，发布重点领域和重点行业减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集成技术指南。 </w:t>
      </w:r>
    </w:p>
    <w:p w14:paraId="46B39546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9" w:name="tiao_10"/>
      <w:bookmarkEnd w:id="9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十、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加强组织实施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加强组织领导。各地区各有关部门应充分认识减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协同工作的重要性、紧迫性，抓好贯彻落实。各有关部门要加强协调配合，各司其职，各负其责，形成合力，系统推进相关工作。各地要结合实际，制定实施方案，明确时间目标，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细化工作任务，确保各项重点举措落地见效。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加强考核督察。统筹减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污降碳工作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要求，将温室气体排放控制目标完成情况纳入生态环境相关考核，定期公布减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协同指数评价结果，逐步形成体现减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协同要求的生态环境考核体系。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加强宣传教育。组织开展减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业务培训，提升相关部门、地方政府、企业管理人员能力水平。加强宣传引导，利用六五环境日、全国低碳日、全国节能宣传周等广泛开展宣传教育活动。开展生态环境保护和应对气候变化科普活动，引导公众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践行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绿色低碳生活方式。加大信息公开力度，完善公众监督和举报反馈机制。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本方案自印发之日起30日后施行。 </w:t>
      </w:r>
    </w:p>
    <w:p w14:paraId="72726BCA" w14:textId="77777777" w:rsidR="00731C2D" w:rsidRDefault="00731C2D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br/>
      </w:r>
    </w:p>
    <w:p w14:paraId="2A9E264F" w14:textId="77777777" w:rsidR="00731C2D" w:rsidRDefault="00731C2D">
      <w:pPr>
        <w:ind w:left="375" w:right="3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sectPr w:rsidR="00731C2D">
      <w:headerReference w:type="default" r:id="rId8"/>
      <w:footerReference w:type="default" r:id="rId9"/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72128" w14:textId="77777777" w:rsidR="00536655" w:rsidRDefault="00536655">
      <w:r>
        <w:separator/>
      </w:r>
    </w:p>
  </w:endnote>
  <w:endnote w:type="continuationSeparator" w:id="0">
    <w:p w14:paraId="039AC51E" w14:textId="77777777" w:rsidR="00536655" w:rsidRDefault="00536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5404"/>
      <w:gridCol w:w="5152"/>
    </w:tblGrid>
    <w:tr w:rsidR="00CD02E8" w14:paraId="4DE2F77F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09161A06" w14:textId="77777777" w:rsidR="00731C2D" w:rsidRDefault="00731C2D">
          <w:pPr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PAGE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1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/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NUMPAGES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2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  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共10条7184字</w: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2FF10F41" w14:textId="77777777" w:rsidR="00731C2D" w:rsidRDefault="00731C2D">
          <w:pPr>
            <w:jc w:val="right"/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t>下载日期：2024-07-03</w:t>
          </w:r>
        </w:p>
      </w:tc>
    </w:tr>
  </w:tbl>
  <w:p w14:paraId="173D9689" w14:textId="77777777" w:rsidR="00731C2D" w:rsidRDefault="00731C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CC9B" w14:textId="77777777" w:rsidR="00536655" w:rsidRDefault="00536655">
      <w:r>
        <w:separator/>
      </w:r>
    </w:p>
  </w:footnote>
  <w:footnote w:type="continuationSeparator" w:id="0">
    <w:p w14:paraId="7657AF05" w14:textId="77777777" w:rsidR="00536655" w:rsidRDefault="00536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4857"/>
      <w:gridCol w:w="5699"/>
    </w:tblGrid>
    <w:tr w:rsidR="00CD02E8" w14:paraId="704B6776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5115589D" w14:textId="77777777" w:rsidR="00731C2D" w:rsidRDefault="00AC2C47">
          <w:pPr>
            <w:rPr>
              <w:rFonts w:eastAsia="Times New Roman"/>
              <w:color w:val="000000"/>
            </w:rPr>
          </w:pPr>
          <w:r>
            <w:rPr>
              <w:rFonts w:eastAsia="Times New Roman"/>
              <w:color w:val="000000"/>
            </w:rPr>
            <w:pict w14:anchorId="068F110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6.8pt;height:24pt;mso-position-horizontal-relative:text;mso-position-vertical-relative:text">
                <v:imagedata r:id="rId1" o:title=""/>
              </v:shape>
            </w:pic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3AF551AF" w14:textId="77777777" w:rsidR="00731C2D" w:rsidRDefault="00731C2D">
          <w:pPr>
            <w:jc w:val="right"/>
            <w:rPr>
              <w:rFonts w:ascii="宋体" w:eastAsia="宋体" w:hAnsi="宋体" w:cs="宋体" w:hint="eastAsia"/>
              <w:color w:val="000000"/>
              <w:sz w:val="23"/>
              <w:szCs w:val="23"/>
            </w:rPr>
          </w:pPr>
          <w:r>
            <w:rPr>
              <w:rFonts w:ascii="宋体" w:eastAsia="宋体" w:hAnsi="宋体" w:cs="宋体"/>
              <w:color w:val="000000"/>
              <w:sz w:val="23"/>
              <w:szCs w:val="23"/>
            </w:rPr>
            <w:t>【法宝引证码】CLI.14.5687219</w:t>
          </w:r>
        </w:p>
      </w:tc>
    </w:tr>
  </w:tbl>
  <w:p w14:paraId="17CCFF3F" w14:textId="77777777" w:rsidR="00731C2D" w:rsidRDefault="00731C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536655"/>
    <w:rsid w:val="00731C2D"/>
    <w:rsid w:val="00A51352"/>
    <w:rsid w:val="00A77B3E"/>
    <w:rsid w:val="00AC2C47"/>
    <w:rsid w:val="00CA2A55"/>
    <w:rsid w:val="00C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1B311"/>
  <w15:chartTrackingRefBased/>
  <w15:docId w15:val="{03E98C26-AC4E-4E3E-B2D5-AB2B3C5B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lltext-wrap">
    <w:name w:val="fulltext-wrap"/>
    <w:basedOn w:val="a"/>
    <w:pPr>
      <w:pBdr>
        <w:top w:val="none" w:sz="0" w:space="18" w:color="auto"/>
        <w:left w:val="none" w:sz="0" w:space="18" w:color="auto"/>
        <w:bottom w:val="none" w:sz="0" w:space="18" w:color="auto"/>
        <w:right w:val="none" w:sz="0" w:space="18" w:color="auto"/>
      </w:pBdr>
    </w:pPr>
  </w:style>
  <w:style w:type="paragraph" w:customStyle="1" w:styleId="fulltext-wraptitle">
    <w:name w:val="fulltext-wrap_title"/>
    <w:basedOn w:val="a"/>
    <w:pPr>
      <w:jc w:val="center"/>
    </w:pPr>
    <w:rPr>
      <w:sz w:val="30"/>
      <w:szCs w:val="30"/>
    </w:rPr>
  </w:style>
  <w:style w:type="paragraph" w:customStyle="1" w:styleId="div">
    <w:name w:val="div"/>
    <w:basedOn w:val="a"/>
    <w:pPr>
      <w:textAlignment w:val="baseline"/>
    </w:pPr>
  </w:style>
  <w:style w:type="paragraph" w:customStyle="1" w:styleId="divFullText">
    <w:name w:val="divFullText"/>
    <w:basedOn w:val="a"/>
    <w:pPr>
      <w:spacing w:line="600" w:lineRule="atLeast"/>
    </w:pPr>
    <w:rPr>
      <w:rFonts w:ascii="宋体" w:eastAsia="宋体" w:hAnsi="宋体" w:cs="宋体"/>
      <w:color w:val="000000"/>
      <w:sz w:val="27"/>
      <w:szCs w:val="27"/>
    </w:rPr>
  </w:style>
  <w:style w:type="paragraph" w:customStyle="1" w:styleId="p">
    <w:name w:val="p"/>
    <w:basedOn w:val="a"/>
    <w:pPr>
      <w:textAlignment w:val="baseline"/>
    </w:pPr>
  </w:style>
  <w:style w:type="paragraph" w:customStyle="1" w:styleId="fulltext-wrapfulltextTiaoYinV2">
    <w:name w:val="fulltext-wrap_fulltext_TiaoYinV2"/>
    <w:basedOn w:val="a"/>
    <w:pPr>
      <w:spacing w:line="384" w:lineRule="auto"/>
    </w:pPr>
    <w:rPr>
      <w:b/>
      <w:bCs/>
      <w:color w:val="218FC4"/>
      <w:sz w:val="21"/>
      <w:szCs w:val="21"/>
    </w:rPr>
  </w:style>
  <w:style w:type="character" w:customStyle="1" w:styleId="fulltext-wrapfulltexta">
    <w:name w:val="fulltext-wrap_fulltext_a"/>
    <w:rPr>
      <w:color w:val="218FC4"/>
    </w:rPr>
  </w:style>
  <w:style w:type="character" w:customStyle="1" w:styleId="fulltext-wrapnavtiao">
    <w:name w:val="fulltext-wrap_navtiao"/>
    <w:rPr>
      <w:b/>
      <w:bCs/>
    </w:rPr>
  </w:style>
  <w:style w:type="paragraph" w:styleId="a3">
    <w:name w:val="header"/>
    <w:basedOn w:val="a"/>
    <w:link w:val="a4"/>
    <w:rsid w:val="00731C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31C2D"/>
    <w:rPr>
      <w:sz w:val="18"/>
      <w:szCs w:val="18"/>
    </w:rPr>
  </w:style>
  <w:style w:type="paragraph" w:styleId="a5">
    <w:name w:val="footer"/>
    <w:basedOn w:val="a"/>
    <w:link w:val="a6"/>
    <w:rsid w:val="00731C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731C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pkulaw.com/chl/d1a4c138cdd428b0bdfb.html?way=textSl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kulaw.com/lar/25f328efe02f3364476eee15ed073029bdfb.html?way=textSlc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3545</Words>
  <Characters>3617</Characters>
  <Application>Microsoft Office Word</Application>
  <DocSecurity>0</DocSecurity>
  <Lines>129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超涵 章</dc:creator>
  <cp:keywords/>
  <cp:lastModifiedBy>超涵 章</cp:lastModifiedBy>
  <cp:revision>3</cp:revision>
  <cp:lastPrinted>1899-12-31T16:00:00Z</cp:lastPrinted>
  <dcterms:created xsi:type="dcterms:W3CDTF">2024-07-10T02:55:00Z</dcterms:created>
  <dcterms:modified xsi:type="dcterms:W3CDTF">2025-09-30T01:33:00Z</dcterms:modified>
</cp:coreProperties>
</file>