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9ED1" w14:textId="4F86205F" w:rsidR="006A28A6" w:rsidRPr="00391D25" w:rsidRDefault="006A28A6" w:rsidP="00391D25">
      <w:pPr>
        <w:ind w:left="375" w:right="375"/>
        <w:jc w:val="center"/>
        <w:rPr>
          <w:rFonts w:ascii="Arial" w:eastAsia="Arial" w:hAnsi="Arial" w:cs="Arial" w:hint="eastAsia"/>
        </w:rPr>
      </w:pPr>
      <w:r>
        <w:rPr>
          <w:rFonts w:ascii="宋体" w:eastAsia="宋体" w:hAnsi="宋体" w:cs="宋体"/>
          <w:color w:val="000000"/>
          <w:sz w:val="27"/>
          <w:szCs w:val="27"/>
        </w:rPr>
        <w:t>河北省贯彻落实碳达峰碳中和标准计量体系行动方案</w:t>
      </w:r>
    </w:p>
    <w:p w14:paraId="0D123955" w14:textId="6794AA36" w:rsidR="006A28A6" w:rsidRDefault="006A28A6" w:rsidP="00391D25">
      <w:pPr>
        <w:pStyle w:val="p"/>
        <w:spacing w:line="600" w:lineRule="atLeast"/>
        <w:ind w:left="375" w:right="375"/>
        <w:jc w:val="right"/>
        <w:rPr>
          <w:rFonts w:ascii="宋体" w:eastAsia="宋体" w:hAnsi="宋体" w:cs="宋体" w:hint="eastAsia"/>
          <w:color w:val="000000"/>
          <w:sz w:val="27"/>
          <w:szCs w:val="27"/>
        </w:rPr>
      </w:pPr>
      <w:r>
        <w:rPr>
          <w:rFonts w:ascii="宋体" w:eastAsia="宋体" w:hAnsi="宋体" w:cs="宋体"/>
          <w:color w:val="000000"/>
          <w:sz w:val="27"/>
          <w:szCs w:val="27"/>
        </w:rPr>
        <w:t xml:space="preserve">　</w:t>
      </w:r>
    </w:p>
    <w:p w14:paraId="7A0B1254"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为深入贯彻落实党中央、国务院关于碳达峰、碳中和的战略决策和省委、省政府的安排部署，充分发挥标准计量对实现碳达峰碳中和目标的重要支撑作用，依据市场监管总局等九部门《关于印发</w:t>
      </w:r>
      <w:hyperlink r:id="rId6" w:history="1">
        <w:r>
          <w:rPr>
            <w:rStyle w:val="fulltext-wrapfulltexta"/>
            <w:rFonts w:ascii="宋体" w:eastAsia="宋体" w:hAnsi="宋体" w:cs="宋体"/>
            <w:sz w:val="27"/>
            <w:szCs w:val="27"/>
          </w:rPr>
          <w:t>建立健全碳达峰碳中和标准计量体系实施方案的通知</w:t>
        </w:r>
      </w:hyperlink>
      <w:r>
        <w:rPr>
          <w:rFonts w:ascii="宋体" w:eastAsia="宋体" w:hAnsi="宋体" w:cs="宋体"/>
          <w:color w:val="000000"/>
          <w:sz w:val="27"/>
          <w:szCs w:val="27"/>
        </w:rPr>
        <w:t>》（国市监计量发〔2022〕92号），结合我省实际，现制定如下行动方案。</w:t>
      </w:r>
    </w:p>
    <w:p w14:paraId="15CB1BED"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一、指导思想和行动目标</w:t>
      </w:r>
    </w:p>
    <w:p w14:paraId="2BFB0CDE"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指导思想。以习近平新时代中国特色社会主义思想为指导，全面贯彻党的二十大精神，深入践行习近平生态文明思想，立足新发展阶段，完整、准确、全面贯彻新发展理念，积极服务和融入新发展格局，坚持系统谋划、统筹推进，科技驱动、技术引领，夯实基础、完善体系，开放融合、协同共享的基本原则，加快标准、计量创新发展，提升标准、计量支撑保障能力和水平，不断完善碳达峰碳中和标准计量体系，发挥标准、计量的基础性、引领性作用，为全省碳达峰碳中和目标实现提供重要技术支撑。</w:t>
      </w:r>
    </w:p>
    <w:p w14:paraId="59297C36"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阶段目标。到2025年，碳相关标准计量服务能力稳步提升，重点排放单位碳排放测量能力基本具备，标准计量服务体系不断完善。每年完成相关领域河北省地方标准不少于10项，实质性参与相关领域国际标准、国家标准、行业标准不少于3项。新建或改造不少于10项计量标准，制修订不少于5项地方计量技术规范，筹建碳计量中心，研制不少于5种标准物质（样品）。</w:t>
      </w:r>
    </w:p>
    <w:p w14:paraId="278EFC1C"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到2030年，碳相关标准计量技术和管理水平得到明显提升，碳计量服务市场健康有序发展，标准计量基础支撑和引领作用更加凸显。低碳节能、生态环境、</w:t>
      </w:r>
      <w:r>
        <w:rPr>
          <w:rFonts w:ascii="宋体" w:eastAsia="宋体" w:hAnsi="宋体" w:cs="宋体"/>
          <w:color w:val="000000"/>
          <w:sz w:val="27"/>
          <w:szCs w:val="27"/>
        </w:rPr>
        <w:lastRenderedPageBreak/>
        <w:t>绿色发展等领域相关地方标准逐步健全，标准约束和引领作用更加显著，标准化工作重点实现从支撑碳达峰向碳中和目标转变。</w:t>
      </w:r>
    </w:p>
    <w:p w14:paraId="336A8581"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到2060年，碳标准、碳计量技术水平更加先进、管理效能更加突出、服务能力更加高效，服务全省经济社会发展全面绿色转型，有力支撑碳中和目标实现。</w:t>
      </w:r>
    </w:p>
    <w:p w14:paraId="18907CB5"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二、加快构建双碳领域标准体系</w:t>
      </w:r>
    </w:p>
    <w:p w14:paraId="7A0CF33B"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积极参与国家碳排放基础通用标准体系建设。支持企事业单位、社会团体积极参与碳排放术语、分类、碳信息披露等基础性国家标准、行业标准及通用评价标准制定工作。完善区域性配套标准，推动碳减排技术、碳减排产品、碳减排多场景应用以及碳排放监测、核算、报告、核查标准的实施，加强各行业产品、应用场景等碳排放核算结果对企业的激励引导作用。支持参与重点行业和产品温室气体排放标准制定。（省市场监管局、省生态环境厅，省发展改革委、省工业和信息化厅等按职责分工负责）</w:t>
      </w:r>
    </w:p>
    <w:p w14:paraId="5DDC2993"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加强节能标准制修订。贯彻落实能耗限额、产品设备能效强制性国家标准。结合我省实际，制修订一批能耗限额类地方标准。积极推动能效“领跑者"和企标“领跑者"工作，鼓励企业应用先进的节能降碳技术。支持在工业、建筑、交通、公共机构等领域开展节能技术、产品标准研制。积极参与系统节能、能源绩效评估、系统经济运行、节能监测控制、节能量评估、能源计量、区域能源、能源管理体系等国家节能共性技术标准研制。（省发展改革委、省工业和信息化厅、省市场监管局等按职责分工负责）</w:t>
      </w:r>
    </w:p>
    <w:p w14:paraId="6233D214"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加强非化石能源技术标准研制。加快风能、光伏、氢能、地热能、抽水蓄能等清洁能源的关键装备和系统设计、制造、维护、废弃后回收利用等标准制修订，推进多能互补、综合能源利用等方面标准研制。加快贯彻新能源多场景应用、清洁能源全产业链的国家标准、行业标准。开展新能源系列技术标准创新族</w:t>
      </w:r>
      <w:r>
        <w:rPr>
          <w:rFonts w:ascii="宋体" w:eastAsia="宋体" w:hAnsi="宋体" w:cs="宋体"/>
          <w:color w:val="000000"/>
          <w:sz w:val="27"/>
          <w:szCs w:val="27"/>
        </w:rPr>
        <w:lastRenderedPageBreak/>
        <w:t>项目建设，加强国家技术标准创新基地(光伏)建设，推动配套标准研制。加快碳达峰碳中和省级相关专业标准化技术委员会建设，积极开展清洁能源领域碳达峰碳中和相关标准研制，鼓励企业从清洁能源生产制造、运输、安全、管理、运行维护等方面制定相关标准。（省发展改革委、省工业和信息化厅、省市场监管局等按职责分工负责）</w:t>
      </w:r>
    </w:p>
    <w:p w14:paraId="790F35C2"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6.完善新型电力系统标准制修订。鼓励企业、团体及有关单位主持或参与电力相关国家标准、行业标准、团体标准制修订工作。结合新型储能技术创新和应用场景拓展、及时开展各类标准的制修订工作，统筹技术进步和标准应用的兼容度、兼顾标准创新性和实用性。开展光伏及储能系统并网性能、配电网智能分布式自愈终端设计、检测及整定系列技术标准创新族项目建设，推动相关标准研制。（省市场监管局、省发展改革委等按职责分工负责）</w:t>
      </w:r>
    </w:p>
    <w:p w14:paraId="578E5447"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7.加强化石能源清洁低碳利用标准制修订。推进煤炭、石油和天然气绿色高效生产转化和利用相关标准制修订。重点推动煤炭清洁高效生产、利用和石油炼化、煤炭废弃物及资源综合利用等领域节能降碳相关标准提升。开展石油开采、储存、加工、运输等节能低碳生产技术标准研制。（省市场监管局、省发展改革委等按职责分工负责）</w:t>
      </w:r>
    </w:p>
    <w:p w14:paraId="0A440AED"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8.完善工业绿色低碳转型标准。积极推动钢铁、煤电、焦化、水泥、建材、石化化工、平板玻璃、陶瓷、有色金属等重点行业的节能改造升级和污染物深度治理标准体系建设，开展碳减排的新型功能材料、先进结构材料、高性能复合材料、智能化产品制造、多能互补耦合技术等标准研制。严格执行能耗、环保、水耗、质量、安全、技术等方面有关法律法规、产业政策和强制性标准。积极争取钢铁绿色低碳标准创新基地项目建设。（省发展改革委、省工业和信息化厅、省生态环境厅、省市场监管局等按职责分工负责）</w:t>
      </w:r>
    </w:p>
    <w:p w14:paraId="6F63E57C"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9.完善交通运输低碳发展标准。开展综合运输、节能环保、安全应急、管理服务、城市客运关键技术标准研究，推动绿色铁路、绿色公路、绿色港口建设标准的制修订，完善充换电、加氢、港口岸电等基础设施标准。加强旅客联程运输和货物多式联运领域基础设施、转运装卸设备和运输设备的标准研制。积极参与节能降碳设计、建设、运营、监控、评价等国家标准制修订，适时制定配套地方标准。（省交通运输厅、省工业和信息化厅、省生态环境厅、省商务厅、省市场监管局等按职责分工负责）</w:t>
      </w:r>
    </w:p>
    <w:p w14:paraId="6667B982"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10.加强基础设施低碳升级标准制修订。积极研究制定城市基础设施节能低碳建设、污水垃圾资源化利用、农房节能改造、绿色建造等标准。逐步完善建筑垃圾、余能余热再生及循环利用设备标准。积极参与大规模无线局域网节能通信协议、节能低碳目标的数据中心等信息基础设施参考架构、规划布局、使用计量、运营管理等国家标准、行业标准研制。（省市场监管局、省住房城乡建设厅、省工业和信息化厅、省通信管理局等按职责分工负责）</w:t>
      </w:r>
    </w:p>
    <w:p w14:paraId="3444ACFC"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11.加强农业农村降碳增效标准制修订。积极参与降低碳排放强度、可再生能源抵扣等国家标准、行业标准研制，围绕化肥减量增效、畜禽低碳减排、渔业减排增汇、农田固碳、废弃物资源化利用、农机节能减排等领域开展标准研制。（省生态环境厅、省农业农村厅、省市场监管局等按职责分工负责）</w:t>
      </w:r>
    </w:p>
    <w:p w14:paraId="49AD0395"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12.完善公共机构节能低碳标准。积极参与公共机构低碳建设、低碳评估考核等国家标准、行业标准研制。开展公共机构能耗定额应用等方法研究，探索和完善公共机构能源运行管理、优化控制及评价等方面的关键技术和标准研制工作。参与节约型机关、绿色场馆等评价标准研制工作，进一步完善和修订省绿色学校评估标准。（省机关事务管理局、省市场监管局、省教育厅等按职责分工负责）</w:t>
      </w:r>
    </w:p>
    <w:p w14:paraId="0D6F4246"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13.加强资源循环利用标准制修订。健全我省资源循环利用标准体系，加快循环经济相关地方标准研制。围绕我省园区循环化改造，推进能量梯级利用、水资源综合利用、废弃物综合利用、产业循环链接等标准制修订。（省发展改革委、省工业和信息化厅、省生态环境厅、省市场监管局等按职责分工负责）</w:t>
      </w:r>
    </w:p>
    <w:p w14:paraId="004E346D"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14.加强绿色金融标准制修订。积极参与制定绿色、可持续金融相关术语等基础通用国家、行业标准。推动绿色金融产品服务地方标准研制。（人行石家庄中心支行、省市场监管局、河北银保监局、河北证监局等按职责分工负责）</w:t>
      </w:r>
    </w:p>
    <w:p w14:paraId="533DE787"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15.加快碳排放交易相关标准规范制修订。积极参与碳排放配额分配、调整、清缴、抵销等标准规范及重点排放行业应用指南制定。（省发展改革委、省生态环境厅、人行石家庄中心支行、河北银保监局、河北证监局等按职责分工负责）</w:t>
      </w:r>
    </w:p>
    <w:p w14:paraId="08E80D26"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16.加强生态产品价值实现标准制修订。积极参与生态产品价值核算、生态产品认证评价、生态产品减碳成效评估国家标准、行业标准制定。（省发展改革委、省自然资源厅、省生态环境厅、省市场监管局、省林业和草原局等按职责分工负责）</w:t>
      </w:r>
    </w:p>
    <w:p w14:paraId="494D2A45"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17.开展碳清除标准研制。积极参与碳捕集利用与封存、直接空气碳捕集（DAC）等碳清除技术国家标准、行业标准研制，加快生态系统固碳和增汇等碳清除技术地方标准研制。（省发展改革委、省工业和信息化厅、省自然资源厅、省生态环境厅、省市场监管局、省林业和草原局等按职责分工负责）</w:t>
      </w:r>
    </w:p>
    <w:p w14:paraId="305B6D23"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三、加强碳计量体系和技术能力建设</w:t>
      </w:r>
    </w:p>
    <w:p w14:paraId="3E76A9E9"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18.健全碳计量技术体系。加强碳计量测试技术、方法研究，攻克一批技术难题，加快成果转化。围绕电力、钢铁、石油化工、煤炭和交通等重点行业和领域，开展基础前沿技术、共性关键计量技术和方法研究，加强碳计量器具、碳计量监测设备和校准设备研制与应用。建立健全省级碳计量器具社会公用计量标</w:t>
      </w:r>
      <w:r>
        <w:rPr>
          <w:rFonts w:ascii="宋体" w:eastAsia="宋体" w:hAnsi="宋体" w:cs="宋体"/>
          <w:color w:val="000000"/>
          <w:sz w:val="27"/>
          <w:szCs w:val="27"/>
        </w:rPr>
        <w:lastRenderedPageBreak/>
        <w:t>准，实现温室气体监测仪器计量检定/校准能力全覆盖，形成国家碳计量体系的重要组成部分。（省发展改革委、省科技厅、省工业和信息化厅、省自然资源厅、省生态环境厅、省住房城乡建设厅、省交通运输厅、省农业农村厅、省国资委、省市场监管局、省气象局、省林业和草原局、省科学院等按职责分工负责）</w:t>
      </w:r>
    </w:p>
    <w:p w14:paraId="69613372"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19.健全碳计量管理体系。强化碳排放计量研究，实行碳计量监测和评价，推进能源计量与碳计量有效衔接。结合实际需求，研究制定碳计量管理、碳计量器具溯源等相关地方计量技术规范。开展重点排放单位能源计量审查和碳排放计量审查，督促重点排放单位合理配备和使用计量器具，建立健全碳排放测量管理体系。（省市场监管局牵头，省发展改革委、省工业和信息化厅、省自然资源厅、省生态环境厅、省住房城乡建设厅、省交通运输厅、省农业农村厅、省国资委、省气象局、省林业和草原局等按职责分工负责）</w:t>
      </w:r>
    </w:p>
    <w:p w14:paraId="50FF9A85"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20.健全碳计量服务体系。加快能耗在线监测平台和碳排放监测系统建设，自动采集区域内各行业多尺度能源消耗和碳排放准确数据。加大能源资源、环境和碳计量数据分析挖掘和利用，引导企业在生产活动中通过科学、合理、高效的能源消费结构调整，降低碳排放量。开展重点耗能设备能效测试、节能效果评估、企业减碳评估测试等碳计量服务，将服务链从传统耗能产业延伸到大数据中心、公共服务等领域。（省发展改革委、省工业和信息化厅、省自然资源厅、省生态环境厅、省住房城乡建设厅、省交通运输厅、省农业农村厅、省国资委、省市场监管局、省气象局、省林业和草原局等按职责分工负责）</w:t>
      </w:r>
    </w:p>
    <w:p w14:paraId="78D7AEB0"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21.提升碳计量基础能力。围绕重点行业和领域需求，重点建设碳排放相关的量传溯源、测量检测等计量能力，为建立健全碳达峰碳中和计量体系打下扎实基础。整合计量资源，积极争取国家产业计量测试中心落户，建设省级产业计量测试中心。完善用能设备能效计量检测能力及用水器具水效计量检测能力，建设能</w:t>
      </w:r>
      <w:r>
        <w:rPr>
          <w:rFonts w:ascii="宋体" w:eastAsia="宋体" w:hAnsi="宋体" w:cs="宋体"/>
          <w:color w:val="000000"/>
          <w:sz w:val="27"/>
          <w:szCs w:val="27"/>
        </w:rPr>
        <w:lastRenderedPageBreak/>
        <w:t>效、水效检测实验室。（省市场监管局牵头，省发展改革委、省工业和信息化厅、省自然资源厅、省生态环境厅、省国资委等按职责分工负责）</w:t>
      </w:r>
    </w:p>
    <w:p w14:paraId="055595FE"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22.加强碳排放计量技术研究。开展碳排放技术研究及碳监测平台建设，搭建能源消耗与碳排放关系的数据模型并实现预测预警和趋势分析，建设双碳实验室。开展燃煤碳排放监测过程中使用的煤炭中碳含量标准物质研制。（省发展改革委、省科技厅、省工业和信息化厅、省生态环境厅、省市场监管局、省气象局等按职责分工负责）</w:t>
      </w:r>
    </w:p>
    <w:p w14:paraId="3F67F515"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23.开展能源计量测试技术研究。研究分布式光伏、储能并网控制计量测试技术，围绕太阳能、风能、氢能、生物质能等新能源及清洁能源，开展储能量、储能效率等关键指标计量测试技术研究。开展新能源汽车电池、充电设施等测量技术研究和评价，加强智能汽车等计量测试方法研究。开展电能计量远程校准及性能评估，热量、流量在线测量方法研究。（省发展改革委、省科技厅、省工业和信息化厅、省生态环境厅、省交通运输厅、省市场监管局等按职责分工负责）</w:t>
      </w:r>
    </w:p>
    <w:p w14:paraId="12320F3B"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24.加强环境监测计量技术研究。围绕“油烟浓度"“颗粒物"“扬尘"等环境影响参数，开展油烟浓度检测仪校准装置、烟尘浓度直读检测技术研究，PM2.5、PM10溯源准确性影响因素分析研究，环境空气黑炭溯源方法研究和环境监测用标准物质研制。围绕大气污染物排放监测，开展环境监测类仪器远程校准方法研究。（省科技厅、省生态环境厅、省市场监管局等按职责分工负责）</w:t>
      </w:r>
    </w:p>
    <w:p w14:paraId="257F13CA"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四、开展重点领域专项支撑行动</w:t>
      </w:r>
    </w:p>
    <w:p w14:paraId="1726FF8E"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25.开展双碳标准专项支撑行动。围绕碳达峰碳中和目标实现需求，积极参与碳达峰基础通用、节能降碳国家标准、行业标准研制，推动相关领域配套地方标准制修订。将碳达峰碳中和领域作为地方标准征集计划的重点内容，加大资源节约和循环利用、节能节水低碳环保、生态修复和保护等方面地方标准制修订工</w:t>
      </w:r>
      <w:r>
        <w:rPr>
          <w:rFonts w:ascii="宋体" w:eastAsia="宋体" w:hAnsi="宋体" w:cs="宋体"/>
          <w:color w:val="000000"/>
          <w:sz w:val="27"/>
          <w:szCs w:val="27"/>
        </w:rPr>
        <w:lastRenderedPageBreak/>
        <w:t>作，对符合法律法规规定的优先予以立项，对急需制定的标准，依法依规及时下达立项计划。贯彻落实《推进京津冀区域协同标准化工作实施方案》，推动京津冀区域协同标准实施应用。鼓励企业、社会团体、高校、科研院所加入相应的国际、国家专业标准化组织。支持企事业单位、社会团体积极参与碳达峰碳中和领域国际标准研制。积极引导社会团体制定原创性、高质量生态碳汇、碳捕集利用与封存等碳清除前沿技术、绿色低碳技术相关标准。（省市场监管局、省发展改革委、省工业和信息化厅、省生态环境厅、省农业农村厅、省自然资源厅、省交通运输厅、省水利厅、省林业和草原局按职责分工负责）</w:t>
      </w:r>
    </w:p>
    <w:p w14:paraId="4E26B5E3"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26.开展碳计量标杆模范专项支撑行动。组织开展能源资源计量服务示范项目推广应用，推广能源资源示范项目，引导和培育能源资源和环境计量服务市场。结合全省计量器具制造产业的特点和分布，重点推动具有一定产业基础的石家庄、承德、廊坊、保定等地的环境监测仪器、芯片测量仪器、衡器、流量仪表、互感器等制造业发展。（省市场监管局、省发展改革委牵头，省工业和信息化厅、省生态环境厅、省住房城乡建设厅、省交通运输厅、省国资委等按职责分工负责）</w:t>
      </w:r>
    </w:p>
    <w:p w14:paraId="3E1CB45C"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27.开展双碳精准服务专项支撑行动。加强全省标准、计量资源开放共享服务平台建设，探索建立碳达峰碳中和标准专题库，促进标准、计量资源开放共享。鼓励各级计量技术机构组建碳计量技术服务队，开展计量专家走进企业、走进社区服务低碳行活动，为企业、居民提供节能降耗、绿色生活等绿色低碳技术咨询服务。推动检验检测机构专业化、集约化发展，支持大型机构发展综合型一体化服务，支持中小型机构走“专精特新"发展之路，引导从业机构以市场为导向提升创新研发能力，为碳达峰碳中和提供技术服务。（省市场监管局、省发展改革</w:t>
      </w:r>
      <w:r>
        <w:rPr>
          <w:rFonts w:ascii="宋体" w:eastAsia="宋体" w:hAnsi="宋体" w:cs="宋体"/>
          <w:color w:val="000000"/>
          <w:sz w:val="27"/>
          <w:szCs w:val="27"/>
        </w:rPr>
        <w:lastRenderedPageBreak/>
        <w:t>委、省科技厅、省工业和信息化厅、省住房城乡建设厅、省交通运输厅、省国资委等按职责分工负责）</w:t>
      </w:r>
    </w:p>
    <w:p w14:paraId="6E4000AA"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28.开展绿色低碳生活专项支撑行动。开展能效标识、水效标识产品监督检查，增强全社会节能产品使用意识。严格执行限制商品过度包装强制性标准，开展商品包装的监督检查。落实低碳产品标识制度，加强绿色产品认证宣传，不断提高社会认知度。（省市场监管局牵头，省发展改革委、省工业和信息化厅、省生态环境厅、省住房城乡建设厅、省交通运输厅、省国资委等按职责分工负责）</w:t>
      </w:r>
    </w:p>
    <w:p w14:paraId="28667265"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五、保障措施</w:t>
      </w:r>
    </w:p>
    <w:p w14:paraId="7D3F513F"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29.加强组织领导。在省碳达峰碳中和工作领导小组领导下，依托省标准化委员会和省计量工作联席会议制度，统筹研究全省碳达峰碳中和标准计量体系重要事项，系统推进相关工作。省级各部门要加强协调联动和对各市的指导，各市要围绕本行动方案，结合实际，抓紧研究制定具体落实举措，协同推动标准计量体系实施，确保各目标任务落地落实。（各有关部门按职责分工负责）</w:t>
      </w:r>
    </w:p>
    <w:p w14:paraId="011CE5D0"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30.加强激励支持。统筹利用现有资金渠道，积极引导社会资本投入，支持碳达峰碳中和关键计量技术研究、量值传递溯源体系建设以及相关地方标准的研究、制定、实施等工作。按照国家有关规定对推动碳达峰碳中和标准计量体系建设中成绩突出的单位和个人进行表彰。（各有关部门按职责分工负责）</w:t>
      </w:r>
    </w:p>
    <w:p w14:paraId="4CA8FCDB" w14:textId="77777777" w:rsidR="006A28A6" w:rsidRDefault="006A28A6">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31.加强队伍建设。加大碳达峰碳中和标准计量人才培养力度，充分利用各项引智工程和优惠政策，积极引进和培育相关领域高层次紧缺人才。鼓励各级各部门组织力量加强碳达峰碳中和标准计量人员与碳排放管理员的培训，提高碳排放监测、统计核算、核查、交易和咨询等人才队伍的计量标准专业能力。（各有关部门按职责分工负责）</w:t>
      </w:r>
    </w:p>
    <w:p w14:paraId="09F9426B" w14:textId="77777777" w:rsidR="006A28A6" w:rsidRDefault="006A28A6">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32.加强实施评估。加强对行动方案落实情况的定期评估，分析进展情况，提出改进措施，适时调整标准计量体系建设重点。各部门、各地市要根据职责分工，开展标准计量体系实施情况的监测，及时总结典型案例，推广先进经验做法，做好与碳达峰碳中和各项工作部署的有效衔接。（各有关部门按职责分工负责）</w:t>
      </w:r>
    </w:p>
    <w:p w14:paraId="3A75AE2E" w14:textId="77777777" w:rsidR="006A28A6" w:rsidRDefault="006A28A6">
      <w:pPr>
        <w:ind w:left="375" w:right="375"/>
        <w:rPr>
          <w:rFonts w:ascii="Arial" w:eastAsia="Arial" w:hAnsi="Arial" w:cs="Arial"/>
        </w:rPr>
      </w:pPr>
      <w:r>
        <w:rPr>
          <w:rFonts w:ascii="Arial" w:eastAsia="Arial" w:hAnsi="Arial" w:cs="Arial"/>
        </w:rPr>
        <w:br/>
      </w:r>
    </w:p>
    <w:sectPr w:rsidR="006A28A6">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460C3" w14:textId="77777777" w:rsidR="00E05CE9" w:rsidRDefault="00E05CE9">
      <w:r>
        <w:separator/>
      </w:r>
    </w:p>
  </w:endnote>
  <w:endnote w:type="continuationSeparator" w:id="0">
    <w:p w14:paraId="209F3A99" w14:textId="77777777" w:rsidR="00E05CE9" w:rsidRDefault="00E05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7F3BB4" w14:paraId="1E4A7342" w14:textId="77777777">
      <w:trPr>
        <w:tblCellSpacing w:w="15" w:type="dxa"/>
      </w:trPr>
      <w:tc>
        <w:tcPr>
          <w:tcW w:w="0" w:type="auto"/>
          <w:tcMar>
            <w:top w:w="15" w:type="dxa"/>
            <w:left w:w="15" w:type="dxa"/>
            <w:bottom w:w="15" w:type="dxa"/>
            <w:right w:w="15" w:type="dxa"/>
          </w:tcMar>
          <w:vAlign w:val="center"/>
          <w:hideMark/>
        </w:tcPr>
        <w:p w14:paraId="2528ECED" w14:textId="77777777" w:rsidR="006A28A6" w:rsidRDefault="006A28A6">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2E160855" w14:textId="77777777" w:rsidR="006A28A6" w:rsidRDefault="006A28A6">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9345E4E" w14:textId="77777777" w:rsidR="006A28A6" w:rsidRDefault="006A28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D074D" w14:textId="77777777" w:rsidR="00E05CE9" w:rsidRDefault="00E05CE9">
      <w:r>
        <w:separator/>
      </w:r>
    </w:p>
  </w:footnote>
  <w:footnote w:type="continuationSeparator" w:id="0">
    <w:p w14:paraId="40D44AC6" w14:textId="77777777" w:rsidR="00E05CE9" w:rsidRDefault="00E05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7F3BB4" w14:paraId="2EAB81E6" w14:textId="77777777">
      <w:trPr>
        <w:tblCellSpacing w:w="15" w:type="dxa"/>
      </w:trPr>
      <w:tc>
        <w:tcPr>
          <w:tcW w:w="0" w:type="auto"/>
          <w:tcMar>
            <w:top w:w="15" w:type="dxa"/>
            <w:left w:w="15" w:type="dxa"/>
            <w:bottom w:w="15" w:type="dxa"/>
            <w:right w:w="15" w:type="dxa"/>
          </w:tcMar>
          <w:vAlign w:val="center"/>
          <w:hideMark/>
        </w:tcPr>
        <w:p w14:paraId="59C19992" w14:textId="77777777" w:rsidR="006A28A6" w:rsidRDefault="00391D25">
          <w:pPr>
            <w:rPr>
              <w:rFonts w:eastAsia="Times New Roman"/>
              <w:color w:val="000000"/>
            </w:rPr>
          </w:pPr>
          <w:r>
            <w:rPr>
              <w:rFonts w:eastAsia="Times New Roman"/>
              <w:color w:val="000000"/>
            </w:rPr>
            <w:pict w14:anchorId="12420A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32D5F3C" w14:textId="77777777" w:rsidR="006A28A6" w:rsidRDefault="006A28A6">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【法宝引证码】CLI.14.7253979</w:t>
          </w:r>
        </w:p>
      </w:tc>
    </w:tr>
  </w:tbl>
  <w:p w14:paraId="04A32D33" w14:textId="77777777" w:rsidR="006A28A6" w:rsidRDefault="006A28A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91D25"/>
    <w:rsid w:val="006A28A6"/>
    <w:rsid w:val="007F3BB4"/>
    <w:rsid w:val="00A77B3E"/>
    <w:rsid w:val="00C62C13"/>
    <w:rsid w:val="00CA2A55"/>
    <w:rsid w:val="00E05CE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5468AA"/>
  <w15:chartTrackingRefBased/>
  <w15:docId w15:val="{76D73877-2F6B-40F9-860F-7FC0358E7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6A28A6"/>
    <w:pPr>
      <w:tabs>
        <w:tab w:val="center" w:pos="4153"/>
        <w:tab w:val="right" w:pos="8306"/>
      </w:tabs>
      <w:snapToGrid w:val="0"/>
      <w:jc w:val="center"/>
    </w:pPr>
    <w:rPr>
      <w:sz w:val="18"/>
      <w:szCs w:val="18"/>
    </w:rPr>
  </w:style>
  <w:style w:type="character" w:customStyle="1" w:styleId="a4">
    <w:name w:val="页眉 字符"/>
    <w:link w:val="a3"/>
    <w:rsid w:val="006A28A6"/>
    <w:rPr>
      <w:sz w:val="18"/>
      <w:szCs w:val="18"/>
    </w:rPr>
  </w:style>
  <w:style w:type="paragraph" w:styleId="a5">
    <w:name w:val="footer"/>
    <w:basedOn w:val="a"/>
    <w:link w:val="a6"/>
    <w:rsid w:val="006A28A6"/>
    <w:pPr>
      <w:tabs>
        <w:tab w:val="center" w:pos="4153"/>
        <w:tab w:val="right" w:pos="8306"/>
      </w:tabs>
      <w:snapToGrid w:val="0"/>
    </w:pPr>
    <w:rPr>
      <w:sz w:val="18"/>
      <w:szCs w:val="18"/>
    </w:rPr>
  </w:style>
  <w:style w:type="character" w:customStyle="1" w:styleId="a6">
    <w:name w:val="页脚 字符"/>
    <w:link w:val="a5"/>
    <w:rsid w:val="006A28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227a71ed6987a7bf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3403</Words>
  <Characters>3438</Characters>
  <Application>Microsoft Office Word</Application>
  <DocSecurity>0</DocSecurity>
  <Lines>114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2024-07-10T02:33:00Z</dcterms:created>
  <dcterms:modified xsi:type="dcterms:W3CDTF">2025-12-22T16:45:00Z</dcterms:modified>
</cp:coreProperties>
</file>