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65B8" w:rsidRDefault="005B65B8" w:rsidP="005B65B8">
      <w:pPr>
        <w:rPr>
          <w:rFonts w:hint="eastAsia"/>
        </w:rPr>
      </w:pPr>
      <w:r>
        <w:rPr>
          <w:rFonts w:hint="eastAsia"/>
        </w:rPr>
        <w:t>从大集合到小</w:t>
      </w:r>
      <w:proofErr w:type="gramStart"/>
      <w:r>
        <w:rPr>
          <w:rFonts w:hint="eastAsia"/>
        </w:rPr>
        <w:t>集合再</w:t>
      </w:r>
      <w:proofErr w:type="gramEnd"/>
      <w:r>
        <w:rPr>
          <w:rFonts w:hint="eastAsia"/>
        </w:rPr>
        <w:t>到定义</w:t>
      </w:r>
    </w:p>
    <w:p w:rsidR="005B65B8" w:rsidRPr="005B65B8" w:rsidRDefault="005B65B8" w:rsidP="005B65B8">
      <w:r w:rsidRPr="005B65B8">
        <w:t>我们以“先搭可复现的大集合，再从中提炼出清晰口径”的目标出发，围绕“新兴技术”做了一次系统化的定义构建。首先界定任务边界：本轮不讨论某一具体技术的成效与因果，而是聚焦“什么叫新兴技术”。因此资料选择以“职责性权威与方法透明”为先，优先采集</w:t>
      </w:r>
      <w:r w:rsidRPr="005B65B8">
        <w:rPr>
          <w:b/>
          <w:bCs/>
        </w:rPr>
        <w:t>学术锚点（同行评审）与公共部门/跨国组织/标准与</w:t>
      </w:r>
      <w:proofErr w:type="gramStart"/>
      <w:r w:rsidRPr="005B65B8">
        <w:rPr>
          <w:b/>
          <w:bCs/>
        </w:rPr>
        <w:t>安全共同体</w:t>
      </w:r>
      <w:proofErr w:type="gramEnd"/>
      <w:r w:rsidRPr="005B65B8">
        <w:t>等能够提供稳定口径的来源。企业白皮书、媒体与咨询报告仅作为线索，不纳入定义基线。</w:t>
      </w:r>
    </w:p>
    <w:p w:rsidR="005B65B8" w:rsidRPr="005B65B8" w:rsidRDefault="005B65B8" w:rsidP="005B65B8">
      <w:r w:rsidRPr="005B65B8">
        <w:t>检索策略遵循“层级化来源 × 明确短语 × 站点限定”的原则，确保任何人可复跑。</w:t>
      </w:r>
      <w:proofErr w:type="gramStart"/>
      <w:r w:rsidRPr="005B65B8">
        <w:t>学术锚点采用</w:t>
      </w:r>
      <w:proofErr w:type="gramEnd"/>
      <w:r w:rsidRPr="005B65B8">
        <w:t>“Rotolo Hicks Martin emerging technology definition Research Policy”等组合；</w:t>
      </w:r>
      <w:proofErr w:type="gramStart"/>
      <w:r w:rsidRPr="005B65B8">
        <w:t>跨国与</w:t>
      </w:r>
      <w:proofErr w:type="gramEnd"/>
      <w:r w:rsidRPr="005B65B8">
        <w:t>政府机构采用 site:oecd.org "emerging technologies" definition、</w:t>
      </w:r>
      <w:proofErr w:type="spellStart"/>
      <w:r w:rsidRPr="005B65B8">
        <w:t>site:interoperable-europe.ec.europa.eu</w:t>
      </w:r>
      <w:proofErr w:type="spellEnd"/>
      <w:r w:rsidRPr="005B65B8">
        <w:t xml:space="preserve"> glossary "emerging technologies"、site:gov.uk "emerging technologies" definition、site:nist.gov "emerging technologies" security privacy、</w:t>
      </w:r>
      <w:proofErr w:type="spellStart"/>
      <w:r w:rsidRPr="005B65B8">
        <w:t>site:nato.int</w:t>
      </w:r>
      <w:proofErr w:type="spellEnd"/>
      <w:r w:rsidRPr="005B65B8">
        <w:t xml:space="preserve"> "emerging and disruptive technologies" definition；议程设定者采用 site:weforum.org "Top 10 Emerging Technologies" methodology definition。这些检索串的共同特征是：锁定权威域名（site:），用引号固定“emerging technologies/definition/methodology/glossary”等核心词，避免噪音；必要时补充同义词（如“emerging and disruptive </w:t>
      </w:r>
      <w:proofErr w:type="spellStart"/>
      <w:r w:rsidRPr="005B65B8">
        <w:t>technologies”“horizon</w:t>
      </w:r>
      <w:proofErr w:type="spellEnd"/>
      <w:r w:rsidRPr="005B65B8">
        <w:t xml:space="preserve"> scanning”）。</w:t>
      </w:r>
    </w:p>
    <w:p w:rsidR="005B65B8" w:rsidRPr="005B65B8" w:rsidRDefault="005B65B8" w:rsidP="005B65B8">
      <w:r w:rsidRPr="005B65B8">
        <w:t>在检索层面，我们先做“快速分诊”而非精读：看门牌（Remit，是否为OECD/EC/JRC/NIST/同行评审期刊等）、看手续（是否有方法学/术语表/投票与版本信息）、看时效（近三年是否更新）、看采纳（是否被其他政府或标准沿用）。据此把来源分为高权威池（Tier 1–2）与参考池，并把通过者写入“定义卡”（记录机构、年份、原文关键句与固定链接）。随后构建</w:t>
      </w:r>
      <w:r w:rsidRPr="005B65B8">
        <w:rPr>
          <w:b/>
          <w:bCs/>
        </w:rPr>
        <w:t>大集合 U</w:t>
      </w:r>
      <w:r w:rsidRPr="005B65B8">
        <w:t>：我们纳入九条高权威定义/界定语，其中既有学术“标准答案”（Rotolo 等，提出“激进新颖性、相对快速增长、凝聚性、显著影响、不确定/模糊”五属性），也有公共机构的政策口径（如 OECD 强调“快速发展＋不确定性与权利/治理平衡”、欧盟互操作术语表给出“5–10 年可用”的时间窗、NIST 与 NATO 强调“机遇—风险与安全任务”），以及 WEF 的方法学口径（把“旧技新用”纳入新兴路径并强调“数年内达到规模影响”）。</w:t>
      </w:r>
    </w:p>
    <w:p w:rsidR="005B65B8" w:rsidRPr="005B65B8" w:rsidRDefault="005B65B8" w:rsidP="005B65B8">
      <w:r w:rsidRPr="005B65B8">
        <w:t>为了从不同文本中抽取可比较的要素，我们采用统一的</w:t>
      </w:r>
      <w:r w:rsidRPr="005B65B8">
        <w:rPr>
          <w:b/>
          <w:bCs/>
        </w:rPr>
        <w:t>六维映射框架</w:t>
      </w:r>
      <w:r w:rsidRPr="005B65B8">
        <w:t>对每条定义的“定义句/方法段”进行关键词提炼：①</w:t>
      </w:r>
      <w:r w:rsidRPr="005B65B8">
        <w:rPr>
          <w:b/>
          <w:bCs/>
        </w:rPr>
        <w:t>新颖性/新用途</w:t>
      </w:r>
      <w:r w:rsidRPr="005B65B8">
        <w:t>；②</w:t>
      </w:r>
      <w:r w:rsidRPr="005B65B8">
        <w:rPr>
          <w:b/>
          <w:bCs/>
        </w:rPr>
        <w:t>速度/扩散</w:t>
      </w:r>
      <w:r w:rsidRPr="005B65B8">
        <w:t>；③</w:t>
      </w:r>
      <w:r w:rsidRPr="005B65B8">
        <w:rPr>
          <w:b/>
          <w:bCs/>
        </w:rPr>
        <w:t>显著影响</w:t>
      </w:r>
      <w:r w:rsidRPr="005B65B8">
        <w:t>（经济/社会/安全）；④</w:t>
      </w:r>
      <w:r w:rsidRPr="005B65B8">
        <w:rPr>
          <w:b/>
          <w:bCs/>
        </w:rPr>
        <w:t>不确定/模糊</w:t>
      </w:r>
      <w:r w:rsidRPr="005B65B8">
        <w:t>；⑤</w:t>
      </w:r>
      <w:r w:rsidRPr="005B65B8">
        <w:rPr>
          <w:b/>
          <w:bCs/>
        </w:rPr>
        <w:t>时间窗/成熟度</w:t>
      </w:r>
      <w:r w:rsidRPr="005B65B8">
        <w:t>（如 3–5 年、5–10 年）；⑥</w:t>
      </w:r>
      <w:r w:rsidRPr="005B65B8">
        <w:rPr>
          <w:b/>
          <w:bCs/>
        </w:rPr>
        <w:t>治理/安全</w:t>
      </w:r>
      <w:r w:rsidRPr="005B65B8">
        <w:t>（权利、隐私、标准、风险管理）。这一步只抓“判定是否新兴”的词，不引申</w:t>
      </w:r>
      <w:proofErr w:type="gramStart"/>
      <w:r w:rsidRPr="005B65B8">
        <w:t>到成效</w:t>
      </w:r>
      <w:proofErr w:type="gramEnd"/>
      <w:r w:rsidRPr="005B65B8">
        <w:t>大小或伦理评估，避免口径混淆。对来源特有表达（如“旧技新用”“替代/扰动”“使命影响”“权利/主体性”），我们在“特性”栏单独保留，既不丢细节，也不让其稀释共识统计。</w:t>
      </w:r>
    </w:p>
    <w:p w:rsidR="005B65B8" w:rsidRPr="005B65B8" w:rsidRDefault="005B65B8" w:rsidP="005B65B8">
      <w:r w:rsidRPr="005B65B8">
        <w:t>在得到 U 集后，我们以</w:t>
      </w:r>
      <w:r w:rsidRPr="005B65B8">
        <w:rPr>
          <w:b/>
          <w:bCs/>
        </w:rPr>
        <w:t>Tier 1–2 八家来源</w:t>
      </w:r>
      <w:r w:rsidRPr="005B65B8">
        <w:t>为样本，按</w:t>
      </w:r>
      <w:r w:rsidRPr="005B65B8">
        <w:rPr>
          <w:b/>
          <w:bCs/>
        </w:rPr>
        <w:t>70%阈值</w:t>
      </w:r>
      <w:r w:rsidRPr="005B65B8">
        <w:t>计算共识维度（即</w:t>
      </w:r>
      <w:proofErr w:type="gramStart"/>
      <w:r w:rsidRPr="005B65B8">
        <w:t>某维度需被</w:t>
      </w:r>
      <w:proofErr w:type="gramEnd"/>
      <w:r w:rsidRPr="005B65B8">
        <w:t>≥6/8 个来源明确命中）。结果显示：</w:t>
      </w:r>
      <w:r w:rsidRPr="005B65B8">
        <w:rPr>
          <w:b/>
          <w:bCs/>
        </w:rPr>
        <w:t>新颖性/新用途、显著影响与不确定性</w:t>
      </w:r>
      <w:r w:rsidRPr="005B65B8">
        <w:t>三项通过阈值，构成跨来源最稳固的“硬共识”；</w:t>
      </w:r>
      <w:r w:rsidRPr="005B65B8">
        <w:rPr>
          <w:b/>
          <w:bCs/>
        </w:rPr>
        <w:t>速度/扩散、时间窗/成熟度与治理/安全</w:t>
      </w:r>
      <w:r w:rsidRPr="005B65B8">
        <w:t>虽出现频繁，但未达到 70%，因此作为“强调但非硬共识”的候选维</w:t>
      </w:r>
      <w:proofErr w:type="gramStart"/>
      <w:r w:rsidRPr="005B65B8">
        <w:t>度进入</w:t>
      </w:r>
      <w:proofErr w:type="gramEnd"/>
      <w:r w:rsidRPr="005B65B8">
        <w:t>工作集合</w:t>
      </w:r>
      <w:r w:rsidRPr="005B65B8">
        <w:lastRenderedPageBreak/>
        <w:t>（W）。这一统计过程完全可复现：每条来源的六维打勾表与样本清单均已记录在案，阈值与计数公开透明。</w:t>
      </w:r>
    </w:p>
    <w:p w:rsidR="005B65B8" w:rsidRPr="005B65B8" w:rsidRDefault="005B65B8" w:rsidP="005B65B8">
      <w:r w:rsidRPr="005B65B8">
        <w:t>基于上述共识，我们给出</w:t>
      </w:r>
      <w:r w:rsidRPr="005B65B8">
        <w:rPr>
          <w:b/>
          <w:bCs/>
        </w:rPr>
        <w:t>共识定义 v1</w:t>
      </w:r>
      <w:r w:rsidRPr="005B65B8">
        <w:t>：</w:t>
      </w:r>
      <w:r w:rsidRPr="005B65B8">
        <w:rPr>
          <w:b/>
          <w:bCs/>
        </w:rPr>
        <w:t>“新兴技术通常具备新颖性或新用途、具有显著的社会/经济/安全影响潜力，并且其发展路径与影响存在较高不确定性。”</w:t>
      </w:r>
      <w:r w:rsidRPr="005B65B8">
        <w:t xml:space="preserve"> 之所以不把“速度”“时间窗”“治理”写进硬定义，是因为不同机构在这三项上的表达存在显著异质：WEF与欧盟术语表给出“3–5 年/5–10 年”的明确窗口，安全领域（如 NATO）则允许更长的战略成熟期；治理强度在 OECD/NIST 中被突出，但并非所有定义文本都把它作为构成“新兴”的必要条件。我们因此将这三项置于</w:t>
      </w:r>
      <w:r w:rsidRPr="005B65B8">
        <w:rPr>
          <w:b/>
          <w:bCs/>
        </w:rPr>
        <w:t>工作口径</w:t>
      </w:r>
      <w:r w:rsidRPr="005B65B8">
        <w:t>，在后续研究与监测中优先强调，但不作为最低必要条件。</w:t>
      </w:r>
    </w:p>
    <w:p w:rsidR="005B65B8" w:rsidRPr="005B65B8" w:rsidRDefault="005B65B8" w:rsidP="005B65B8">
      <w:r w:rsidRPr="005B65B8">
        <w:t>最后，为使定义具备可操作性，我们将共识定义与工作维度结合为一条</w:t>
      </w:r>
      <w:r w:rsidRPr="005B65B8">
        <w:rPr>
          <w:b/>
          <w:bCs/>
        </w:rPr>
        <w:t>工作定义 v1.0</w:t>
      </w:r>
      <w:r w:rsidRPr="005B65B8">
        <w:t>：</w:t>
      </w:r>
      <w:r w:rsidRPr="005B65B8">
        <w:rPr>
          <w:b/>
          <w:bCs/>
        </w:rPr>
        <w:t>“预计在 3–10 年内达到实际可用或规模化影响，且在〔新颖/新用途、显著影响、不确定性〕三项中至少满足两项的技术，可视为新兴技术；在多数情形下，还可观察到〔较快扩散、明确时间窗、治理/安全需求〕中的部分特征。”</w:t>
      </w:r>
      <w:r w:rsidRPr="005B65B8">
        <w:t xml:space="preserve"> 这一定义把学术“五属性”的核心三要素与公共机构常用的时间直觉（3–10 年）做了兼容，同时保留了实践部门关心的速度与治理维度作为加强项，既能解释跨机构的共识，又能指导后续的监测与分层。若未来出现新的权威定义或重大标准/监管事件，我们将按同样六维框架与 70% </w:t>
      </w:r>
      <w:proofErr w:type="gramStart"/>
      <w:r w:rsidRPr="005B65B8">
        <w:t>规则重</w:t>
      </w:r>
      <w:proofErr w:type="gramEnd"/>
      <w:r w:rsidRPr="005B65B8">
        <w:t>算共识，并更新工作定义的时间窗与强调项，使其保持透明、可追溯与可迭代。</w:t>
      </w:r>
    </w:p>
    <w:p w:rsidR="00A21EDA" w:rsidRDefault="00A21EDA">
      <w:pPr>
        <w:rPr>
          <w:rFonts w:hint="eastAsia"/>
        </w:rPr>
      </w:pPr>
    </w:p>
    <w:sectPr w:rsidR="00A21E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B8"/>
    <w:rsid w:val="00252234"/>
    <w:rsid w:val="00524D58"/>
    <w:rsid w:val="005B65B8"/>
    <w:rsid w:val="00A21EDA"/>
    <w:rsid w:val="00BC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8FE4"/>
  <w15:chartTrackingRefBased/>
  <w15:docId w15:val="{B27478B7-B748-47A8-8E3E-13CBEF2B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65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5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5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5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5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5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5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5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65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6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6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65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65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65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65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65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65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65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6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5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65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6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65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65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65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6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65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6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Nomandlee</dc:creator>
  <cp:keywords/>
  <dc:description/>
  <cp:lastModifiedBy>Christopher Nomandlee</cp:lastModifiedBy>
  <cp:revision>2</cp:revision>
  <dcterms:created xsi:type="dcterms:W3CDTF">2025-08-14T10:05:00Z</dcterms:created>
  <dcterms:modified xsi:type="dcterms:W3CDTF">2025-08-14T10:17:00Z</dcterms:modified>
</cp:coreProperties>
</file>