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CourseLoop 比赛交付索引</w:t>
      </w:r>
    </w:p>
    <w:p>
      <w:r>
        <w:t>交付更新：2026-10-10。历史实验源码基线：c171ac542fadb35db92586bd1e5a87c5602603fb。正式提交版本：v1.0，源码、报告、测试证据及运行包按冻结提交和资产SHA256建立对应关系。项目定位：408 四门专业课学习闭环，覆盖学生、助教、教师和教务。提交资料通过同版本仓库与Release统一组织，测试报告只采用更新代码后的完整正式验收结果。</w:t>
      </w:r>
    </w:p>
    <w:p>
      <w:pPr>
        <w:pStyle w:val="Heading1"/>
      </w:pPr>
      <w:r>
        <w:t>一、交付清单与比赛要求对应</w:t>
      </w:r>
    </w:p>
    <w:tbl>
      <w:tblPr>
        <w:tblStyle w:val="LightShading-Accent1"/>
        <w:tblW w:type="auto" w:w="0"/>
        <w:tblLook w:firstColumn="1" w:firstRow="1" w:lastColumn="0" w:lastRow="0" w:noHBand="0" w:noVBand="1" w:val="04A0"/>
      </w:tblPr>
      <w:tblGrid>
        <w:gridCol w:w="3312"/>
        <w:gridCol w:w="3312"/>
        <w:gridCol w:w="3312"/>
      </w:tblGrid>
      <w:tr>
        <w:trPr>
          <w:tblHeader/>
          <w:cantSplit/>
        </w:trPr>
        <w:tc>
          <w:tcPr>
            <w:tcW w:type="dxa" w:w="3312"/>
          </w:tcPr>
          <w:p>
            <w:r>
              <w:t>比赛要求</w:t>
            </w:r>
          </w:p>
        </w:tc>
        <w:tc>
          <w:tcPr>
            <w:tcW w:type="dxa" w:w="3312"/>
          </w:tcPr>
          <w:p>
            <w:r>
              <w:t>本次交付</w:t>
            </w:r>
          </w:p>
        </w:tc>
        <w:tc>
          <w:tcPr>
            <w:tcW w:type="dxa" w:w="3312"/>
          </w:tcPr>
          <w:p>
            <w:r>
              <w:t>核查方式</w:t>
            </w:r>
          </w:p>
        </w:tc>
      </w:tr>
      <w:tr>
        <w:trPr>
          <w:cantSplit/>
        </w:trPr>
        <w:tc>
          <w:tcPr>
            <w:tcW w:type="dxa" w:w="3312"/>
          </w:tcPr>
          <w:p>
            <w:r>
              <w:t>1 可运行原型</w:t>
            </w:r>
          </w:p>
        </w:tc>
        <w:tc>
          <w:tcPr>
            <w:tcW w:type="dxa" w:w="3312"/>
          </w:tcPr>
          <w:p>
            <w:r>
              <w:t>公网入口、5 个本地角色账号、完整处理后内容与无卡模式、部署说明、运行包</w:t>
            </w:r>
          </w:p>
        </w:tc>
        <w:tc>
          <w:tcPr>
            <w:tcW w:type="dxa" w:w="3312"/>
          </w:tcPr>
          <w:p>
            <w:r>
              <w:t>01、ACCESS.md、README</w:t>
            </w:r>
          </w:p>
        </w:tc>
      </w:tr>
      <w:tr>
        <w:trPr>
          <w:cantSplit/>
        </w:trPr>
        <w:tc>
          <w:tcPr>
            <w:tcW w:type="dxa" w:w="3312"/>
          </w:tcPr>
          <w:p>
            <w:r>
              <w:t>2 完整源代码</w:t>
            </w:r>
          </w:p>
        </w:tc>
        <w:tc>
          <w:tcPr>
            <w:tcW w:type="dxa" w:w="3312"/>
          </w:tcPr>
          <w:p>
            <w:r>
              <w:t>backend、frontend、scripts、tests、deploy；独立干净提交历史</w:t>
            </w:r>
          </w:p>
        </w:tc>
        <w:tc>
          <w:tcPr>
            <w:tcW w:type="dxa" w:w="3312"/>
          </w:tcPr>
          <w:p>
            <w:r>
              <w:t>克隆提交仓库；完整项目源码自动附于 Release</w:t>
            </w:r>
          </w:p>
        </w:tc>
      </w:tr>
      <w:tr>
        <w:trPr>
          <w:cantSplit/>
        </w:trPr>
        <w:tc>
          <w:tcPr>
            <w:tcW w:type="dxa" w:w="3312"/>
          </w:tcPr>
          <w:p>
            <w:r>
              <w:t>3 技术报告</w:t>
            </w:r>
          </w:p>
        </w:tc>
        <w:tc>
          <w:tcPr>
            <w:tcW w:type="dxa" w:w="3312"/>
          </w:tcPr>
          <w:p>
            <w:r>
              <w:t>问题、路线、架构、算法、模块、实验、评价和不足</w:t>
            </w:r>
          </w:p>
        </w:tc>
        <w:tc>
          <w:tcPr>
            <w:tcW w:type="dxa" w:w="3312"/>
          </w:tcPr>
          <w:p>
            <w:r>
              <w:t>02 技术报告：MD／DOCX／PDF</w:t>
            </w:r>
          </w:p>
        </w:tc>
      </w:tr>
      <w:tr>
        <w:trPr>
          <w:cantSplit/>
        </w:trPr>
        <w:tc>
          <w:tcPr>
            <w:tcW w:type="dxa" w:w="3312"/>
          </w:tcPr>
          <w:p>
            <w:r>
              <w:t>4 数据说明</w:t>
            </w:r>
          </w:p>
        </w:tc>
        <w:tc>
          <w:tcPr>
            <w:tcW w:type="dxa" w:w="3312"/>
          </w:tcPr>
          <w:p>
            <w:r>
              <w:t>数据资产、字段字典、清洗与脱敏、版权及限制</w:t>
            </w:r>
          </w:p>
        </w:tc>
        <w:tc>
          <w:tcPr>
            <w:tcW w:type="dxa" w:w="3312"/>
          </w:tcPr>
          <w:p>
            <w:r>
              <w:t>03 数据说明、processed-data-inventory.json、data-dictionary.json、内容导出源码</w:t>
            </w:r>
          </w:p>
        </w:tc>
      </w:tr>
      <w:tr>
        <w:trPr>
          <w:cantSplit/>
        </w:trPr>
        <w:tc>
          <w:tcPr>
            <w:tcW w:type="dxa" w:w="3312"/>
          </w:tcPr>
          <w:p>
            <w:r>
              <w:t>5 模型算法</w:t>
            </w:r>
          </w:p>
        </w:tc>
        <w:tc>
          <w:tcPr>
            <w:tcW w:type="dxa" w:w="3312"/>
          </w:tcPr>
          <w:p>
            <w:r>
              <w:t>外部模型、SFT/GRPO方法与聚合指标、检索、验证、学习与调度参数</w:t>
            </w:r>
          </w:p>
        </w:tc>
        <w:tc>
          <w:tcPr>
            <w:tcW w:type="dxa" w:w="3312"/>
          </w:tcPr>
          <w:p>
            <w:r>
              <w:t>04 模型与算法及对应源脚本</w:t>
            </w:r>
          </w:p>
        </w:tc>
      </w:tr>
      <w:tr>
        <w:trPr>
          <w:cantSplit/>
        </w:trPr>
        <w:tc>
          <w:tcPr>
            <w:tcW w:type="dxa" w:w="3312"/>
          </w:tcPr>
          <w:p>
            <w:r>
              <w:t>6 测试与案例</w:t>
            </w:r>
          </w:p>
        </w:tc>
        <w:tc>
          <w:tcPr>
            <w:tcW w:type="dxa" w:w="3312"/>
          </w:tcPr>
          <w:p>
            <w:r>
              <w:t>功能、边界、权限、协同、真实模型、并发、浏览器和算法回归</w:t>
            </w:r>
          </w:p>
        </w:tc>
        <w:tc>
          <w:tcPr>
            <w:tcW w:type="dxa" w:w="3312"/>
          </w:tcPr>
          <w:p>
            <w:r>
              <w:t>05 测试报告、06 案例、artifacts/evidence</w:t>
            </w:r>
          </w:p>
        </w:tc>
      </w:tr>
      <w:tr>
        <w:trPr>
          <w:cantSplit/>
        </w:trPr>
        <w:tc>
          <w:tcPr>
            <w:tcW w:type="dxa" w:w="3312"/>
          </w:tcPr>
          <w:p>
            <w:r>
              <w:t>7 演示视频</w:t>
            </w:r>
          </w:p>
        </w:tc>
        <w:tc>
          <w:tcPr>
            <w:tcW w:type="dxa" w:w="3312"/>
          </w:tcPr>
          <w:p>
            <w:r>
              <w:t>CourseLoop-V1.0-demo.mp4，约4分39秒；另附33页答辩PPT</w:t>
            </w:r>
          </w:p>
        </w:tc>
        <w:tc>
          <w:tcPr>
            <w:tcW w:type="dxa" w:w="3312"/>
          </w:tcPr>
          <w:p>
            <w:r/>
            <w:hyperlink r:id="rId11">
              <w:r>
                <w:rPr>
                  <w:color w:val="0563C1"/>
                  <w:u w:val="single"/>
                </w:rPr>
                <w:t>演示材料与文件校验</w:t>
              </w:r>
            </w:hyperlink>
            <w:r>
              <w:t>、media-manifest.json、Release及SHA256SUMS</w:t>
            </w:r>
          </w:p>
        </w:tc>
      </w:tr>
      <w:tr>
        <w:trPr>
          <w:cantSplit/>
        </w:trPr>
        <w:tc>
          <w:tcPr>
            <w:tcW w:type="dxa" w:w="3312"/>
          </w:tcPr>
          <w:p>
            <w:r>
              <w:t>8 README</w:t>
            </w:r>
          </w:p>
        </w:tc>
        <w:tc>
          <w:tcPr>
            <w:tcW w:type="dxa" w:w="3312"/>
          </w:tcPr>
          <w:p>
            <w:r>
              <w:t>环境、安装、运行、配置、测试、FAQ、数据与安全边界</w:t>
            </w:r>
          </w:p>
        </w:tc>
        <w:tc>
          <w:tcPr>
            <w:tcW w:type="dxa" w:w="3312"/>
          </w:tcPr>
          <w:p>
            <w:r>
              <w:t>仓库根 README</w:t>
            </w:r>
          </w:p>
        </w:tc>
      </w:tr>
    </w:tbl>
    <w:p>
      <w:pPr>
        <w:pStyle w:val="Heading1"/>
      </w:pPr>
      <w:r>
        <w:t>二、评委建议阅读与体验顺序</w:t>
      </w:r>
    </w:p>
    <w:p>
      <w:r>
        <w:t>先阅读 README 和本索引，按部署说明启动本地系统，或通过比赛指定渠道单独获取线上体验地址与评审账号，体验四课程、带依据的文本问答和已启用的拍照批改。真实图片转写与公网拍照流程证据见测试报告；下载包不附模型密钥。随后阅读技术报告与测试结果。需要教师／教务权限或复核协同体验时，启动本地交付内容库，用 ACCESS.md 中对应角色切换，不向评委开放生产教务管理权。</w:t>
      </w:r>
    </w:p>
    <w:p>
      <w:r>
        <w:t>本地提供无密钥基础模式，可体验课程、题库、确定性判分、错题、学情、复习和教学工作台；配置API后开启模型讲解与出题。流程桩验收与真实模型调用分别记录，便于核查各自的验证范围；真实视觉证据见artifacts/evidence/v1.0/vision-live.json。</w:t>
      </w:r>
    </w:p>
    <w:p>
      <w:pPr>
        <w:pStyle w:val="Heading1"/>
      </w:pPr>
      <w:r>
        <w:t>三、总仓库组织</w:t>
      </w:r>
    </w:p>
    <w:tbl>
      <w:tblPr>
        <w:tblStyle w:val="LightShading-Accent1"/>
        <w:tblW w:type="auto" w:w="0"/>
        <w:tblLook w:firstColumn="1" w:firstRow="1" w:lastColumn="0" w:lastRow="0" w:noHBand="0" w:noVBand="1" w:val="04A0"/>
      </w:tblPr>
      <w:tblGrid>
        <w:gridCol w:w="4968"/>
        <w:gridCol w:w="4968"/>
      </w:tblGrid>
      <w:tr>
        <w:trPr>
          <w:tblHeader/>
          <w:cantSplit/>
        </w:trPr>
        <w:tc>
          <w:tcPr>
            <w:tcW w:type="dxa" w:w="4968"/>
          </w:tcPr>
          <w:p>
            <w:r>
              <w:t>路径</w:t>
            </w:r>
          </w:p>
        </w:tc>
        <w:tc>
          <w:tcPr>
            <w:tcW w:type="dxa" w:w="4968"/>
          </w:tcPr>
          <w:p>
            <w:r>
              <w:t>内容</w:t>
            </w:r>
          </w:p>
        </w:tc>
      </w:tr>
      <w:tr>
        <w:trPr>
          <w:cantSplit/>
        </w:trPr>
        <w:tc>
          <w:tcPr>
            <w:tcW w:type="dxa" w:w="4968"/>
          </w:tcPr>
          <w:p>
            <w:r>
              <w:t>backend/</w:t>
            </w:r>
          </w:p>
        </w:tc>
        <w:tc>
          <w:tcPr>
            <w:tcW w:type="dxa" w:w="4968"/>
          </w:tcPr>
          <w:p>
            <w:r>
              <w:t>API、鉴权、数据层、导学智能体、RAG、验证器与学习模型</w:t>
            </w:r>
          </w:p>
        </w:tc>
      </w:tr>
      <w:tr>
        <w:trPr>
          <w:cantSplit/>
        </w:trPr>
        <w:tc>
          <w:tcPr>
            <w:tcW w:type="dxa" w:w="4968"/>
          </w:tcPr>
          <w:p>
            <w:r>
              <w:t>frontend/</w:t>
            </w:r>
          </w:p>
        </w:tc>
        <w:tc>
          <w:tcPr>
            <w:tcW w:type="dxa" w:w="4968"/>
          </w:tcPr>
          <w:p>
            <w:r>
              <w:t>Vue 页面、角色导航、API/SSE 客户端、公式和代码渲染</w:t>
            </w:r>
          </w:p>
        </w:tc>
      </w:tr>
      <w:tr>
        <w:trPr>
          <w:cantSplit/>
        </w:trPr>
        <w:tc>
          <w:tcPr>
            <w:tcW w:type="dxa" w:w="4968"/>
          </w:tcPr>
          <w:p>
            <w:r>
              <w:t>scripts/</w:t>
            </w:r>
          </w:p>
        </w:tc>
        <w:tc>
          <w:tcPr>
            <w:tcW w:type="dxa" w:w="4968"/>
          </w:tcPr>
          <w:p>
            <w:r>
              <w:t>原有数据工程／训练评测脚本及本次 submission_* 交付工具</w:t>
            </w:r>
          </w:p>
        </w:tc>
      </w:tr>
      <w:tr>
        <w:trPr>
          <w:cantSplit/>
        </w:trPr>
        <w:tc>
          <w:tcPr>
            <w:tcW w:type="dxa" w:w="4968"/>
          </w:tcPr>
          <w:p>
            <w:r>
              <w:t>tests/</w:t>
            </w:r>
          </w:p>
        </w:tc>
        <w:tc>
          <w:tcPr>
            <w:tcW w:type="dxa" w:w="4968"/>
          </w:tcPr>
          <w:p>
            <w:r>
              <w:t>原有测试及新增事务、并发、视觉和GPU交付层回归用例；本次621项源码回归通过，历史GPU源码回归604项</w:t>
            </w:r>
          </w:p>
        </w:tc>
      </w:tr>
      <w:tr>
        <w:trPr>
          <w:cantSplit/>
        </w:trPr>
        <w:tc>
          <w:tcPr>
            <w:tcW w:type="dxa" w:w="4968"/>
          </w:tcPr>
          <w:p>
            <w:r>
              <w:t>deploy/</w:t>
            </w:r>
          </w:p>
        </w:tc>
        <w:tc>
          <w:tcPr>
            <w:tcW w:type="dxa" w:w="4968"/>
          </w:tcPr>
          <w:p>
            <w:r>
              <w:t>systemd、Nginx 和备份模板，需按部署地址自行配置</w:t>
            </w:r>
          </w:p>
        </w:tc>
      </w:tr>
      <w:tr>
        <w:trPr>
          <w:cantSplit/>
        </w:trPr>
        <w:tc>
          <w:tcPr>
            <w:tcW w:type="dxa" w:w="4968"/>
          </w:tcPr>
          <w:p>
            <w:r>
              <w:t>docs/submission/</w:t>
            </w:r>
          </w:p>
        </w:tc>
        <w:tc>
          <w:tcPr>
            <w:tcW w:type="dxa" w:w="4968"/>
          </w:tcPr>
          <w:p>
            <w:r>
              <w:t>9份正式报告（00—08）、字段字典、数据清单、证据规则与演示入口</w:t>
            </w:r>
          </w:p>
        </w:tc>
      </w:tr>
      <w:tr>
        <w:trPr>
          <w:cantSplit/>
        </w:trPr>
        <w:tc>
          <w:tcPr>
            <w:tcW w:type="dxa" w:w="4968"/>
          </w:tcPr>
          <w:p>
            <w:r>
              <w:t>artifacts/evidence/</w:t>
            </w:r>
          </w:p>
        </w:tc>
        <w:tc>
          <w:tcPr>
            <w:tcW w:type="dxa" w:w="4968"/>
          </w:tcPr>
          <w:p>
            <w:r>
              <w:t>测试 JSON、JUnit、日志、截图、源码和数据盘点</w:t>
            </w:r>
          </w:p>
        </w:tc>
      </w:tr>
      <w:tr>
        <w:trPr>
          <w:cantSplit/>
        </w:trPr>
        <w:tc>
          <w:tcPr>
            <w:tcW w:type="dxa" w:w="4968"/>
          </w:tcPr>
          <w:p>
            <w:r>
              <w:t>ACCESS.md</w:t>
            </w:r>
          </w:p>
        </w:tc>
        <w:tc>
          <w:tcPr>
            <w:tcW w:type="dxa" w:w="4968"/>
          </w:tcPr>
          <w:p>
            <w:r>
              <w:t>本地虚构演示账号与线上凭据分发说明</w:t>
            </w:r>
          </w:p>
        </w:tc>
      </w:tr>
      <w:tr>
        <w:trPr>
          <w:cantSplit/>
        </w:trPr>
        <w:tc>
          <w:tcPr>
            <w:tcW w:type="dxa" w:w="4968"/>
          </w:tcPr>
          <w:p>
            <w:r>
              <w:t>requirements*.txt</w:t>
            </w:r>
          </w:p>
        </w:tc>
        <w:tc>
          <w:tcPr>
            <w:tcW w:type="dxa" w:w="4968"/>
          </w:tcPr>
          <w:p>
            <w:r>
              <w:t>轻量运行、经过验证的提交环境锁定、可选研究依赖</w:t>
            </w:r>
          </w:p>
        </w:tc>
      </w:tr>
    </w:tbl>
    <w:p>
      <w:r>
        <w:t>Git 不纳入 .env、签名密钥、运行数据库、真实用户记录、第三方教材正文或模型权重。下载运行包在Release；v1.0按</w:t>
      </w:r>
      <w:hyperlink r:id="rId12">
        <w:r>
          <w:rPr>
            <w:color w:val="0563C1"/>
            <w:u w:val="single"/>
          </w:rPr>
          <w:t>处理后数据交付范围</w:t>
        </w:r>
      </w:hyperlink>
      <w:r>
        <w:t>提供4810题、2646检索块及配套判题内容。部分数据来源于南京理工大学计算机科学与工程学院本科生自建数据库。正式交付文档统一集中在本目录，配套架构图见docs/diagrams。</w:t>
      </w:r>
    </w:p>
    <w:p>
      <w:r>
        <w:t xml:space="preserve">v1.0对应完整处理后内容交付，环境对应关系见 </w:t>
      </w:r>
      <w:hyperlink r:id="rId13">
        <w:r>
          <w:rPr>
            <w:color w:val="0563C1"/>
            <w:u w:val="single"/>
          </w:rPr>
          <w:t>README环境表</w:t>
        </w:r>
      </w:hyperlink>
      <w:r>
        <w:t>。完整交付清单见本索引第一节。</w:t>
      </w:r>
    </w:p>
    <w:p>
      <w:pPr>
        <w:pStyle w:val="Heading1"/>
      </w:pPr>
      <w:r>
        <w:t>四、运行方式与扩展计划</w:t>
      </w:r>
    </w:p>
    <w:p>
      <w:r>
        <w:t>当前线上文本和视觉模型通过外部OpenAI兼容API运行，支持轻量无卡部署。视觉使用智增增qwen3-vl-30b-a3b-instruct，独立端点与密钥保持文本服务配置；原创印刷体图片与公网拍照流程已完成验收，广泛手写和扫描件准确率作为后续专项评测。4090D独立部署已完成现有Qwen3-14B-FP8与LoRA的单请求、长上下文及4／8路并发计时、显存和吞吐验证，见08专项报告；在线演示环境保持原部署，历史训练报告单独归档。演示视频与答辩PPT已纳入V1.0附件，入口及校验信息见</w:t>
      </w:r>
      <w:hyperlink r:id="rId11">
        <w:r>
          <w:rPr>
            <w:color w:val="0563C1"/>
            <w:u w:val="single"/>
          </w:rPr>
          <w:t>演示材料与文件校验</w:t>
        </w:r>
      </w:hyperlink>
      <w:r>
        <w:t>。</w:t>
      </w:r>
    </w:p>
    <w:sectPr w:rsidR="00FC693F" w:rsidRPr="0006063C" w:rsidSect="00034616">
      <w:headerReference w:type="default" r:id="rId9"/>
      <w:footerReference w:type="default" r:id="rId10"/>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正式提交版本 V1.0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CourseLoop · 比赛交付材料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eastAsia="Droid Sans Fallback"/>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Droid Sans Fallback"/>
      <w:b/>
      <w:bCs/>
      <w:color w:val="2536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Droid Sans Fallback"/>
      <w:b/>
      <w:bCs/>
      <w:color w:val="2536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Droid Sans Fallback"/>
      <w:b/>
      <w:bCs/>
      <w:color w:val="25365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Droid Sans Fallback"/>
      <w:color w:val="2536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ccccrj/courseloop-competition-submission/blob/v1.0/docs/submission/%E6%BC%94%E7%A4%BA%E6%9D%90%E6%96%99.md" TargetMode="External"/><Relationship Id="rId12" Type="http://schemas.openxmlformats.org/officeDocument/2006/relationships/hyperlink" Target="https://github.com/cccccrj/courseloop-competition-submission/blob/v1.0/docs/submission/%E5%A4%84%E7%90%86%E5%90%8E%E6%95%B0%E6%8D%AE%E4%BA%A4%E4%BB%98%E8%8C%83%E5%9B%B4.md" TargetMode="External"/><Relationship Id="rId13" Type="http://schemas.openxmlformats.org/officeDocument/2006/relationships/hyperlink" Target="https://github.com/cccccrj/courseloop-competition-submission/blob/v1.0/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Submission project contributors</dc:creator>
  <cp:keywords/>
  <dc:description>generated by python-docx</dc:description>
  <cp:lastModifiedBy>Submission report generator</cp:lastModifiedBy>
  <cp:revision>1</cp:revision>
  <dcterms:created xsi:type="dcterms:W3CDTF">2013-12-23T23:15:00Z</dcterms:created>
  <dcterms:modified xsi:type="dcterms:W3CDTF">2013-12-23T23:15:00Z</dcterms:modified>
  <cp:category/>
</cp:coreProperties>
</file>