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CourseLoop 数据说明与数据卡</w:t>
      </w:r>
    </w:p>
    <w:p>
      <w:r>
        <w:t xml:space="preserve">盘点日期：2026-10-09 UTC。数据规模引用 </w:t>
      </w:r>
      <w:hyperlink r:id="rId11">
        <w:r>
          <w:rPr>
            <w:color w:val="0563C1"/>
            <w:u w:val="single"/>
          </w:rPr>
          <w:t>测试环境盘点</w:t>
        </w:r>
      </w:hyperlink>
      <w:r>
        <w:t xml:space="preserve">，采用只读计数和字段结构。2026-10-10完成处理后内容导出；交付范围见 </w:t>
      </w:r>
      <w:hyperlink r:id="rId12">
        <w:r>
          <w:rPr>
            <w:color w:val="0563C1"/>
            <w:u w:val="single"/>
          </w:rPr>
          <w:t>处理后数据交付范围</w:t>
        </w:r>
      </w:hyperlink>
      <w:r>
        <w:t>。本次导出为4810题、220知识点与2646检索块，详情见</w:t>
      </w:r>
      <w:hyperlink r:id="rId13">
        <w:r>
          <w:rPr>
            <w:color w:val="0563C1"/>
            <w:u w:val="single"/>
          </w:rPr>
          <w:t>交付数据清单</w:t>
        </w:r>
      </w:hyperlink>
      <w:r>
        <w:t>。历史测试环境盘点4808题对应当时容量实验，分别保留口径。</w:t>
      </w:r>
    </w:p>
    <w:p>
      <w:r>
        <w:t>部分数据来源于南京理工大学计算机科学与工程学院本科生自建数据库。数据经课程归类、题目与答案规范化、知识点关联、资料分块及索引处理后用于比赛原型与评审，并保留来源与引用定位。</w:t>
      </w:r>
    </w:p>
    <w:p>
      <w:pPr>
        <w:pStyle w:val="Heading1"/>
      </w:pPr>
      <w:r>
        <w:t>一、数据资产与用途</w:t>
      </w:r>
    </w:p>
    <w:tbl>
      <w:tblPr>
        <w:tblStyle w:val="LightShading-Accent1"/>
        <w:tblW w:type="auto" w:w="0"/>
        <w:tblLook w:firstColumn="1" w:firstRow="1" w:lastColumn="0" w:lastRow="0" w:noHBand="0" w:noVBand="1" w:val="04A0"/>
      </w:tblPr>
      <w:tblGrid>
        <w:gridCol w:w="3312"/>
        <w:gridCol w:w="3312"/>
        <w:gridCol w:w="3312"/>
      </w:tblGrid>
      <w:tr>
        <w:trPr>
          <w:tblHeader/>
          <w:cantSplit/>
        </w:trPr>
        <w:tc>
          <w:tcPr>
            <w:tcW w:type="dxa" w:w="3312"/>
          </w:tcPr>
          <w:p>
            <w:r>
              <w:t>数据层</w:t>
            </w:r>
          </w:p>
        </w:tc>
        <w:tc>
          <w:tcPr>
            <w:tcW w:type="dxa" w:w="3312"/>
          </w:tcPr>
          <w:p>
            <w:r>
              <w:t>规模与用途</w:t>
            </w:r>
          </w:p>
        </w:tc>
        <w:tc>
          <w:tcPr>
            <w:tcW w:type="dxa" w:w="3312"/>
          </w:tcPr>
          <w:p>
            <w:r>
              <w:t>是否随仓库分发</w:t>
            </w:r>
          </w:p>
        </w:tc>
      </w:tr>
      <w:tr>
        <w:trPr>
          <w:cantSplit/>
        </w:trPr>
        <w:tc>
          <w:tcPr>
            <w:tcW w:type="dxa" w:w="3312"/>
          </w:tcPr>
          <w:p>
            <w:r>
              <w:t>处理后交付题库</w:t>
            </w:r>
          </w:p>
        </w:tc>
        <w:tc>
          <w:tcPr>
            <w:tcW w:type="dxa" w:w="3312"/>
          </w:tcPr>
          <w:p>
            <w:r>
              <w:t>4课程、4810题，6086判题样例、383规则项、4980题目知识点关联</w:t>
            </w:r>
          </w:p>
        </w:tc>
        <w:tc>
          <w:tcPr>
            <w:tcW w:type="dxa" w:w="3312"/>
          </w:tcPr>
          <w:p>
            <w:r>
              <w:t>下载运行包内容表与数据清单</w:t>
            </w:r>
          </w:p>
        </w:tc>
      </w:tr>
      <w:tr>
        <w:trPr>
          <w:cantSplit/>
        </w:trPr>
        <w:tc>
          <w:tcPr>
            <w:tcW w:type="dxa" w:w="3312"/>
          </w:tcPr>
          <w:p>
            <w:r>
              <w:t>交付资料索引</w:t>
            </w:r>
          </w:p>
        </w:tc>
        <w:tc>
          <w:tcPr>
            <w:tcW w:type="dxa" w:w="3312"/>
          </w:tcPr>
          <w:p>
            <w:r>
              <w:t>FTS5共2646块；ds-algo1767、co361、os104、net414</w:t>
            </w:r>
          </w:p>
        </w:tc>
        <w:tc>
          <w:tcPr>
            <w:tcW w:type="dxa" w:w="3312"/>
          </w:tcPr>
          <w:p>
            <w:r>
              <w:t>下载运行包提供2646处理后检索块与定位字段</w:t>
            </w:r>
          </w:p>
        </w:tc>
      </w:tr>
      <w:tr>
        <w:trPr>
          <w:cantSplit/>
        </w:trPr>
        <w:tc>
          <w:tcPr>
            <w:tcW w:type="dxa" w:w="3312"/>
          </w:tcPr>
          <w:p>
            <w:r>
              <w:t>课程大纲与知识点</w:t>
            </w:r>
          </w:p>
        </w:tc>
        <w:tc>
          <w:tcPr>
            <w:tcW w:type="dxa" w:w="3312"/>
          </w:tcPr>
          <w:p>
            <w:r>
              <w:t>考纲条目与入库知识点为不同口径；本次导出knowledge_points220行</w:t>
            </w:r>
          </w:p>
        </w:tc>
        <w:tc>
          <w:tcPr>
            <w:tcW w:type="dxa" w:w="3312"/>
          </w:tcPr>
          <w:p>
            <w:r>
              <w:t>交付内容表与默认课程配置源码</w:t>
            </w:r>
          </w:p>
        </w:tc>
      </w:tr>
      <w:tr>
        <w:trPr>
          <w:cantSplit/>
        </w:trPr>
        <w:tc>
          <w:tcPr>
            <w:tcW w:type="dxa" w:w="3312"/>
          </w:tcPr>
          <w:p>
            <w:r>
              <w:t>原创交付演示</w:t>
            </w:r>
          </w:p>
        </w:tc>
        <w:tc>
          <w:tcPr>
            <w:tcW w:type="dxa" w:w="3312"/>
          </w:tcPr>
          <w:p>
            <w:r>
              <w:t>原项目16种子题＋本次20原创单选，4原创短讲义及少量合成画像</w:t>
            </w:r>
          </w:p>
        </w:tc>
        <w:tc>
          <w:tcPr>
            <w:tcW w:type="dxa" w:w="3312"/>
          </w:tcPr>
          <w:p>
            <w:r>
              <w:t>生成脚本在Git；实际库在下载运行包</w:t>
            </w:r>
          </w:p>
        </w:tc>
      </w:tr>
      <w:tr>
        <w:trPr>
          <w:cantSplit/>
        </w:trPr>
        <w:tc>
          <w:tcPr>
            <w:tcW w:type="dxa" w:w="3312"/>
          </w:tcPr>
          <w:p>
            <w:r>
              <w:t>个人学习行为</w:t>
            </w:r>
          </w:p>
        </w:tc>
        <w:tc>
          <w:tcPr>
            <w:tcW w:type="dxa" w:w="3312"/>
          </w:tcPr>
          <w:p>
            <w:r>
              <w:t>用户、作答、错题、掌握度、会话、复习、作业与人工复核</w:t>
            </w:r>
          </w:p>
        </w:tc>
        <w:tc>
          <w:tcPr>
            <w:tcW w:type="dxa" w:w="3312"/>
          </w:tcPr>
          <w:p>
            <w:r>
              <w:t>只保留表结构与规模，真实记录不复制</w:t>
            </w:r>
          </w:p>
        </w:tc>
      </w:tr>
      <w:tr>
        <w:trPr>
          <w:cantSplit/>
        </w:trPr>
        <w:tc>
          <w:tcPr>
            <w:tcW w:type="dxa" w:w="3312"/>
          </w:tcPr>
          <w:p>
            <w:r>
              <w:t>历史SFT/GRPO</w:t>
            </w:r>
          </w:p>
        </w:tc>
        <w:tc>
          <w:tcPr>
            <w:tcW w:type="dxa" w:w="3312"/>
          </w:tcPr>
          <w:p>
            <w:r>
              <w:t>历史报告记载8899训练、467验证、2800 GRPO样本；为历史口径</w:t>
            </w:r>
          </w:p>
        </w:tc>
        <w:tc>
          <w:tcPr>
            <w:tcW w:type="dxa" w:w="3312"/>
          </w:tcPr>
          <w:p>
            <w:r>
              <w:t>源码、方法与聚合报告；不分发原始训练集或权重</w:t>
            </w:r>
          </w:p>
        </w:tc>
      </w:tr>
    </w:tbl>
    <w:p>
      <w:r>
        <w:t>生成题1530道带非空资料引用，可按来源标签追溯数据进入系统的途径。第三方材料及其派生内容遵循相应授权范围；仓库保持私有，用于本次比赛评审。v1.0采用上述处理后内容范围；原创演示与GPU实验按各自实际数据规模说明。</w:t>
      </w:r>
    </w:p>
    <w:p>
      <w:r>
        <w:t>4090D独立部署同样从零生成36题／4讲义及虚构账号，不复制在线演示环境个人记录。GPU计时提示使用原创课程概念材料，完整提示、实际token用量、生成输出和采样在gpu-4090d/benchmark.json中提供；模型文件摘要见inventory.json，授权权重不随仓库分发。</w:t>
      </w:r>
    </w:p>
    <w:p>
      <w:pPr>
        <w:pStyle w:val="Heading1"/>
      </w:pPr>
      <w:r>
        <w:t>二、主要字段字典</w:t>
      </w:r>
    </w:p>
    <w:p>
      <w:r>
        <w:t xml:space="preserve">完整表列、类型、默认值和主键见 </w:t>
      </w:r>
      <w:hyperlink r:id="rId14">
        <w:r>
          <w:rPr>
            <w:color w:val="0563C1"/>
            <w:u w:val="single"/>
          </w:rPr>
          <w:t>字段字典</w:t>
        </w:r>
      </w:hyperlink>
      <w:r>
        <w:t>。SQLite 使用幂等建表及 ALTER 迁移，业务关联通过代码维护，并结合事务和对账验证一致性；外键强约束覆盖作为后续工程增强项。</w:t>
      </w:r>
    </w:p>
    <w:tbl>
      <w:tblPr>
        <w:tblStyle w:val="LightShading-Accent1"/>
        <w:tblW w:type="auto" w:w="0"/>
        <w:tblLook w:firstColumn="1" w:firstRow="1" w:lastColumn="0" w:lastRow="0" w:noHBand="0" w:noVBand="1" w:val="04A0"/>
      </w:tblPr>
      <w:tblGrid>
        <w:gridCol w:w="3312"/>
        <w:gridCol w:w="3312"/>
        <w:gridCol w:w="3312"/>
      </w:tblGrid>
      <w:tr>
        <w:trPr>
          <w:tblHeader/>
          <w:cantSplit/>
        </w:trPr>
        <w:tc>
          <w:tcPr>
            <w:tcW w:type="dxa" w:w="3312"/>
          </w:tcPr>
          <w:p>
            <w:r>
              <w:t>表</w:t>
            </w:r>
          </w:p>
        </w:tc>
        <w:tc>
          <w:tcPr>
            <w:tcW w:type="dxa" w:w="3312"/>
          </w:tcPr>
          <w:p>
            <w:r>
              <w:t>关键字段</w:t>
            </w:r>
          </w:p>
        </w:tc>
        <w:tc>
          <w:tcPr>
            <w:tcW w:type="dxa" w:w="3312"/>
          </w:tcPr>
          <w:p>
            <w:r>
              <w:t>语义与限制</w:t>
            </w:r>
          </w:p>
        </w:tc>
      </w:tr>
      <w:tr>
        <w:trPr>
          <w:cantSplit/>
        </w:trPr>
        <w:tc>
          <w:tcPr>
            <w:tcW w:type="dxa" w:w="3312"/>
          </w:tcPr>
          <w:p>
            <w:r>
              <w:t>courses</w:t>
            </w:r>
          </w:p>
        </w:tc>
        <w:tc>
          <w:tcPr>
            <w:tcW w:type="dxa" w:w="3312"/>
          </w:tcPr>
          <w:p>
            <w:r>
              <w:t>id、display、score、knowledge_taxonomy、enabled</w:t>
            </w:r>
          </w:p>
        </w:tc>
        <w:tc>
          <w:tcPr>
            <w:tcW w:type="dxa" w:w="3312"/>
          </w:tcPr>
          <w:p>
            <w:r>
              <w:t>课程身份、分值、大纲JSON与启用状态</w:t>
            </w:r>
          </w:p>
        </w:tc>
      </w:tr>
      <w:tr>
        <w:trPr>
          <w:cantSplit/>
        </w:trPr>
        <w:tc>
          <w:tcPr>
            <w:tcW w:type="dxa" w:w="3312"/>
          </w:tcPr>
          <w:p>
            <w:r>
              <w:t>knowledge_points</w:t>
            </w:r>
          </w:p>
        </w:tc>
        <w:tc>
          <w:tcPr>
            <w:tcW w:type="dxa" w:w="3312"/>
          </w:tcPr>
          <w:p>
            <w:r>
              <w:t>id、course_id、chapter、name、difficulty</w:t>
            </w:r>
          </w:p>
        </w:tc>
        <w:tc>
          <w:tcPr>
            <w:tcW w:type="dxa" w:w="3312"/>
          </w:tcPr>
          <w:p>
            <w:r>
              <w:t>课程下知识点；difficulty为1—5工程基线，非IRT标定</w:t>
            </w:r>
          </w:p>
        </w:tc>
      </w:tr>
      <w:tr>
        <w:trPr>
          <w:cantSplit/>
        </w:trPr>
        <w:tc>
          <w:tcPr>
            <w:tcW w:type="dxa" w:w="3312"/>
          </w:tcPr>
          <w:p>
            <w:r>
              <w:t>problems</w:t>
            </w:r>
          </w:p>
        </w:tc>
        <w:tc>
          <w:tcPr>
            <w:tcW w:type="dxa" w:w="3312"/>
          </w:tcPr>
          <w:p>
            <w:r>
              <w:t>id、course_id、source、type、stem、answer、verification_type、func_name、ref_code、citations</w:t>
            </w:r>
          </w:p>
        </w:tc>
        <w:tc>
          <w:tcPr>
            <w:tcW w:type="dxa" w:w="3312"/>
          </w:tcPr>
          <w:p>
            <w:r>
              <w:t>题干、参考答案或canonical JSON、判分类型、代码入口和出处</w:t>
            </w:r>
          </w:p>
        </w:tc>
      </w:tr>
      <w:tr>
        <w:trPr>
          <w:cantSplit/>
        </w:trPr>
        <w:tc>
          <w:tcPr>
            <w:tcW w:type="dxa" w:w="3312"/>
          </w:tcPr>
          <w:p>
            <w:r>
              <w:t>problem_knowledge</w:t>
            </w:r>
          </w:p>
        </w:tc>
        <w:tc>
          <w:tcPr>
            <w:tcW w:type="dxa" w:w="3312"/>
          </w:tcPr>
          <w:p>
            <w:r>
              <w:t>problem_id、knowledge_id、weight</w:t>
            </w:r>
          </w:p>
        </w:tc>
        <w:tc>
          <w:tcPr>
            <w:tcW w:type="dxa" w:w="3312"/>
          </w:tcPr>
          <w:p>
            <w:r>
              <w:t>题目与知识点多对多，weight默认1</w:t>
            </w:r>
          </w:p>
        </w:tc>
      </w:tr>
      <w:tr>
        <w:trPr>
          <w:cantSplit/>
        </w:trPr>
        <w:tc>
          <w:tcPr>
            <w:tcW w:type="dxa" w:w="3312"/>
          </w:tcPr>
          <w:p>
            <w:r>
              <w:t>test_cases</w:t>
            </w:r>
          </w:p>
        </w:tc>
        <w:tc>
          <w:tcPr>
            <w:tcW w:type="dxa" w:w="3312"/>
          </w:tcPr>
          <w:p>
            <w:r>
              <w:t>problem_id、input、expected_output、hidden</w:t>
            </w:r>
          </w:p>
        </w:tc>
        <w:tc>
          <w:tcPr>
            <w:tcW w:type="dxa" w:w="3312"/>
          </w:tcPr>
          <w:p>
            <w:r>
              <w:t>JSON参数与期望结果；hidden样例不直接公开细节</w:t>
            </w:r>
          </w:p>
        </w:tc>
      </w:tr>
      <w:tr>
        <w:trPr>
          <w:cantSplit/>
        </w:trPr>
        <w:tc>
          <w:tcPr>
            <w:tcW w:type="dxa" w:w="3312"/>
          </w:tcPr>
          <w:p>
            <w:r>
              <w:t>rubric_items</w:t>
            </w:r>
          </w:p>
        </w:tc>
        <w:tc>
          <w:tcPr>
            <w:tcW w:type="dxa" w:w="3312"/>
          </w:tcPr>
          <w:p>
            <w:r>
              <w:t>description、score、expected_evidence</w:t>
            </w:r>
          </w:p>
        </w:tc>
        <w:tc>
          <w:tcPr>
            <w:tcW w:type="dxa" w:w="3312"/>
          </w:tcPr>
          <w:p>
            <w:r>
              <w:t>可解释的规则得分点及分值；复杂语义结合模型说明与人工复核</w:t>
            </w:r>
          </w:p>
        </w:tc>
      </w:tr>
      <w:tr>
        <w:trPr>
          <w:cantSplit/>
        </w:trPr>
        <w:tc>
          <w:tcPr>
            <w:tcW w:type="dxa" w:w="3312"/>
          </w:tcPr>
          <w:p>
            <w:r>
              <w:t>chunks</w:t>
            </w:r>
          </w:p>
        </w:tc>
        <w:tc>
          <w:tcPr>
            <w:tcW w:type="dxa" w:w="3312"/>
          </w:tcPr>
          <w:p>
            <w:r>
              <w:t>text、course、doc_type、source、title_path、page_start、page_end、chunk_index</w:t>
            </w:r>
          </w:p>
        </w:tc>
        <w:tc>
          <w:tcPr>
            <w:tcW w:type="dxa" w:w="3312"/>
          </w:tcPr>
          <w:p>
            <w:r>
              <w:t>FTS正文及引用定位；0页表示材料无真实页码</w:t>
            </w:r>
          </w:p>
        </w:tc>
      </w:tr>
      <w:tr>
        <w:trPr>
          <w:cantSplit/>
        </w:trPr>
        <w:tc>
          <w:tcPr>
            <w:tcW w:type="dxa" w:w="3312"/>
          </w:tcPr>
          <w:p>
            <w:r>
              <w:t>chunk_hashes</w:t>
            </w:r>
          </w:p>
        </w:tc>
        <w:tc>
          <w:tcPr>
            <w:tcW w:type="dxa" w:w="3312"/>
          </w:tcPr>
          <w:p>
            <w:r>
              <w:t>hash、course、source、chunk_index</w:t>
            </w:r>
          </w:p>
        </w:tc>
        <w:tc>
          <w:tcPr>
            <w:tcW w:type="dxa" w:w="3312"/>
          </w:tcPr>
          <w:p>
            <w:r>
              <w:t>课程＋归一化正文哈希，支持内容去重</w:t>
            </w:r>
          </w:p>
        </w:tc>
      </w:tr>
      <w:tr>
        <w:trPr>
          <w:cantSplit/>
        </w:trPr>
        <w:tc>
          <w:tcPr>
            <w:tcW w:type="dxa" w:w="3312"/>
          </w:tcPr>
          <w:p>
            <w:r>
              <w:t>users</w:t>
            </w:r>
          </w:p>
        </w:tc>
        <w:tc>
          <w:tcPr>
            <w:tcW w:type="dxa" w:w="3312"/>
          </w:tcPr>
          <w:p>
            <w:r>
              <w:t>username、role、pw_hash、salt、status、资料字段</w:t>
            </w:r>
          </w:p>
        </w:tc>
        <w:tc>
          <w:tcPr>
            <w:tcW w:type="dxa" w:w="3312"/>
          </w:tcPr>
          <w:p>
            <w:r>
              <w:t>账户权限、盐化散列及个人资料；生产行和原密码不交付</w:t>
            </w:r>
          </w:p>
        </w:tc>
      </w:tr>
      <w:tr>
        <w:trPr>
          <w:cantSplit/>
        </w:trPr>
        <w:tc>
          <w:tcPr>
            <w:tcW w:type="dxa" w:w="3312"/>
          </w:tcPr>
          <w:p>
            <w:r>
              <w:t>learning_sessions / dialog_turns</w:t>
            </w:r>
          </w:p>
        </w:tc>
        <w:tc>
          <w:tcPr>
            <w:tcW w:type="dxa" w:w="3312"/>
          </w:tcPr>
          <w:p>
            <w:r>
              <w:t>username、intent、state；session_id、role、content、structured_data</w:t>
            </w:r>
          </w:p>
        </w:tc>
        <w:tc>
          <w:tcPr>
            <w:tcW w:type="dxa" w:w="3312"/>
          </w:tcPr>
          <w:p>
            <w:r>
              <w:t>学习会话、轮次、引用与生成结构；按用户归属访问</w:t>
            </w:r>
          </w:p>
        </w:tc>
      </w:tr>
      <w:tr>
        <w:trPr>
          <w:cantSplit/>
        </w:trPr>
        <w:tc>
          <w:tcPr>
            <w:tcW w:type="dxa" w:w="3312"/>
          </w:tcPr>
          <w:p>
            <w:r>
              <w:t>tutor_snapshots</w:t>
            </w:r>
          </w:p>
        </w:tc>
        <w:tc>
          <w:tcPr>
            <w:tcW w:type="dxa" w:w="3312"/>
          </w:tcPr>
          <w:p>
            <w:r>
              <w:t>db_session_id、session_id、username、snapshot</w:t>
            </w:r>
          </w:p>
        </w:tc>
        <w:tc>
          <w:tcPr>
            <w:tcW w:type="dxa" w:w="3312"/>
          </w:tcPr>
          <w:p>
            <w:r>
              <w:t>TutorGraph状态恢复，snapshot含JSON</w:t>
            </w:r>
          </w:p>
        </w:tc>
      </w:tr>
      <w:tr>
        <w:trPr>
          <w:cantSplit/>
        </w:trPr>
        <w:tc>
          <w:tcPr>
            <w:tcW w:type="dxa" w:w="3312"/>
          </w:tcPr>
          <w:p>
            <w:r>
              <w:t>practice_attempts</w:t>
            </w:r>
          </w:p>
        </w:tc>
        <w:tc>
          <w:tcPr>
            <w:tcW w:type="dxa" w:w="3312"/>
          </w:tcPr>
          <w:p>
            <w:r>
              <w:t>username、problem_id、knowledge_id、session_id、answer、score、hints_used、duration</w:t>
            </w:r>
          </w:p>
        </w:tc>
        <w:tc>
          <w:tcPr>
            <w:tcW w:type="dxa" w:w="3312"/>
          </w:tcPr>
          <w:p>
            <w:r>
              <w:t>用户作答、判分、提示及耗时秒；自由题可problem_id=0</w:t>
            </w:r>
          </w:p>
        </w:tc>
      </w:tr>
      <w:tr>
        <w:trPr>
          <w:cantSplit/>
        </w:trPr>
        <w:tc>
          <w:tcPr>
            <w:tcW w:type="dxa" w:w="3312"/>
          </w:tcPr>
          <w:p>
            <w:r>
              <w:t>error_records</w:t>
            </w:r>
          </w:p>
        </w:tc>
        <w:tc>
          <w:tcPr>
            <w:tcW w:type="dxa" w:w="3312"/>
          </w:tcPr>
          <w:p>
            <w:r>
              <w:t>error_type、diagnosis、problem_stem、student_answer、resolved、review_reason、ta_*</w:t>
            </w:r>
          </w:p>
        </w:tc>
        <w:tc>
          <w:tcPr>
            <w:tcW w:type="dxa" w:w="3312"/>
          </w:tcPr>
          <w:p>
            <w:r>
              <w:t>错因、上下文、复核和销账；tech_detail仅教学侧需审查</w:t>
            </w:r>
          </w:p>
        </w:tc>
      </w:tr>
      <w:tr>
        <w:trPr>
          <w:cantSplit/>
        </w:trPr>
        <w:tc>
          <w:tcPr>
            <w:tcW w:type="dxa" w:w="3312"/>
          </w:tcPr>
          <w:p>
            <w:r>
              <w:t>mastery_records / snapshots</w:t>
            </w:r>
          </w:p>
        </w:tc>
        <w:tc>
          <w:tcPr>
            <w:tcW w:type="dxa" w:w="3312"/>
          </w:tcPr>
          <w:p>
            <w:r>
              <w:t>mastery、confidence、state、review_stage、next_due_at</w:t>
            </w:r>
          </w:p>
        </w:tc>
        <w:tc>
          <w:tcPr>
            <w:tcW w:type="dxa" w:w="3312"/>
          </w:tcPr>
          <w:p>
            <w:r>
              <w:t>当前工程估计与追加历史；0—1值用于学习调度，统计概率标定另行研究</w:t>
            </w:r>
          </w:p>
        </w:tc>
      </w:tr>
      <w:tr>
        <w:trPr>
          <w:cantSplit/>
        </w:trPr>
        <w:tc>
          <w:tcPr>
            <w:tcW w:type="dxa" w:w="3312"/>
          </w:tcPr>
          <w:p>
            <w:r>
              <w:t>review_plans / tasks</w:t>
            </w:r>
          </w:p>
        </w:tc>
        <w:tc>
          <w:tcPr>
            <w:tcW w:type="dxa" w:w="3312"/>
          </w:tcPr>
          <w:p>
            <w:r>
              <w:t>start_date、exam_date、budget_snapshot；stage、minutes、due_from/to、tier</w:t>
            </w:r>
          </w:p>
        </w:tc>
        <w:tc>
          <w:tcPr>
            <w:tcW w:type="dxa" w:w="3312"/>
          </w:tcPr>
          <w:p>
            <w:r>
              <w:t>复习计划、预算快照、间隔、到期窗与必做选做</w:t>
            </w:r>
          </w:p>
        </w:tc>
      </w:tr>
      <w:tr>
        <w:trPr>
          <w:cantSplit/>
        </w:trPr>
        <w:tc>
          <w:tcPr>
            <w:tcW w:type="dxa" w:w="3312"/>
          </w:tcPr>
          <w:p>
            <w:r>
              <w:t>study_budgets / exceptions</w:t>
            </w:r>
          </w:p>
        </w:tc>
        <w:tc>
          <w:tcPr>
            <w:tcW w:type="dxa" w:w="3312"/>
          </w:tcPr>
          <w:p>
            <w:r>
              <w:t>weekly_minutes、intensity、buffer_weekday；date、minutes</w:t>
            </w:r>
          </w:p>
        </w:tc>
        <w:tc>
          <w:tcPr>
            <w:tcW w:type="dxa" w:w="3312"/>
          </w:tcPr>
          <w:p>
            <w:r>
              <w:t>用户级周预算和例外日期，各课程共享</w:t>
            </w:r>
          </w:p>
        </w:tc>
      </w:tr>
      <w:tr>
        <w:trPr>
          <w:cantSplit/>
        </w:trPr>
        <w:tc>
          <w:tcPr>
            <w:tcW w:type="dxa" w:w="3312"/>
          </w:tcPr>
          <w:p>
            <w:r>
              <w:t>assignments</w:t>
            </w:r>
          </w:p>
        </w:tc>
        <w:tc>
          <w:tcPr>
            <w:tcW w:type="dxa" w:w="3312"/>
          </w:tcPr>
          <w:p>
            <w:r>
              <w:t>ta_username、knowledge_ids、class_name、target_count、due_date</w:t>
            </w:r>
          </w:p>
        </w:tc>
        <w:tc>
          <w:tcPr>
            <w:tcW w:type="dxa" w:w="3312"/>
          </w:tcPr>
          <w:p>
            <w:r>
              <w:t>教学作业；完成度依据实际作答记录聚合</w:t>
            </w:r>
          </w:p>
        </w:tc>
      </w:tr>
      <w:tr>
        <w:trPr>
          <w:cantSplit/>
        </w:trPr>
        <w:tc>
          <w:tcPr>
            <w:tcW w:type="dxa" w:w="3312"/>
          </w:tcPr>
          <w:p>
            <w:r>
              <w:t>review_requests</w:t>
            </w:r>
          </w:p>
        </w:tc>
        <w:tc>
          <w:tcPr>
            <w:tcW w:type="dxa" w:w="3312"/>
          </w:tcPr>
          <w:p>
            <w:r>
              <w:t>question、ai_answer、no_evidence、ta_reply、status</w:t>
            </w:r>
          </w:p>
        </w:tc>
        <w:tc>
          <w:tcPr>
            <w:tcW w:type="dxa" w:w="3312"/>
          </w:tcPr>
          <w:p>
            <w:r>
              <w:t>对非错题问答的人工复核，避免污染错题统计</w:t>
            </w:r>
          </w:p>
        </w:tc>
      </w:tr>
      <w:tr>
        <w:trPr>
          <w:cantSplit/>
        </w:trPr>
        <w:tc>
          <w:tcPr>
            <w:tcW w:type="dxa" w:w="3312"/>
          </w:tcPr>
          <w:p>
            <w:r>
              <w:t>ingest_jobs</w:t>
            </w:r>
          </w:p>
        </w:tc>
        <w:tc>
          <w:tcPr>
            <w:tcW w:type="dxa" w:w="3312"/>
          </w:tcPr>
          <w:p>
            <w:r>
              <w:t>filename、stored_path、status、parsed/indexed/duplicate_chunks、uploaded_by</w:t>
            </w:r>
          </w:p>
        </w:tc>
        <w:tc>
          <w:tcPr>
            <w:tcW w:type="dxa" w:w="3312"/>
          </w:tcPr>
          <w:p>
            <w:r>
              <w:t>资料解析与生命周期；路径和上传身份按管理员权限保护</w:t>
            </w:r>
          </w:p>
        </w:tc>
      </w:tr>
    </w:tbl>
    <w:p>
      <w:pPr>
        <w:pStyle w:val="Heading1"/>
      </w:pPr>
      <w:r>
        <w:t>三、预处理流程</w:t>
      </w:r>
    </w:p>
    <w:p>
      <w:r>
        <w:t>资料：按课程／资料类型发现文件，解析PDF、PPTX、DOCX、TXT，扫描件需视觉OCR；保留页码或标题。按章节／页／标题分块，长文兜底切分；按课程与规范化文本SHA-256去重，写入FTS。撤下资料移到withdrawn，不再被raw重扫；恢复重新解析。</w:t>
      </w:r>
    </w:p>
    <w:p>
      <w:r>
        <w:t>题库：抽取／生成题统一课程与知识点，规范选项和canonical答案；代码参考解经样例检查，概念题保存得分点，生成题保存引用。题目入库与验证状态分开管理，按实际状态组织自动验证、模型辅助和人工复核；下一阶段通过答案规范化与kind扩展提升验证覆盖。训练样本通过格式、结构与验证筛选，按课程／任务组织；复训时依据实际资产重新审计held-out与训练去重。</w:t>
      </w:r>
    </w:p>
    <w:p>
      <w:r>
        <w:t>学习记录：统一judge_answer判分后保存作答、更新掌握度、存错题／销错题，复习与班级统计读相同关联。教师复核保留AI原错因，向学生提供结论和备注；合成示例明确标注来源，不作为真人实验样本。</w:t>
      </w:r>
    </w:p>
    <w:p>
      <w:pPr>
        <w:pStyle w:val="Heading1"/>
      </w:pPr>
      <w:r>
        <w:t>四、脱敏与交付策略</w:t>
      </w:r>
    </w:p>
    <w:p>
      <w:r>
        <w:t>下载包从内容表白名单导出处理后数据，从零创建虚构身份；初始作答、会话、学习记录、复核及通知等个人表为空，签名密钥按实例独立生成。ACCESS.md仅管理本地演示账号，其密码与线上凭据分离；线上评审账号通过比赛指定渠道单独交付。真实姓名、学号、手机号、邮箱及头像不进入演示库，合成班级显式命名比赛演示班。</w:t>
      </w:r>
    </w:p>
    <w:p>
      <w:r>
        <w:t>独立测试只从白名单courses/app_settings/knowledge_points/problems/test_cases/rubric_items/problem_knowledge读取内容表，复制FTS供实际规模测试；身份与行为全新。最终数据包从内容表白名单独立导出，app_settings与FTS构建环境元信息保持为空；评审账号重新创建。发布前扫描提交文件、ZIP/DOCX结构、已知线上密钥字节和运行库，核对导出清单及脱敏结果。</w:t>
      </w:r>
    </w:p>
    <w:p>
      <w:r>
        <w:t>实验数据JSON采用内容表白名单聚合、schema与源码摘要，省略实际部署位置、用户统计和个人行为信息。ACCESS.md提供本地虚构演示凭据；公开数据授权与来源署名按PUBLICATION.md及第三方说明分别核对。</w:t>
      </w:r>
    </w:p>
    <w:p>
      <w:pPr>
        <w:pStyle w:val="Heading1"/>
      </w:pPr>
      <w:r>
        <w:t>五、适用范围与合规要求</w:t>
      </w:r>
    </w:p>
    <w:p>
      <w:r>
        <w:t>处理后内容包提供四课程完整内容部署与比赛评审；源码bootstrap另提供原创轻量复现样例。来源署名与脱敏分别管理：署名用于追溯，脱敏用于保护个人信息。第三方教材、课件、真题、OCR及派生样本遵循权利人授权，公开、训练及商业再分发按对应许可执行。</w:t>
      </w:r>
    </w:p>
    <w:p>
      <w:r>
        <w:t>合成学习轨迹用于业务流程验证，历史teacher-gold用于蒸馏一致性评价；真实学生分布、长期教育效果和掌握度参数标定需另设真人样本与独立评价设计。个人信息遵循最小化处理原则，禁止重识别、关联学校名单或对外传播。模型API开启时，按供应商数据政策和学校规定审查输入，身份或受限版权材料须完成合规审查后方可发送。</w:t>
      </w:r>
    </w:p>
    <w:sectPr w:rsidR="00FC693F" w:rsidRPr="0006063C" w:rsidSect="00034616">
      <w:headerReference w:type="default" r:id="rId9"/>
      <w:footerReference w:type="default" r:id="rId10"/>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正式提交版本 V1.0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CourseLoop · 比赛交付材料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eastAsia="Droid Sans Fallback"/>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Droid Sans Fallback"/>
      <w:b/>
      <w:bCs/>
      <w:color w:val="253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Droid Sans Fallback"/>
      <w:b/>
      <w:bCs/>
      <w:color w:val="2536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Droid Sans Fallback"/>
      <w:b/>
      <w:bCs/>
      <w:color w:val="2536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Droid Sans Fallback"/>
      <w:color w:val="2536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ccccrj/courseloop-competition-submission/blob/v1.0/artifacts/evidence/evaluation-inventory.json" TargetMode="External"/><Relationship Id="rId12" Type="http://schemas.openxmlformats.org/officeDocument/2006/relationships/hyperlink" Target="https://github.com/cccccrj/courseloop-competition-submission/blob/v1.0/docs/submission/%E5%A4%84%E7%90%86%E5%90%8E%E6%95%B0%E6%8D%AE%E4%BA%A4%E4%BB%98%E8%8C%83%E5%9B%B4.md" TargetMode="External"/><Relationship Id="rId13" Type="http://schemas.openxmlformats.org/officeDocument/2006/relationships/hyperlink" Target="https://github.com/cccccrj/courseloop-competition-submission/blob/v1.0/docs/submission/processed-data-inventory.json" TargetMode="External"/><Relationship Id="rId14" Type="http://schemas.openxmlformats.org/officeDocument/2006/relationships/hyperlink" Target="https://github.com/cccccrj/courseloop-competition-submission/blob/v1.0/docs/submission/data-dictionary.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Submission project contributors</dc:creator>
  <cp:keywords/>
  <dc:description>generated by python-docx</dc:description>
  <cp:lastModifiedBy>Submission report generator</cp:lastModifiedBy>
  <cp:revision>1</cp:revision>
  <dcterms:created xsi:type="dcterms:W3CDTF">2013-12-23T23:15:00Z</dcterms:created>
  <dcterms:modified xsi:type="dcterms:W3CDTF">2013-12-23T23:15:00Z</dcterms:modified>
  <cp:category/>
</cp:coreProperties>
</file>