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CourseLoop 模型与算法说明</w:t>
      </w:r>
    </w:p>
    <w:p>
      <w:r>
        <w:t>本文分别说明当前线上配置、可选工程实现和历史训练实验。参数从提交源码读取；历史训练指标在本文按各自实验条件汇总，本轮实测以正式证据目录为准。</w:t>
      </w:r>
    </w:p>
    <w:p>
      <w:pPr>
        <w:pStyle w:val="Heading1"/>
      </w:pPr>
      <w:r>
        <w:t>一、当前模型配置与任务分工</w:t>
      </w:r>
    </w:p>
    <w:p>
      <w:r>
        <w:t>线上模型：workhorse=deepseek-v3，expert=qwen3-max，reasoner=deepseek-r1，vision=qwen3-vl-30b-a3b-instruct，RAG=fts5。视觉通过智增增OpenAI兼容端点独立配置密钥，不改变文本请求路由；API密钥和签名密钥不交付。可按任务替换端点、凭据、model alias和温度。</w:t>
      </w:r>
    </w:p>
    <w:p>
      <w:r>
        <w:t>视觉模型选择：转写使用instruct而非thinking模型，temperature=0.0、max_tokens=2048，并要求看不清写[?]、不补写图片没有的步骤。2026-10-09核查</w:t>
      </w:r>
      <w:hyperlink r:id="rId11">
        <w:r>
          <w:rPr>
            <w:color w:val="0563C1"/>
            <w:u w:val="single"/>
          </w:rPr>
          <w:t>智增增官方价目</w:t>
        </w:r>
      </w:hyperlink>
      <w:r>
        <w:t>，该模型列示输入0.00075元/千tokens、输出0.003元/千tokens（即0.75/3元每百万tokens）；页面另说明千问折扣，实际账单以账户计费为准，不把标价或估算作为实付费用。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配置／参数</w:t>
            </w:r>
          </w:p>
        </w:tc>
        <w:tc>
          <w:tcPr>
            <w:tcW w:type="dxa" w:w="3312"/>
          </w:tcPr>
          <w:p>
            <w:r>
              <w:t>默认值</w:t>
            </w:r>
          </w:p>
        </w:tc>
        <w:tc>
          <w:tcPr>
            <w:tcW w:type="dxa" w:w="3312"/>
          </w:tcPr>
          <w:p>
            <w:r>
              <w:t>含义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expert/workhorse/reasoner/vision温度</w:t>
            </w:r>
          </w:p>
        </w:tc>
        <w:tc>
          <w:tcPr>
            <w:tcW w:type="dxa" w:w="3312"/>
          </w:tcPr>
          <w:p>
            <w:r>
              <w:t>0.1 / 0.3 / 0.4 / 0.0</w:t>
            </w:r>
          </w:p>
        </w:tc>
        <w:tc>
          <w:tcPr>
            <w:tcW w:type="dxa" w:w="3312"/>
          </w:tcPr>
          <w:p>
            <w:r>
              <w:t>视觉采用低温忠实转写，其余为对应角色设置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task diagnose/solve/grounded_qa/practice上限</w:t>
            </w:r>
          </w:p>
        </w:tc>
        <w:tc>
          <w:tcPr>
            <w:tcW w:type="dxa" w:w="3312"/>
          </w:tcPr>
          <w:p>
            <w:r>
              <w:t>768 / 1024 / 512 / 1024 tokens</w:t>
            </w:r>
          </w:p>
        </w:tc>
        <w:tc>
          <w:tcPr>
            <w:tcW w:type="dxa" w:w="3312"/>
          </w:tcPr>
          <w:p>
            <w:r>
              <w:t>ask_task路径的默认上限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独立任务温度</w:t>
            </w:r>
          </w:p>
        </w:tc>
        <w:tc>
          <w:tcPr>
            <w:tcW w:type="dxa" w:w="3312"/>
          </w:tcPr>
          <w:p>
            <w:r>
              <w:t>0.0</w:t>
            </w:r>
          </w:p>
        </w:tc>
        <w:tc>
          <w:tcPr>
            <w:tcW w:type="dxa" w:w="3312"/>
          </w:tcPr>
          <w:p>
            <w:r>
              <w:t>已配置独立任务路由时使用，否则回退workhorse温度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客户端HTTP超时</w:t>
            </w:r>
          </w:p>
        </w:tc>
        <w:tc>
          <w:tcPr>
            <w:tcW w:type="dxa" w:w="3312"/>
          </w:tcPr>
          <w:p>
            <w:r>
              <w:t>600秒，connect10秒</w:t>
            </w:r>
          </w:p>
        </w:tc>
        <w:tc>
          <w:tcPr>
            <w:tcW w:type="dxa" w:w="3312"/>
          </w:tcPr>
          <w:p>
            <w:r>
              <w:t>客户端默认重试；响应性能按实际链路测试结果评价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CL_LLM_NO_THINK</w:t>
            </w:r>
          </w:p>
        </w:tc>
        <w:tc>
          <w:tcPr>
            <w:tcW w:type="dxa" w:w="3312"/>
          </w:tcPr>
          <w:p>
            <w:r>
              <w:t>False</w:t>
            </w:r>
          </w:p>
        </w:tc>
        <w:tc>
          <w:tcPr>
            <w:tcW w:type="dxa" w:w="3312"/>
          </w:tcPr>
          <w:p>
            <w:r>
              <w:t>本地no-think微调模型可关闭Qwen3模板思考模式</w:t>
            </w:r>
          </w:p>
        </w:tc>
      </w:tr>
    </w:tbl>
    <w:p>
      <w:r>
        <w:t>参数适用范围：学习大厅使用ask_reasoner_stream，该路径当前由供应商默认输出限制控制；表中grounded_qa=512等上限适用于ask_task路径。token、final、citation、verify、error、done等SSE事件分别表示流、最终文、依据、校验、错误和结束。引用事件提供来源追溯，verify按实际校验类型提供检查结果；逐句事实支持需结合所引内容核查。</w:t>
      </w:r>
    </w:p>
    <w:p>
      <w:pPr>
        <w:pStyle w:val="Heading1"/>
      </w:pPr>
      <w:r>
        <w:t>二、检索与资料工程</w:t>
      </w:r>
    </w:p>
    <w:p>
      <w:pPr>
        <w:pStyle w:val="Heading2"/>
      </w:pPr>
      <w:r>
        <w:t>算法与源码入口对照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方法</w:t>
            </w:r>
          </w:p>
        </w:tc>
        <w:tc>
          <w:tcPr>
            <w:tcW w:type="dxa" w:w="3312"/>
          </w:tcPr>
          <w:p>
            <w:r>
              <w:t>实现入口</w:t>
            </w:r>
          </w:p>
        </w:tc>
        <w:tc>
          <w:tcPr>
            <w:tcW w:type="dxa" w:w="3312"/>
          </w:tcPr>
          <w:p>
            <w:r>
              <w:t>输入、输出与配置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FTS检索／可选向量检索</w:t>
            </w:r>
          </w:p>
        </w:tc>
        <w:tc>
          <w:tcPr>
            <w:tcW w:type="dxa" w:w="3312"/>
          </w:tcPr>
          <w:p>
            <w:r/>
            <w:hyperlink r:id="rId12">
              <w:r>
                <w:rPr>
                  <w:color w:val="0563C1"/>
                  <w:u w:val="single"/>
                </w:rPr>
                <w:t>retriever.py</w:t>
              </w:r>
            </w:hyperlink>
            <w:r>
              <w:t>、</w:t>
            </w:r>
            <w:hyperlink r:id="rId13">
              <w:r>
                <w:rPr>
                  <w:color w:val="0563C1"/>
                  <w:u w:val="single"/>
                </w:rPr>
                <w:t>indexer.py</w:t>
              </w:r>
            </w:hyperlink>
            <w:r/>
          </w:p>
        </w:tc>
        <w:tc>
          <w:tcPr>
            <w:tcW w:type="dxa" w:w="3312"/>
          </w:tcPr>
          <w:p>
            <w:r>
              <w:t>查询＋课程范围→带来源的Hit；FTS5 trigram／BM25；向量top_k=8、rerank_top_n=3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资料分块与入库</w:t>
            </w:r>
          </w:p>
        </w:tc>
        <w:tc>
          <w:tcPr>
            <w:tcW w:type="dxa" w:w="3312"/>
          </w:tcPr>
          <w:p>
            <w:r/>
            <w:hyperlink r:id="rId14">
              <w:r>
                <w:rPr>
                  <w:color w:val="0563C1"/>
                  <w:u w:val="single"/>
                </w:rPr>
                <w:t>chunking.py</w:t>
              </w:r>
            </w:hyperlink>
            <w:r>
              <w:t>、</w:t>
            </w:r>
            <w:hyperlink r:id="rId15">
              <w:r>
                <w:rPr>
                  <w:color w:val="0563C1"/>
                  <w:u w:val="single"/>
                </w:rPr>
                <w:t>ingest.py</w:t>
              </w:r>
            </w:hyperlink>
            <w:r/>
          </w:p>
        </w:tc>
        <w:tc>
          <w:tcPr>
            <w:tcW w:type="dxa" w:w="3312"/>
          </w:tcPr>
          <w:p>
            <w:r>
              <w:t>解析页／标题→引用块及去重记录；结构化120～1200字符、重叠120；兜底1000／200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数值／代码／规则验证</w:t>
            </w:r>
          </w:p>
        </w:tc>
        <w:tc>
          <w:tcPr>
            <w:tcW w:type="dxa" w:w="3312"/>
          </w:tcPr>
          <w:p>
            <w:r/>
            <w:hyperlink r:id="rId16">
              <w:r>
                <w:rPr>
                  <w:color w:val="0563C1"/>
                  <w:u w:val="single"/>
                </w:rPr>
                <w:t>numeric_checker.py</w:t>
              </w:r>
            </w:hyperlink>
            <w:r>
              <w:t>、</w:t>
            </w:r>
            <w:hyperlink r:id="rId17">
              <w:r>
                <w:rPr>
                  <w:color w:val="0563C1"/>
                  <w:u w:val="single"/>
                </w:rPr>
                <w:t>unit_test_runner.py</w:t>
              </w:r>
            </w:hyperlink>
            <w:r>
              <w:t>、</w:t>
            </w:r>
            <w:hyperlink r:id="rId18">
              <w:r>
                <w:rPr>
                  <w:color w:val="0563C1"/>
                  <w:u w:val="single"/>
                </w:rPr>
                <w:t>rule_checker.py</w:t>
              </w:r>
            </w:hyperlink>
            <w:r/>
          </w:p>
        </w:tc>
        <w:tc>
          <w:tcPr>
            <w:tcW w:type="dxa" w:w="3312"/>
          </w:tcPr>
          <w:p>
            <w:r>
              <w:t>canonical答案／代码样例／得分点→True、False或待判定；不同题型采用对应验证器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判分与原子回写</w:t>
            </w:r>
          </w:p>
        </w:tc>
        <w:tc>
          <w:tcPr>
            <w:tcW w:type="dxa" w:w="3312"/>
          </w:tcPr>
          <w:p>
            <w:r/>
            <w:hyperlink r:id="rId19">
              <w:r>
                <w:rPr>
                  <w:color w:val="0563C1"/>
                  <w:u w:val="single"/>
                </w:rPr>
                <w:t>core_routes.py：judge_answer／_writeback</w:t>
              </w:r>
            </w:hyperlink>
            <w:r>
              <w:t>、</w:t>
            </w:r>
            <w:hyperlink r:id="rId20">
              <w:r>
                <w:rPr>
                  <w:color w:val="0563C1"/>
                  <w:u w:val="single"/>
                </w:rPr>
                <w:t>db.py</w:t>
              </w:r>
            </w:hyperlink>
            <w:r/>
          </w:p>
        </w:tc>
        <w:tc>
          <w:tcPr>
            <w:tcW w:type="dxa" w:w="3312"/>
          </w:tcPr>
          <w:p>
            <w:r>
              <w:t>作答→判分、掌握度及错题；BEGIN IMMEDIATE事务；普通连接上限8、独立写者通道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掌握度与遗忘</w:t>
            </w:r>
          </w:p>
        </w:tc>
        <w:tc>
          <w:tcPr>
            <w:tcW w:type="dxa" w:w="3312"/>
          </w:tcPr>
          <w:p>
            <w:r/>
            <w:hyperlink r:id="rId21">
              <w:r>
                <w:rPr>
                  <w:color w:val="0563C1"/>
                  <w:u w:val="single"/>
                </w:rPr>
                <w:t>mastery.py：update_mastery／apply_forgetting</w:t>
              </w:r>
            </w:hyperlink>
            <w:r/>
          </w:p>
        </w:tc>
        <w:tc>
          <w:tcPr>
            <w:tcW w:type="dxa" w:w="3312"/>
          </w:tcPr>
          <w:p>
            <w:r>
              <w:t>当前值、正确性、难度、提示→更新值；gain基线0.22、drop为0.18／0.28、半衰期14天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间隔复习与预算</w:t>
            </w:r>
          </w:p>
        </w:tc>
        <w:tc>
          <w:tcPr>
            <w:tcW w:type="dxa" w:w="3312"/>
          </w:tcPr>
          <w:p>
            <w:r/>
            <w:hyperlink r:id="rId22">
              <w:r>
                <w:rPr>
                  <w:color w:val="0563C1"/>
                  <w:u w:val="single"/>
                </w:rPr>
                <w:t>spaced_review.py</w:t>
              </w:r>
            </w:hyperlink>
            <w:r>
              <w:t>、</w:t>
            </w:r>
            <w:hyperlink r:id="rId23">
              <w:r>
                <w:rPr>
                  <w:color w:val="0563C1"/>
                  <w:u w:val="single"/>
                </w:rPr>
                <w:t>study_budget.py</w:t>
              </w:r>
            </w:hyperlink>
            <w:r/>
          </w:p>
        </w:tc>
        <w:tc>
          <w:tcPr>
            <w:tcW w:type="dxa" w:w="3312"/>
          </w:tcPr>
          <w:p>
            <w:r>
              <w:t>学情与周预算→优先级、到期窗和计划；间隔1／3／7／14／30天、core占比0.6、每天最多3项core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SFT／GRPO训练</w:t>
            </w:r>
          </w:p>
        </w:tc>
        <w:tc>
          <w:tcPr>
            <w:tcW w:type="dxa" w:w="3312"/>
          </w:tcPr>
          <w:p>
            <w:r/>
            <w:hyperlink r:id="rId24">
              <w:r>
                <w:rPr>
                  <w:color w:val="0563C1"/>
                  <w:u w:val="single"/>
                </w:rPr>
                <w:t>train_sft.py</w:t>
              </w:r>
            </w:hyperlink>
            <w:r>
              <w:t>、</w:t>
            </w:r>
            <w:hyperlink r:id="rId25">
              <w:r>
                <w:rPr>
                  <w:color w:val="0563C1"/>
                  <w:u w:val="single"/>
                </w:rPr>
                <w:t>train_grpo.py</w:t>
              </w:r>
            </w:hyperlink>
            <w:r>
              <w:t>、</w:t>
            </w:r>
            <w:hyperlink r:id="rId26">
              <w:r>
                <w:rPr>
                  <w:color w:val="0563C1"/>
                  <w:u w:val="single"/>
                </w:rPr>
                <w:t>grpo_rewards.py</w:t>
              </w:r>
            </w:hyperlink>
            <w:r/>
          </w:p>
        </w:tc>
        <w:tc>
          <w:tcPr>
            <w:tcW w:type="dxa" w:w="3312"/>
          </w:tcPr>
          <w:p>
            <w:r>
              <w:t>授权messages数据→LoRA及训练记录；QLoRA rank16／alpha32；GRPO默认G=6，奖励按脚本配置</w:t>
            </w:r>
          </w:p>
        </w:tc>
      </w:tr>
    </w:tbl>
    <w:p>
      <w:r>
        <w:t>配置总入口：</w:t>
      </w:r>
      <w:hyperlink r:id="rId27">
        <w:r>
          <w:rPr>
            <w:color w:val="0563C1"/>
            <w:u w:val="single"/>
          </w:rPr>
          <w:t>config.py</w:t>
        </w:r>
      </w:hyperlink>
      <w:r>
        <w:t xml:space="preserve">。当前线上API、历史训练与4090D推理分别见本节、第五节及 </w:t>
      </w:r>
      <w:hyperlink r:id="rId28">
        <w:r>
          <w:rPr>
            <w:color w:val="0563C1"/>
            <w:u w:val="single"/>
          </w:rPr>
          <w:t>08专项报告</w:t>
        </w:r>
      </w:hyperlink>
      <w:r>
        <w:t>，采用各自模型与数据条件。</w:t>
      </w:r>
    </w:p>
    <w:p>
      <w:r>
        <w:t>线上FTS5采用trigram索引与BM25排名，课程和doc_type过滤后返回统一Hit；top_n通常3。向量分支可选BGE-M3嵌入、Chroma持久库和BGE Reranker；默认top_k8、rerank_top_n3，设备auto。本轮采用轻量FTS5路线，向量权重由部署者另行准备，向量模型GPU时延按07扩展协议专项验证；已完成的本地文本GPU推理见08。</w:t>
      </w:r>
    </w:p>
    <w:p>
      <w:r>
        <w:t>结构化分块常量MIN_CHARS120、MAX_CHARS1200、OVERLAP120；固定兜底窗口1000、重叠200。解析器按格式使用章节、页或标题路径进行结构化切分，固定窗口用于兜底。去重键为课程与归一化文本哈希；同文跨课程独立保留。引用定位到source/title_path/page_start/page_end，Word/TXT采用标题路径定位。</w:t>
      </w:r>
    </w:p>
    <w:p>
      <w:r>
        <w:t>检索评价分层开展：历史42例评测检查指定来源与章节关键词，去重后来源锚点命中率为92.9%，等价来源在该口径下可能记为未命中；本轮四课程4例验证课程过滤与非空检索链路，4/4通过。检索相关性与生成回答正确率分别使用独立标注集评价。</w:t>
      </w:r>
    </w:p>
    <w:p>
      <w:pPr>
        <w:pStyle w:val="Heading1"/>
      </w:pPr>
      <w:r>
        <w:t>三、确定性验证与诊断</w:t>
      </w:r>
    </w:p>
    <w:p>
      <w:r>
        <w:t>数值验证：canonical JSON按kind分派choice/int/scalar/percent/bits/ipv4net/set。归一化支持字母集合、整数、容差浮点、百分比、位串、网段和集合。未知kind或解析失败返回None；numeric无法确定时业务可调用LLM作概念兜底。</w:t>
      </w:r>
    </w:p>
    <w:p>
      <w:r>
        <w:t>代码验证：将代码、函数和测试样例送入独立Python子进程，限制CPU、地址空间并设置外部timeout，样例可标hidden。结果包含通过率和首个未通过样例；技术原文写入可审查字段，学生侧显示业务说明。当前提供资源受限执行能力，公网任意代码部署需另行配置系统调用、网络和文件访问隔离；敌对逃逸验证纳入专项安全测试范围。</w:t>
      </w:r>
    </w:p>
    <w:p>
      <w:r>
        <w:t>规则验证：按expected_evidence／description匹配得分点，再按rubric score加权生成部分比例，为概念题提供可解释的评分依据。模型补充解释，复杂语义和争议结果结合人工复核。解题、练习和模考复用judge_answer，统一判分口径；模考逐题保存结果并支持断线续阅。</w:t>
      </w:r>
    </w:p>
    <w:p>
      <w:r>
        <w:t>诊断：结构化输出correct、first_wrong_step、error_tags、diagnosis、reexplain/remediation。十类错因由受控taxonomy定义，并映射后续动作。careless必须有同知识点历史正确作答；首错标注在代码题与编号步骤题中口径不同，模型准确率须用独立人工标注再验证。</w:t>
      </w:r>
    </w:p>
    <w:p>
      <w:pPr>
        <w:pStyle w:val="Heading1"/>
      </w:pPr>
      <w:r>
        <w:t>四、TutorGraph与学习模型</w:t>
      </w:r>
    </w:p>
    <w:p>
      <w:r>
        <w:t>五状态、五级提示串联思路、提示、诊断、纠正、变式和复测。解析预热是后台任务，复用结果时校验原题身份。variant切换当前题目和参考答案，持久化快照支持服务重启后续接。变式生成与验证状态分别记录，异常或待验证结果按其实际状态处理。</w:t>
      </w:r>
    </w:p>
    <w:p>
      <w:r>
        <w:t>正确更新：d=0.6+0.2×clip(difficulty/5)，h=1−clip(0.15×hints,0,0.6)，gain=0.22×d×h（教师确认额外0.08），m'=clip(m+gain×(1−m))。错误更新：drop普通0.18、稳定概念错误0.28，m'=clip(m−drop×(0.4+m))。结果四舍五入4位。</w:t>
      </w:r>
    </w:p>
    <w:p>
      <w:r>
        <w:t>遗忘：m_eff=m×(0.3+0.7×0.5^(days/14))，保留部分基础记忆。状态not_started/learning/fragile/mastered/needs_review/misconception，掌握阈值0.8；状态函数接收原始掌握度并结合间隔判定，久未练的高掌握原值转needs_review，确保衰减处理口径一致。confidence函数1−exp(−attempts/3)与业务回写逐次增加0.15、上限0.95分别用于对应路径，均为工程启发式，统计概率标定列入后续研究。</w:t>
      </w:r>
    </w:p>
    <w:p>
      <w:r>
        <w:t>优先级：2×(1−mastery)+0.5×error_freq+0.05×max(0,days_since−7)+前置知识0.5；未探索且无错误时基础项×0.75。间隔1/3/7/14/30天；答错回退stage0，hints≥2不进阶。任务按mastery&lt;0.4重讲基础、&lt;0.7强化、其余查漏组织；全局预算按课程分值分摊，滚动排期有core/optional与到期窗。</w:t>
      </w:r>
    </w:p>
    <w:p>
      <w:r>
        <w:t>当前常数采用可解释的工程启发式，合成轨迹用于流程与算法性质验证。长期真人数据标定、遗忘曲线与IRT拟合作为后续独立研究方向。</w:t>
      </w:r>
    </w:p>
    <w:p>
      <w:pPr>
        <w:pStyle w:val="Heading1"/>
      </w:pPr>
      <w:r>
        <w:t>五、历史SFT与GRPO：原理、实现、参数</w:t>
      </w:r>
    </w:p>
    <w:p>
      <w:r>
        <w:t>QLoRA：基座Qwen3-14B NF4，使用Unsloth、transformers/datasets/TRL开展低秩适配多任务训练。通过messages格式和Qwen3 chat template准备样本，只对assistant段计算loss。rank16、alpha32、max_seq4096、microbatch2、accum4、lr2e-4、2epochs；脚本支持adapter增量和checkpoint resume。</w:t>
      </w:r>
    </w:p>
    <w:p>
      <w:r>
        <w:t>历史数据：8899 train、467 held-out验证；增量新数据2850与旧样本replay形成4563；GRPO旧集2800，规模按原报告归档。本轮交付方法、源码与聚合报告；复训另行准备获授权的原始数据与权重，并重新完成资产审计、查重和划分冻结。</w:t>
      </w:r>
    </w:p>
    <w:p>
      <w:r>
        <w:t>GRPO从SFT adapter续训，对每题多候选采样，按组相对奖励优化；默认G=6，脚本中的格式、字段和可验证答案奖励见grpo_rewards.py。评价分别报告格式合法率、teacher一致性和基于独立人工金标的答案正确率，确保各指标含义清晰。</w:t>
      </w:r>
    </w:p>
    <w:p>
      <w:r>
        <w:t>历史训练聚合结果：总体JSON合法率由SFT93.8%提高至+GRPO94.9%，120题抽样teacher答案一致率两组均为57.5%。这组实验分别记录结构化输出改善与答案一致性表现，为后续奖励设计提供依据。以上指标采用历史实验的数据与模型条件；本轮GPU推理性能按08专项报告的独立协议评价。</w:t>
      </w:r>
    </w:p>
    <w:p>
      <w:pPr>
        <w:pStyle w:val="Heading1"/>
      </w:pPr>
      <w:r>
        <w:t>六、复现方式与技术选型</w:t>
      </w:r>
    </w:p>
    <w:p>
      <w:r>
        <w:t>本轮支持CPU复现原创单选、代码基准、掌握度性质、FTS链路与业务契约；配置自有API密钥可复现实时讲解与视觉转写链路。同时已在4090D上加载现有Qwen3-14B-FP8与rank16／alpha32 LoRA，完成本地GPU推理和应用接入验收，参数、依赖锁、权重SHA256及实测结果见08。该推理实验使用FP8基座，历史SFT训练采用NF4，两种量化条件分别记录；本轮按现有模型推理执行。SFT／GRPO复训及向量GPU基准按07扩展协议另设独立环境；requirements-research提供可选研究依赖参考。</w:t>
      </w:r>
    </w:p>
    <w:p>
      <w:r>
        <w:t xml:space="preserve">查询层采用人工编写的参数化SQL、热查询索引与课程范围CTE物化，实现业务查询优化。技术路线聚焦检索、信息处理、判分与学习调度。GPU实验登记硬件、驱动、模型哈希、提示／数据、tokens与重复次数；后续扩展依 </w:t>
      </w:r>
      <w:hyperlink r:id="rId29">
        <w:r>
          <w:rPr>
            <w:color w:val="0563C1"/>
            <w:u w:val="single"/>
          </w:rPr>
          <w:t>07协议</w:t>
        </w:r>
      </w:hyperlink>
      <w:r>
        <w:t>保持同一证据口径。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CourseLoop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.zhizengzeng.com/doc-3979947" TargetMode="External"/><Relationship Id="rId12" Type="http://schemas.openxmlformats.org/officeDocument/2006/relationships/hyperlink" Target="https://github.com/cccccrj/courseloop-competition-submission/blob/v1.0/backend/rag/retriever.py" TargetMode="External"/><Relationship Id="rId13" Type="http://schemas.openxmlformats.org/officeDocument/2006/relationships/hyperlink" Target="https://github.com/cccccrj/courseloop-competition-submission/blob/v1.0/backend/rag/indexer.py" TargetMode="External"/><Relationship Id="rId14" Type="http://schemas.openxmlformats.org/officeDocument/2006/relationships/hyperlink" Target="https://github.com/cccccrj/courseloop-competition-submission/blob/v1.0/backend/rag/chunking.py" TargetMode="External"/><Relationship Id="rId15" Type="http://schemas.openxmlformats.org/officeDocument/2006/relationships/hyperlink" Target="https://github.com/cccccrj/courseloop-competition-submission/blob/v1.0/backend/rag/ingest.py" TargetMode="External"/><Relationship Id="rId16" Type="http://schemas.openxmlformats.org/officeDocument/2006/relationships/hyperlink" Target="https://github.com/cccccrj/courseloop-competition-submission/blob/v1.0/backend/verification/numeric_checker.py" TargetMode="External"/><Relationship Id="rId17" Type="http://schemas.openxmlformats.org/officeDocument/2006/relationships/hyperlink" Target="https://github.com/cccccrj/courseloop-competition-submission/blob/v1.0/backend/verification/unit_test_runner.py" TargetMode="External"/><Relationship Id="rId18" Type="http://schemas.openxmlformats.org/officeDocument/2006/relationships/hyperlink" Target="https://github.com/cccccrj/courseloop-competition-submission/blob/v1.0/backend/verification/rule_checker.py" TargetMode="External"/><Relationship Id="rId19" Type="http://schemas.openxmlformats.org/officeDocument/2006/relationships/hyperlink" Target="https://github.com/cccccrj/courseloop-competition-submission/blob/v1.0/backend/api/core_routes.py" TargetMode="External"/><Relationship Id="rId20" Type="http://schemas.openxmlformats.org/officeDocument/2006/relationships/hyperlink" Target="https://github.com/cccccrj/courseloop-competition-submission/blob/v1.0/backend/core/db.py" TargetMode="External"/><Relationship Id="rId21" Type="http://schemas.openxmlformats.org/officeDocument/2006/relationships/hyperlink" Target="https://github.com/cccccrj/courseloop-competition-submission/blob/v1.0/backend/learning/mastery.py" TargetMode="External"/><Relationship Id="rId22" Type="http://schemas.openxmlformats.org/officeDocument/2006/relationships/hyperlink" Target="https://github.com/cccccrj/courseloop-competition-submission/blob/v1.0/backend/learning/spaced_review.py" TargetMode="External"/><Relationship Id="rId23" Type="http://schemas.openxmlformats.org/officeDocument/2006/relationships/hyperlink" Target="https://github.com/cccccrj/courseloop-competition-submission/blob/v1.0/backend/learning/study_budget.py" TargetMode="External"/><Relationship Id="rId24" Type="http://schemas.openxmlformats.org/officeDocument/2006/relationships/hyperlink" Target="https://github.com/cccccrj/courseloop-competition-submission/blob/v1.0/scripts/train_sft.py" TargetMode="External"/><Relationship Id="rId25" Type="http://schemas.openxmlformats.org/officeDocument/2006/relationships/hyperlink" Target="https://github.com/cccccrj/courseloop-competition-submission/blob/v1.0/scripts/train_grpo.py" TargetMode="External"/><Relationship Id="rId26" Type="http://schemas.openxmlformats.org/officeDocument/2006/relationships/hyperlink" Target="https://github.com/cccccrj/courseloop-competition-submission/blob/v1.0/scripts/grpo_rewards.py" TargetMode="External"/><Relationship Id="rId27" Type="http://schemas.openxmlformats.org/officeDocument/2006/relationships/hyperlink" Target="https://github.com/cccccrj/courseloop-competition-submission/blob/v1.0/backend/core/config.py" TargetMode="External"/><Relationship Id="rId28" Type="http://schemas.openxmlformats.org/officeDocument/2006/relationships/hyperlink" Target="https://github.com/cccccrj/courseloop-competition-submission/blob/v1.0/docs/submission/08-GPU%E9%83%A8%E7%BD%B2%E4%B8%8E%E6%80%A7%E8%83%BD%E6%8A%A5%E5%91%8A.md" TargetMode="External"/><Relationship Id="rId29" Type="http://schemas.openxmlformats.org/officeDocument/2006/relationships/hyperlink" Target="https://github.com/cccccrj/courseloop-competition-submission/blob/v1.0/docs/submission/07-%E7%89%88%E6%9C%AC%E5%86%BB%E7%BB%93%E4%B8%8E%E5%90%8E%E7%BB%AD%E6%9B%B4%E6%96%B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