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正式提交版本测试报告</w:t>
      </w:r>
    </w:p>
    <w:p>
      <w:r>
        <w:t>正式交付版本：v1.0。本报告组织已完成的业务容量、GPU实测与完整处理后内容验收，统一证据目录为artifacts/evidence/v1.0/，完整内容验收见</w:t>
      </w:r>
      <w:hyperlink r:id="rId11">
        <w:r>
          <w:rPr>
            <w:color w:val="0563C1"/>
            <w:u w:val="single"/>
          </w:rPr>
          <w:t>processed-data</w:t>
        </w:r>
      </w:hyperlink>
      <w:r>
        <w:t>。各实验保留实际源码快照、时间、输入规模与设备条件；交付编号统一不表示重新测量。提交版并发优化通过独立测试验证，视觉链路按专项API实验评价；在线演示与本地运行包分别提供功能体验和可复现部署。</w:t>
      </w:r>
    </w:p>
    <w:p>
      <w:pPr>
        <w:pStyle w:val="Heading1"/>
      </w:pPr>
      <w:r>
        <w:t>一、环境与实验设计</w:t>
      </w:r>
    </w:p>
    <w:p>
      <w:r>
        <w:t>公开交付整理验证：本轮源码回归628项通过；处理后运行副本86项功能检查通过，100次同账号并发记录完整、掌握度一致，四课程检索通过。本地演示密码已与线上凭据分离，22张非身份表逐行保持一致。部署信息与凭据扫描覆盖源码、正式报告、图像及发布附件；冻结版本的核验摘要见Release中的RELEASE-VALIDATION.json。历史容量与GPU指标继续按原实验条件呈现。</w:t>
      </w:r>
    </w:p>
    <w:p>
      <w:r>
        <w:t>测试环境容量实验使用4808题、2646检索块，只使用虚构账号、独立数据库和签名密钥。并发阶段的业务代码保持不变；功能、同账号、10/25/50用户测试串行运行。视觉路由及转写另行进行真实API验收，不影响混合业务压测模块。v1.0下载包提供4810题／2646块；原创轻量部署与GPU实验使用36题／4讲义演示数据。</w:t>
      </w:r>
    </w:p>
    <w:p>
      <w:r>
        <w:t>新增GPU交付工具的源码回归在独立云服务器应用环境执行：Python3.10.15，604项通过，见JUnit及完整日志。GPU性能与该服务器功能、浏览器、真实问答链路按08专项报告列示；业务并发模块与测试环境最终压测源码一致。</w:t>
      </w:r>
    </w:p>
    <w:p>
      <w:r>
        <w:t>单Uvicorn worker；20%确定性单选判题写入、80%业务读取；每用户思考0.1秒。10人60秒、25人120秒、50人1800秒。预设标准：错误率≤1%、整体P95≤2000ms、逐账号写入全部对账、DB quick_check=ok。本组实验验证CPU与数据库业务链路，采用所列负载和单worker配置；LLM生成吞吐、最大容量与多机性能分别通过专项实验评价。</w:t>
      </w:r>
    </w:p>
    <w:p>
      <w:pPr>
        <w:pStyle w:val="Heading1"/>
      </w:pPr>
      <w:r>
        <w:t>二、结果总表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测试组</w:t>
            </w:r>
          </w:p>
        </w:tc>
        <w:tc>
          <w:tcPr>
            <w:tcW w:type="dxa" w:w="3312"/>
          </w:tcPr>
          <w:p>
            <w:r>
              <w:t>最终实测结果</w:t>
            </w:r>
          </w:p>
        </w:tc>
        <w:tc>
          <w:tcPr>
            <w:tcW w:type="dxa" w:w="3312"/>
          </w:tcPr>
          <w:p>
            <w:r>
              <w:t>原始证据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后端源码回归</w:t>
            </w:r>
          </w:p>
        </w:tc>
        <w:tc>
          <w:tcPr>
            <w:tcW w:type="dxa" w:w="3312"/>
          </w:tcPr>
          <w:p>
            <w:r>
              <w:t>604/604通过，0失败，0跳过</w:t>
            </w:r>
          </w:p>
        </w:tc>
        <w:tc>
          <w:tcPr>
            <w:tcW w:type="dxa" w:w="3312"/>
          </w:tcPr>
          <w:p>
            <w:r>
              <w:t>backend-junit.xml、backend-tests.log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功能／权限／跨角色协同</w:t>
            </w:r>
          </w:p>
        </w:tc>
        <w:tc>
          <w:tcPr>
            <w:tcW w:type="dxa" w:w="3312"/>
          </w:tcPr>
          <w:p>
            <w:r>
              <w:t>86/86通过</w:t>
            </w:r>
          </w:p>
        </w:tc>
        <w:tc>
          <w:tcPr>
            <w:tcW w:type="dxa" w:w="3312"/>
          </w:tcPr>
          <w:p>
            <w:r>
              <w:t>functional-final.json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同账号多设备并发</w:t>
            </w:r>
          </w:p>
        </w:tc>
        <w:tc>
          <w:tcPr>
            <w:tcW w:type="dxa" w:w="3312"/>
          </w:tcPr>
          <w:p>
            <w:r>
              <w:t>100请求；记录完整=True；掌握度一致=True</w:t>
            </w:r>
          </w:p>
        </w:tc>
        <w:tc>
          <w:tcPr>
            <w:tcW w:type="dxa" w:w="3312"/>
          </w:tcPr>
          <w:p>
            <w:r>
              <w:t>same-user-final.json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导学闭环（模型桩）</w:t>
            </w:r>
          </w:p>
        </w:tc>
        <w:tc>
          <w:tcPr>
            <w:tcW w:type="dxa" w:w="3312"/>
          </w:tcPr>
          <w:p>
            <w:r>
              <w:t>14/14通过</w:t>
            </w:r>
          </w:p>
        </w:tc>
        <w:tc>
          <w:tcPr>
            <w:tcW w:type="dxa" w:w="3312"/>
          </w:tcPr>
          <w:p>
            <w:r>
              <w:t>smoke.json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运行包全新环境功能</w:t>
            </w:r>
          </w:p>
        </w:tc>
        <w:tc>
          <w:tcPr>
            <w:tcW w:type="dxa" w:w="3312"/>
          </w:tcPr>
          <w:p>
            <w:r>
              <w:t>86/86通过</w:t>
            </w:r>
          </w:p>
        </w:tc>
        <w:tc>
          <w:tcPr>
            <w:tcW w:type="dxa" w:w="3312"/>
          </w:tcPr>
          <w:p>
            <w:r>
              <w:t>functional-runtime.json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运行包浏览器</w:t>
            </w:r>
          </w:p>
        </w:tc>
        <w:tc>
          <w:tcPr>
            <w:tcW w:type="dxa" w:w="3312"/>
          </w:tcPr>
          <w:p>
            <w:r>
              <w:t>23/23通过；JS错误0</w:t>
            </w:r>
          </w:p>
        </w:tc>
        <w:tc>
          <w:tcPr>
            <w:tcW w:type="dxa" w:w="3312"/>
          </w:tcPr>
          <w:p>
            <w:r>
              <w:t>ui-final-runtime/results.json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运行包全新环境源码回归</w:t>
            </w:r>
          </w:p>
        </w:tc>
        <w:tc>
          <w:tcPr>
            <w:tcW w:type="dxa" w:w="3312"/>
          </w:tcPr>
          <w:p>
            <w:r>
              <w:t>604/604通过，0失败，0跳过</w:t>
            </w:r>
          </w:p>
        </w:tc>
        <w:tc>
          <w:tcPr>
            <w:tcW w:type="dxa" w:w="3312"/>
          </w:tcPr>
          <w:p>
            <w:r>
              <w:t>runtime-backend-junit.xml、runtime-backend-tests.log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运行包导学闭环与边界（模型桩）</w:t>
            </w:r>
          </w:p>
        </w:tc>
        <w:tc>
          <w:tcPr>
            <w:tcW w:type="dxa" w:w="3312"/>
          </w:tcPr>
          <w:p>
            <w:r>
              <w:t>14/14通过</w:t>
            </w:r>
          </w:p>
        </w:tc>
        <w:tc>
          <w:tcPr>
            <w:tcW w:type="dxa" w:w="3312"/>
          </w:tcPr>
          <w:p>
            <w:r>
              <w:t>runtime-smoke.json；runtime-algorithms.json另列算法结果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真实视觉API与公网拍照流程</w:t>
            </w:r>
          </w:p>
        </w:tc>
        <w:tc>
          <w:tcPr>
            <w:tcW w:type="dxa" w:w="3312"/>
          </w:tcPr>
          <w:p>
            <w:r>
              <w:t>2/2原创图片检查；拍照SSE=通过</w:t>
            </w:r>
          </w:p>
        </w:tc>
        <w:tc>
          <w:tcPr>
            <w:tcW w:type="dxa" w:w="3312"/>
          </w:tcPr>
          <w:p>
            <w:r>
              <w:t>vision-live.json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4090D本地GPU推理性能</w:t>
            </w:r>
          </w:p>
        </w:tc>
        <w:tc>
          <w:tcPr>
            <w:tcW w:type="dxa" w:w="3312"/>
          </w:tcPr>
          <w:p>
            <w:r>
              <w:t>70/70计时请求完成，4组负载各重复5批，GPU计算采样确认</w:t>
            </w:r>
          </w:p>
        </w:tc>
        <w:tc>
          <w:tcPr>
            <w:tcW w:type="dxa" w:w="3312"/>
          </w:tcPr>
          <w:p>
            <w:r>
              <w:t>gpu-4090d/benchmark.json；08专项报告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云GPU部署功能／协同</w:t>
            </w:r>
          </w:p>
        </w:tc>
        <w:tc>
          <w:tcPr>
            <w:tcW w:type="dxa" w:w="3312"/>
          </w:tcPr>
          <w:p>
            <w:r>
              <w:t>86/86通过；真实模型客户端接入另验收</w:t>
            </w:r>
          </w:p>
        </w:tc>
        <w:tc>
          <w:tcPr>
            <w:tcW w:type="dxa" w:w="3312"/>
          </w:tcPr>
          <w:p>
            <w:r>
              <w:t>gpu-4090d/functional.json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云GPU浏览器／角色导航</w:t>
            </w:r>
          </w:p>
        </w:tc>
        <w:tc>
          <w:tcPr>
            <w:tcW w:type="dxa" w:w="3312"/>
          </w:tcPr>
          <w:p>
            <w:r>
              <w:t>23/23通过；JS错误0</w:t>
            </w:r>
          </w:p>
        </w:tc>
        <w:tc>
          <w:tcPr>
            <w:tcW w:type="dxa" w:w="3312"/>
          </w:tcPr>
          <w:p>
            <w:r>
              <w:t>gpu-4090d/ui/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本地GPU真实应用SSE</w:t>
            </w:r>
          </w:p>
        </w:tc>
        <w:tc>
          <w:tcPr>
            <w:tcW w:type="dxa" w:w="3312"/>
          </w:tcPr>
          <w:p>
            <w:r>
              <w:t>2/2通过，检索与流式回答完成</w:t>
            </w:r>
          </w:p>
        </w:tc>
        <w:tc>
          <w:tcPr>
            <w:tcW w:type="dxa" w:w="3312"/>
          </w:tcPr>
          <w:p>
            <w:r>
              <w:t>gpu-4090d/application-sse.json</w:t>
            </w:r>
          </w:p>
        </w:tc>
      </w:tr>
    </w:tbl>
    <w:p>
      <w:pPr>
        <w:pStyle w:val="Heading1"/>
      </w:pPr>
      <w:r>
        <w:t>本次完整处理后数据验收</w:t>
      </w:r>
    </w:p>
    <w:p>
      <w:r>
        <w:t>2026-10-10通过内容表白名单导出4810题、220知识点、6086判题样例、383规则项、4980题目知识点关联及2646检索块。运行包身份全新创建，初始个人行为表为空。验收在本机临时目录和回环入口执行，写入仅发生在一次性副本；本组验证CPU／SQLite业务链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检查</w:t>
            </w:r>
          </w:p>
        </w:tc>
        <w:tc>
          <w:tcPr>
            <w:tcW w:type="dxa" w:w="3312"/>
          </w:tcPr>
          <w:p>
            <w:r>
              <w:t>实测结果</w:t>
            </w:r>
          </w:p>
        </w:tc>
        <w:tc>
          <w:tcPr>
            <w:tcW w:type="dxa" w:w="3312"/>
          </w:tcPr>
          <w:p>
            <w:r>
              <w:t>证据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最新源码回归</w:t>
            </w:r>
          </w:p>
        </w:tc>
        <w:tc>
          <w:tcPr>
            <w:tcW w:type="dxa" w:w="3312"/>
          </w:tcPr>
          <w:p>
            <w:r>
              <w:t>621项通过，0失败；其中17项文档／数据导出工具用例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</w:rPr>
                <w:t>source-tests.log</w:t>
              </w:r>
            </w:hyperlink>
            <w:r/>
          </w:p>
        </w:tc>
      </w:tr>
      <w:tr>
        <w:trPr>
          <w:cantSplit/>
        </w:trPr>
        <w:tc>
          <w:tcPr>
            <w:tcW w:type="dxa" w:w="3312"/>
          </w:tcPr>
          <w:p>
            <w:r>
              <w:t>完整内容功能／权限／协同</w:t>
            </w:r>
          </w:p>
        </w:tc>
        <w:tc>
          <w:tcPr>
            <w:tcW w:type="dxa" w:w="3312"/>
          </w:tcPr>
          <w:p>
            <w:r>
              <w:t>86/86通过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0563C1"/>
                  <w:u w:val="single"/>
                </w:rPr>
                <w:t>functional.json</w:t>
              </w:r>
            </w:hyperlink>
            <w:r/>
          </w:p>
        </w:tc>
      </w:tr>
      <w:tr>
        <w:trPr>
          <w:cantSplit/>
        </w:trPr>
        <w:tc>
          <w:tcPr>
            <w:tcW w:type="dxa" w:w="3312"/>
          </w:tcPr>
          <w:p>
            <w:r>
              <w:t>同账号并发回写</w:t>
            </w:r>
          </w:p>
        </w:tc>
        <w:tc>
          <w:tcPr>
            <w:tcW w:type="dxa" w:w="3312"/>
          </w:tcPr>
          <w:p>
            <w:r>
              <w:t>5轮、100请求，作答全部落库、掌握度与串行结果一致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</w:rPr>
                <w:t>same-user.json</w:t>
              </w:r>
            </w:hyperlink>
            <w:r/>
          </w:p>
        </w:tc>
      </w:tr>
      <w:tr>
        <w:trPr>
          <w:cantSplit/>
        </w:trPr>
        <w:tc>
          <w:tcPr>
            <w:tcW w:type="dxa" w:w="3312"/>
          </w:tcPr>
          <w:p>
            <w:r>
              <w:t>四课程检索</w:t>
            </w:r>
          </w:p>
        </w:tc>
        <w:tc>
          <w:tcPr>
            <w:tcW w:type="dxa" w:w="3312"/>
          </w:tcPr>
          <w:p>
            <w:r>
              <w:t>4组查询均返回3项结果</w:t>
            </w:r>
          </w:p>
        </w:tc>
        <w:tc>
          <w:tcPr>
            <w:tcW w:type="dxa" w:w="3312"/>
          </w:tcPr>
          <w:p>
            <w:r/>
            <w:hyperlink r:id="rId15">
              <w:r>
                <w:rPr>
                  <w:color w:val="0563C1"/>
                  <w:u w:val="single"/>
                </w:rPr>
                <w:t>acceptance.json</w:t>
              </w:r>
            </w:hyperlink>
            <w:r/>
          </w:p>
        </w:tc>
      </w:tr>
      <w:tr>
        <w:trPr>
          <w:cantSplit/>
        </w:trPr>
        <w:tc>
          <w:tcPr>
            <w:tcW w:type="dxa" w:w="3312"/>
          </w:tcPr>
          <w:p>
            <w:r>
              <w:t>初始内容与隐私结构</w:t>
            </w:r>
          </w:p>
        </w:tc>
        <w:tc>
          <w:tcPr>
            <w:tcW w:type="dxa" w:w="3312"/>
          </w:tcPr>
          <w:p>
            <w:r>
              <w:t>6类内容表保留、7个虚构身份，其他个人／实例表为空</w:t>
            </w:r>
          </w:p>
        </w:tc>
        <w:tc>
          <w:tcPr>
            <w:tcW w:type="dxa" w:w="3312"/>
          </w:tcPr>
          <w:p>
            <w:r/>
            <w:hyperlink r:id="rId16">
              <w:r>
                <w:rPr>
                  <w:color w:val="0563C1"/>
                  <w:u w:val="single"/>
                </w:rPr>
                <w:t>数据清单</w:t>
              </w:r>
            </w:hyperlink>
            <w:r/>
          </w:p>
        </w:tc>
      </w:tr>
      <w:tr>
        <w:trPr>
          <w:cantSplit/>
        </w:trPr>
        <w:tc>
          <w:tcPr>
            <w:tcW w:type="dxa" w:w="3312"/>
          </w:tcPr>
          <w:p>
            <w:r>
              <w:t>FTS跨环境部署</w:t>
            </w:r>
          </w:p>
        </w:tc>
        <w:tc>
          <w:tcPr>
            <w:tcW w:type="dxa" w:w="3312"/>
          </w:tcPr>
          <w:p>
            <w:r>
              <w:t>正文、编号与引用指纹保持一致，SQLite 3.37.2／3.51.2完整性检查均通过</w:t>
            </w:r>
          </w:p>
        </w:tc>
        <w:tc>
          <w:tcPr>
            <w:tcW w:type="dxa" w:w="3312"/>
          </w:tcPr>
          <w:p>
            <w:r/>
            <w:hyperlink r:id="rId16">
              <w:r>
                <w:rPr>
                  <w:color w:val="0563C1"/>
                  <w:u w:val="single"/>
                </w:rPr>
                <w:t>索引清单</w:t>
              </w:r>
            </w:hyperlink>
            <w:r/>
          </w:p>
        </w:tc>
      </w:tr>
    </w:tbl>
    <w:p>
      <w:r>
        <w:t>以下30分钟容量与GPU计时沿用各自已归档实测条件；新增内容包验收不替代历史设备、样本和延迟指标。</w:t>
      </w:r>
    </w:p>
    <w:p>
      <w:pPr>
        <w:pStyle w:val="Heading1"/>
      </w:pPr>
      <w:r>
        <w:t>三、高并发容量与写入一致性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419"/>
          </w:tcPr>
          <w:p>
            <w:r>
              <w:t>用户</w:t>
            </w:r>
          </w:p>
        </w:tc>
        <w:tc>
          <w:tcPr>
            <w:tcW w:type="dxa" w:w="1419"/>
          </w:tcPr>
          <w:p>
            <w:r>
              <w:t>实际时长s</w:t>
            </w:r>
          </w:p>
        </w:tc>
        <w:tc>
          <w:tcPr>
            <w:tcW w:type="dxa" w:w="1419"/>
          </w:tcPr>
          <w:p>
            <w:r>
              <w:t>请求／失败</w:t>
            </w:r>
          </w:p>
        </w:tc>
        <w:tc>
          <w:tcPr>
            <w:tcW w:type="dxa" w:w="1419"/>
          </w:tcPr>
          <w:p>
            <w:r>
              <w:t>RPS</w:t>
            </w:r>
          </w:p>
        </w:tc>
        <w:tc>
          <w:tcPr>
            <w:tcW w:type="dxa" w:w="1419"/>
          </w:tcPr>
          <w:p>
            <w:r>
              <w:t>P95 ms</w:t>
            </w:r>
          </w:p>
        </w:tc>
        <w:tc>
          <w:tcPr>
            <w:tcW w:type="dxa" w:w="1419"/>
          </w:tcPr>
          <w:p>
            <w:r>
              <w:t>写入／对账</w:t>
            </w:r>
          </w:p>
        </w:tc>
        <w:tc>
          <w:tcPr>
            <w:tcW w:type="dxa" w:w="1419"/>
          </w:tcPr>
          <w:p>
            <w:r>
              <w:t>验收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10</w:t>
            </w:r>
          </w:p>
        </w:tc>
        <w:tc>
          <w:tcPr>
            <w:tcW w:type="dxa" w:w="1419"/>
          </w:tcPr>
          <w:p>
            <w:r>
              <w:t>60.13</w:t>
            </w:r>
          </w:p>
        </w:tc>
        <w:tc>
          <w:tcPr>
            <w:tcW w:type="dxa" w:w="1419"/>
          </w:tcPr>
          <w:p>
            <w:r>
              <w:t>4586/0</w:t>
            </w:r>
          </w:p>
        </w:tc>
        <w:tc>
          <w:tcPr>
            <w:tcW w:type="dxa" w:w="1419"/>
          </w:tcPr>
          <w:p>
            <w:r>
              <w:t>76.27</w:t>
            </w:r>
          </w:p>
        </w:tc>
        <w:tc>
          <w:tcPr>
            <w:tcW w:type="dxa" w:w="1419"/>
          </w:tcPr>
          <w:p>
            <w:r>
              <w:t>60.99</w:t>
            </w:r>
          </w:p>
        </w:tc>
        <w:tc>
          <w:tcPr>
            <w:tcW w:type="dxa" w:w="1419"/>
          </w:tcPr>
          <w:p>
            <w:r>
              <w:t>917／一致</w:t>
            </w:r>
          </w:p>
        </w:tc>
        <w:tc>
          <w:tcPr>
            <w:tcW w:type="dxa" w:w="1419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25</w:t>
            </w:r>
          </w:p>
        </w:tc>
        <w:tc>
          <w:tcPr>
            <w:tcW w:type="dxa" w:w="1419"/>
          </w:tcPr>
          <w:p>
            <w:r>
              <w:t>120.37</w:t>
            </w:r>
          </w:p>
        </w:tc>
        <w:tc>
          <w:tcPr>
            <w:tcW w:type="dxa" w:w="1419"/>
          </w:tcPr>
          <w:p>
            <w:r>
              <w:t>7731/0</w:t>
            </w:r>
          </w:p>
        </w:tc>
        <w:tc>
          <w:tcPr>
            <w:tcW w:type="dxa" w:w="1419"/>
          </w:tcPr>
          <w:p>
            <w:r>
              <w:t>64.23</w:t>
            </w:r>
          </w:p>
        </w:tc>
        <w:tc>
          <w:tcPr>
            <w:tcW w:type="dxa" w:w="1419"/>
          </w:tcPr>
          <w:p>
            <w:r>
              <w:t>547.55</w:t>
            </w:r>
          </w:p>
        </w:tc>
        <w:tc>
          <w:tcPr>
            <w:tcW w:type="dxa" w:w="1419"/>
          </w:tcPr>
          <w:p>
            <w:r>
              <w:t>1547／一致</w:t>
            </w:r>
          </w:p>
        </w:tc>
        <w:tc>
          <w:tcPr>
            <w:tcW w:type="dxa" w:w="1419"/>
          </w:tcPr>
          <w:p>
            <w:r>
              <w:t>通过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1800.77</w:t>
            </w:r>
          </w:p>
        </w:tc>
        <w:tc>
          <w:tcPr>
            <w:tcW w:type="dxa" w:w="1419"/>
          </w:tcPr>
          <w:p>
            <w:r>
              <w:t>113334/0</w:t>
            </w:r>
          </w:p>
        </w:tc>
        <w:tc>
          <w:tcPr>
            <w:tcW w:type="dxa" w:w="1419"/>
          </w:tcPr>
          <w:p>
            <w:r>
              <w:t>62.94</w:t>
            </w:r>
          </w:p>
        </w:tc>
        <w:tc>
          <w:tcPr>
            <w:tcW w:type="dxa" w:w="1419"/>
          </w:tcPr>
          <w:p>
            <w:r>
              <w:t>1281.92</w:t>
            </w:r>
          </w:p>
        </w:tc>
        <w:tc>
          <w:tcPr>
            <w:tcW w:type="dxa" w:w="1419"/>
          </w:tcPr>
          <w:p>
            <w:r>
              <w:t>22666／一致</w:t>
            </w:r>
          </w:p>
        </w:tc>
        <w:tc>
          <w:tcPr>
            <w:tcW w:type="dxa" w:w="1419"/>
          </w:tcPr>
          <w:p>
            <w:r>
              <w:t>通过</w:t>
            </w:r>
          </w:p>
        </w:tc>
      </w:tr>
    </w:tbl>
    <w:p>
      <w:r>
        <w:t>50用户整体P50=667.06ms、P95=1281.92ms、P99=1609.48ms。其他组完整分位数见原始JSON。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</w:tcPr>
          <w:p>
            <w:r>
              <w:t>50用户接口</w:t>
            </w:r>
          </w:p>
        </w:tc>
        <w:tc>
          <w:tcPr>
            <w:tcW w:type="dxa" w:w="1987"/>
          </w:tcPr>
          <w:p>
            <w:r>
              <w:t>请求数</w:t>
            </w:r>
          </w:p>
        </w:tc>
        <w:tc>
          <w:tcPr>
            <w:tcW w:type="dxa" w:w="1987"/>
          </w:tcPr>
          <w:p>
            <w:r>
              <w:t>P50 ms</w:t>
            </w:r>
          </w:p>
        </w:tc>
        <w:tc>
          <w:tcPr>
            <w:tcW w:type="dxa" w:w="1987"/>
          </w:tcPr>
          <w:p>
            <w:r>
              <w:t>P95 ms</w:t>
            </w:r>
          </w:p>
        </w:tc>
        <w:tc>
          <w:tcPr>
            <w:tcW w:type="dxa" w:w="1987"/>
          </w:tcPr>
          <w:p>
            <w:r>
              <w:t>P99 ms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/auth/profile</w:t>
            </w:r>
          </w:p>
        </w:tc>
        <w:tc>
          <w:tcPr>
            <w:tcW w:type="dxa" w:w="1987"/>
          </w:tcPr>
          <w:p>
            <w:r>
              <w:t>12953</w:t>
            </w:r>
          </w:p>
        </w:tc>
        <w:tc>
          <w:tcPr>
            <w:tcW w:type="dxa" w:w="1987"/>
          </w:tcPr>
          <w:p>
            <w:r>
              <w:t>515.43</w:t>
            </w:r>
          </w:p>
        </w:tc>
        <w:tc>
          <w:tcPr>
            <w:tcW w:type="dxa" w:w="1987"/>
          </w:tcPr>
          <w:p>
            <w:r>
              <w:t>998.17</w:t>
            </w:r>
          </w:p>
        </w:tc>
        <w:tc>
          <w:tcPr>
            <w:tcW w:type="dxa" w:w="1987"/>
          </w:tcPr>
          <w:p>
            <w:r>
              <w:t>1273.87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/knowledge?course=os</w:t>
            </w:r>
          </w:p>
        </w:tc>
        <w:tc>
          <w:tcPr>
            <w:tcW w:type="dxa" w:w="1987"/>
          </w:tcPr>
          <w:p>
            <w:r>
              <w:t>12948</w:t>
            </w:r>
          </w:p>
        </w:tc>
        <w:tc>
          <w:tcPr>
            <w:tcW w:type="dxa" w:w="1987"/>
          </w:tcPr>
          <w:p>
            <w:r>
              <w:t>300.61</w:t>
            </w:r>
          </w:p>
        </w:tc>
        <w:tc>
          <w:tcPr>
            <w:tcW w:type="dxa" w:w="1987"/>
          </w:tcPr>
          <w:p>
            <w:r>
              <w:t>654.83</w:t>
            </w:r>
          </w:p>
        </w:tc>
        <w:tc>
          <w:tcPr>
            <w:tcW w:type="dxa" w:w="1987"/>
          </w:tcPr>
          <w:p>
            <w:r>
              <w:t>945.36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/learning/center?course=os</w:t>
            </w:r>
          </w:p>
        </w:tc>
        <w:tc>
          <w:tcPr>
            <w:tcW w:type="dxa" w:w="1987"/>
          </w:tcPr>
          <w:p>
            <w:r>
              <w:t>12950</w:t>
            </w:r>
          </w:p>
        </w:tc>
        <w:tc>
          <w:tcPr>
            <w:tcW w:type="dxa" w:w="1987"/>
          </w:tcPr>
          <w:p>
            <w:r>
              <w:t>716.02</w:t>
            </w:r>
          </w:p>
        </w:tc>
        <w:tc>
          <w:tcPr>
            <w:tcW w:type="dxa" w:w="1987"/>
          </w:tcPr>
          <w:p>
            <w:r>
              <w:t>1212.47</w:t>
            </w:r>
          </w:p>
        </w:tc>
        <w:tc>
          <w:tcPr>
            <w:tcW w:type="dxa" w:w="1987"/>
          </w:tcPr>
          <w:p>
            <w:r>
              <w:t>1530.47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/practice/recommend?course=os</w:t>
            </w:r>
          </w:p>
        </w:tc>
        <w:tc>
          <w:tcPr>
            <w:tcW w:type="dxa" w:w="1987"/>
          </w:tcPr>
          <w:p>
            <w:r>
              <w:t>12951</w:t>
            </w:r>
          </w:p>
        </w:tc>
        <w:tc>
          <w:tcPr>
            <w:tcW w:type="dxa" w:w="1987"/>
          </w:tcPr>
          <w:p>
            <w:r>
              <w:t>743.21</w:t>
            </w:r>
          </w:p>
        </w:tc>
        <w:tc>
          <w:tcPr>
            <w:tcW w:type="dxa" w:w="1987"/>
          </w:tcPr>
          <w:p>
            <w:r>
              <w:t>1238.39</w:t>
            </w:r>
          </w:p>
        </w:tc>
        <w:tc>
          <w:tcPr>
            <w:tcW w:type="dxa" w:w="1987"/>
          </w:tcPr>
          <w:p>
            <w:r>
              <w:t>1563.94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/problems/judge</w:t>
            </w:r>
          </w:p>
        </w:tc>
        <w:tc>
          <w:tcPr>
            <w:tcW w:type="dxa" w:w="1987"/>
          </w:tcPr>
          <w:p>
            <w:r>
              <w:t>22666</w:t>
            </w:r>
          </w:p>
        </w:tc>
        <w:tc>
          <w:tcPr>
            <w:tcW w:type="dxa" w:w="1987"/>
          </w:tcPr>
          <w:p>
            <w:r>
              <w:t>902.45</w:t>
            </w:r>
          </w:p>
        </w:tc>
        <w:tc>
          <w:tcPr>
            <w:tcW w:type="dxa" w:w="1987"/>
          </w:tcPr>
          <w:p>
            <w:r>
              <w:t>1467.07</w:t>
            </w:r>
          </w:p>
        </w:tc>
        <w:tc>
          <w:tcPr>
            <w:tcW w:type="dxa" w:w="1987"/>
          </w:tcPr>
          <w:p>
            <w:r>
              <w:t>1785.26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/problems?course=os</w:t>
            </w:r>
          </w:p>
        </w:tc>
        <w:tc>
          <w:tcPr>
            <w:tcW w:type="dxa" w:w="1987"/>
          </w:tcPr>
          <w:p>
            <w:r>
              <w:t>12956</w:t>
            </w:r>
          </w:p>
        </w:tc>
        <w:tc>
          <w:tcPr>
            <w:tcW w:type="dxa" w:w="1987"/>
          </w:tcPr>
          <w:p>
            <w:r>
              <w:t>533.61</w:t>
            </w:r>
          </w:p>
        </w:tc>
        <w:tc>
          <w:tcPr>
            <w:tcW w:type="dxa" w:w="1987"/>
          </w:tcPr>
          <w:p>
            <w:r>
              <w:t>1039.19</w:t>
            </w:r>
          </w:p>
        </w:tc>
        <w:tc>
          <w:tcPr>
            <w:tcW w:type="dxa" w:w="1987"/>
          </w:tcPr>
          <w:p>
            <w:r>
              <w:t>1365.01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/records/errors?course=os</w:t>
            </w:r>
          </w:p>
        </w:tc>
        <w:tc>
          <w:tcPr>
            <w:tcW w:type="dxa" w:w="1987"/>
          </w:tcPr>
          <w:p>
            <w:r>
              <w:t>12955</w:t>
            </w:r>
          </w:p>
        </w:tc>
        <w:tc>
          <w:tcPr>
            <w:tcW w:type="dxa" w:w="1987"/>
          </w:tcPr>
          <w:p>
            <w:r>
              <w:t>627.04</w:t>
            </w:r>
          </w:p>
        </w:tc>
        <w:tc>
          <w:tcPr>
            <w:tcW w:type="dxa" w:w="1987"/>
          </w:tcPr>
          <w:p>
            <w:r>
              <w:t>1247.3</w:t>
            </w:r>
          </w:p>
        </w:tc>
        <w:tc>
          <w:tcPr>
            <w:tcW w:type="dxa" w:w="1987"/>
          </w:tcPr>
          <w:p>
            <w:r>
              <w:t>1584.56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/records/mastery?course=os</w:t>
            </w:r>
          </w:p>
        </w:tc>
        <w:tc>
          <w:tcPr>
            <w:tcW w:type="dxa" w:w="1987"/>
          </w:tcPr>
          <w:p>
            <w:r>
              <w:t>12955</w:t>
            </w:r>
          </w:p>
        </w:tc>
        <w:tc>
          <w:tcPr>
            <w:tcW w:type="dxa" w:w="1987"/>
          </w:tcPr>
          <w:p>
            <w:r>
              <w:t>774.62</w:t>
            </w:r>
          </w:p>
        </w:tc>
        <w:tc>
          <w:tcPr>
            <w:tcW w:type="dxa" w:w="1987"/>
          </w:tcPr>
          <w:p>
            <w:r>
              <w:t>1374.91</w:t>
            </w:r>
          </w:p>
        </w:tc>
        <w:tc>
          <w:tcPr>
            <w:tcW w:type="dxa" w:w="1987"/>
          </w:tcPr>
          <w:p>
            <w:r>
              <w:t>1721.16</w:t>
            </w:r>
          </w:p>
        </w:tc>
      </w:tr>
    </w:tbl>
    <w:p>
      <w:r>
        <w:t>验收同时核对HTTP响应、业务结果、数据库实际新增记录与完整性，形成响应与持久化的双重验证。时延包含端到端请求排队，各接口分位数单独列示。实验在共享测试环境完成，统计结果对应所述工作负载与部署配置。</w:t>
      </w:r>
    </w:p>
    <w:p>
      <w:pPr>
        <w:pStyle w:val="Heading1"/>
      </w:pPr>
      <w:r>
        <w:t>四、同账号并发与事务正确性</w:t>
      </w:r>
    </w:p>
    <w:p>
      <w:r>
        <w:t>5轮，每轮新虚构身份、初始掌握度0.2618、10客户端提交20次正确答案。总100次请求；每轮新增20条记录，并将实际掌握度与逐次串行算法值比较，避免掌握度饱和掩盖错误。结果：记录完整=True，掌握度一致=True。逐轮预期/实际值见same-user-final.json。</w:t>
      </w:r>
    </w:p>
    <w:p>
      <w:r>
        <w:t>源码回归覆盖多线程及独立进程累积、题库与旧Tutor会话交叉写入、故障注入整事务回滚、嵌套保存点、幂等索引迁移、连接并行上限、写者独立通道，以及同步请求连接复用、线程隔离和异常后恢复。故障注入属于主动健壮性测试，用于验证事务回滚与恢复行为。</w:t>
      </w:r>
    </w:p>
    <w:p>
      <w:pPr>
        <w:pStyle w:val="Heading1"/>
      </w:pPr>
      <w:r>
        <w:t>五、算法与功能案例</w:t>
      </w:r>
    </w:p>
    <w:p>
      <w:r>
        <w:t>CPU代码样例、canonical判定与四课程FTS冒烟见algorithms.json；导学模型桩验证编排与回流，真实模型链路单独验收，回答准确率采用独立标注集评价。学生错答、申请复核、教师/助教反馈、正确复测、学情与复习作业协同的典型输入和输出见06案例展示及functional-final.json。</w:t>
      </w:r>
    </w:p>
    <w:p>
      <w:r>
        <w:t>真实视觉使用智增增qwen3-vl-30b-a3b-instruct、temperature=0.0、max_tokens=2048；2张原创印刷体图片检查转写内容，公网拍照流程验证图片→转写→错误诊断及SSE完成。输入图和实际事件见vision-live.json及vision-*.png。本轮完成接入与限定样例验收，广泛手写、复杂公式、模糊照片和批量扫描件效果纳入后续专项评测。</w:t>
      </w:r>
    </w:p>
    <w:p>
      <w:pPr>
        <w:pStyle w:val="Heading1"/>
      </w:pPr>
      <w:r>
        <w:t>六、适用范围、后续验证与复现</w:t>
      </w:r>
    </w:p>
    <w:p>
      <w:r>
        <w:t>本轮容量证据覆盖SQLite单写者、单worker部署；后续专项验证包括跨机多worker容量、敌对代码隔离安全、长期真人教育效果与广泛手写/复杂扫描件准确率。当前重复提交按新练习处理，通用Idempotency-Key作为后续增强项，适用于网络响应丢失后的重试场景。演示视频时长约4分39秒，已纳入V1.0附件，见</w:t>
      </w:r>
      <w:hyperlink r:id="rId17">
        <w:r>
          <w:rPr>
            <w:color w:val="0563C1"/>
            <w:u w:val="single"/>
          </w:rPr>
          <w:t>演示材料与文件校验</w:t>
        </w:r>
      </w:hyperlink>
      <w:r>
        <w:t>。4090D上的现有FP8基座与LoRA本地推理计时、批量吞吐和应用接入已完成专项验收，见08报告；GPU训练成本、向量模型和跨设备对比按07协议扩展。正式结论以本轮已完成的验收范围为准。</w:t>
      </w:r>
    </w:p>
    <w:p>
      <w:r>
        <w:t>按README运行pytest、smoke及submission_algorithms；独立测试目录使用submission_concurrency_suite.py串行复现，并核对源码摘要、acceptance、write_reconciled和db_integrity。正式报告、证据和运行包通过版本标识与源码摘要建立对应关系，保持实测结果可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courseloop-competition-submission/tree/v1.0/artifacts/evidence/v1.0/processed-data" TargetMode="External"/><Relationship Id="rId12" Type="http://schemas.openxmlformats.org/officeDocument/2006/relationships/hyperlink" Target="https://github.com/cccccrj/courseloop-competition-submission/blob/v1.0/artifacts/evidence/v1.0/processed-data/source-tests.log" TargetMode="External"/><Relationship Id="rId13" Type="http://schemas.openxmlformats.org/officeDocument/2006/relationships/hyperlink" Target="https://github.com/cccccrj/courseloop-competition-submission/blob/v1.0/artifacts/evidence/v1.0/processed-data/functional.json" TargetMode="External"/><Relationship Id="rId14" Type="http://schemas.openxmlformats.org/officeDocument/2006/relationships/hyperlink" Target="https://github.com/cccccrj/courseloop-competition-submission/blob/v1.0/artifacts/evidence/v1.0/processed-data/same-user.json" TargetMode="External"/><Relationship Id="rId15" Type="http://schemas.openxmlformats.org/officeDocument/2006/relationships/hyperlink" Target="https://github.com/cccccrj/courseloop-competition-submission/blob/v1.0/artifacts/evidence/v1.0/processed-data/acceptance.json" TargetMode="External"/><Relationship Id="rId16" Type="http://schemas.openxmlformats.org/officeDocument/2006/relationships/hyperlink" Target="https://github.com/cccccrj/courseloop-competition-submission/blob/v1.0/docs/submission/processed-data-inventory.json" TargetMode="External"/><Relationship Id="rId17" Type="http://schemas.openxmlformats.org/officeDocument/2006/relationships/hyperlink" Target="https://github.com/cccccrj/courseloop-competition-submission/blob/v1.0/docs/submission/%E6%BC%94%E7%A4%BA%E6%9D%90%E6%96%9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