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比赛提交版交付索引</w:t>
      </w:r>
    </w:p>
    <w:p>
      <w:r>
        <w:t>作品：上市公司事件智识（IssuerTrace）。本目录是本次冻结版本的正式交付口径；本目录统一组织正式报告、数据说明及必要测试证据，配套图表位于docs/figures。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</w:tcPr>
          <w:p>
            <w:r>
              <w:t>要求</w:t>
            </w:r>
          </w:p>
        </w:tc>
        <w:tc>
          <w:tcPr>
            <w:tcW w:type="dxa" w:w="3312"/>
          </w:tcPr>
          <w:p>
            <w:r>
              <w:t>本仓库交付</w:t>
            </w:r>
          </w:p>
        </w:tc>
        <w:tc>
          <w:tcPr>
            <w:tcW w:type="dxa" w:w="3312"/>
          </w:tcPr>
          <w:p>
            <w:r>
              <w:t>验收方式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1 可运行原型</w:t>
            </w:r>
          </w:p>
        </w:tc>
        <w:tc>
          <w:tcPr>
            <w:tcW w:type="dxa" w:w="3312"/>
          </w:tcPr>
          <w:p>
            <w:r/>
            <w:hyperlink r:id="rId11">
              <w:r>
                <w:rPr>
                  <w:color w:val="0563C1"/>
                  <w:u w:val="single"/>
                </w:rPr>
                <w:t>部署与访问</w:t>
              </w:r>
            </w:hyperlink>
            <w:r>
              <w:t>、根目录 ACCESS.md、Release 部署包</w:t>
            </w:r>
          </w:p>
        </w:tc>
        <w:tc>
          <w:tcPr>
            <w:tcW w:type="dxa" w:w="3312"/>
          </w:tcPr>
          <w:p>
            <w:r>
              <w:t>公网登录；或按说明本地启动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2 完整源代码</w:t>
            </w:r>
          </w:p>
        </w:tc>
        <w:tc>
          <w:tcPr>
            <w:tcW w:type="dxa" w:w="3312"/>
          </w:tcPr>
          <w:p>
            <w:r>
              <w:t>api / collector / processor / config / scripts / tests / web</w:t>
            </w:r>
          </w:p>
        </w:tc>
        <w:tc>
          <w:tcPr>
            <w:tcW w:type="dxa" w:w="3312"/>
          </w:tcPr>
          <w:p>
            <w:r>
              <w:t>从干净检出构建与测试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3 技术报告</w:t>
            </w:r>
          </w:p>
        </w:tc>
        <w:tc>
          <w:tcPr>
            <w:tcW w:type="dxa" w:w="3312"/>
          </w:tcPr>
          <w:p>
            <w:r/>
            <w:hyperlink r:id="rId12">
              <w:r>
                <w:rPr>
                  <w:color w:val="0563C1"/>
                  <w:u w:val="single"/>
                </w:rPr>
                <w:t>技术报告</w:t>
              </w:r>
            </w:hyperlink>
            <w:r>
              <w:t>及配套 DOCX／PDF</w:t>
            </w:r>
          </w:p>
        </w:tc>
        <w:tc>
          <w:tcPr>
            <w:tcW w:type="dxa" w:w="3312"/>
          </w:tcPr>
          <w:p>
            <w:r>
              <w:t>问题、路线、架构、算法、实验、评价及不足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4 数据说明</w:t>
            </w:r>
          </w:p>
        </w:tc>
        <w:tc>
          <w:tcPr>
            <w:tcW w:type="dxa" w:w="3312"/>
          </w:tcPr>
          <w:p>
            <w:r/>
            <w:hyperlink r:id="rId13">
              <w:r>
                <w:rPr>
                  <w:color w:val="0563C1"/>
                  <w:u w:val="single"/>
                </w:rPr>
                <w:t>数据说明</w:t>
              </w:r>
            </w:hyperlink>
            <w:r>
              <w:t>、evidence/data-inventory.json</w:t>
            </w:r>
          </w:p>
        </w:tc>
        <w:tc>
          <w:tcPr>
            <w:tcW w:type="dxa" w:w="3312"/>
          </w:tcPr>
          <w:p>
            <w:r>
              <w:t>数据口径、字段、预处理、脱敏、限制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5 模型与算法</w:t>
            </w:r>
          </w:p>
        </w:tc>
        <w:tc>
          <w:tcPr>
            <w:tcW w:type="dxa" w:w="3312"/>
          </w:tcPr>
          <w:p>
            <w:r/>
            <w:hyperlink r:id="rId14">
              <w:r>
                <w:rPr>
                  <w:color w:val="0563C1"/>
                  <w:u w:val="single"/>
                </w:rPr>
                <w:t>模型与算法</w:t>
              </w:r>
            </w:hyperlink>
            <w:r>
              <w:t>、</w:t>
            </w:r>
            <w:hyperlink r:id="rId15">
              <w:r>
                <w:rPr>
                  <w:color w:val="0563C1"/>
                  <w:u w:val="single"/>
                </w:rPr>
                <w:t>GPU专项报告</w:t>
              </w:r>
            </w:hyperlink>
            <w:r/>
          </w:p>
        </w:tc>
        <w:tc>
          <w:tcPr>
            <w:tcW w:type="dxa" w:w="3312"/>
          </w:tcPr>
          <w:p>
            <w:r>
              <w:t>代码入口、参数、完整GPU实测与平台接入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6 测试与案例</w:t>
            </w:r>
          </w:p>
        </w:tc>
        <w:tc>
          <w:tcPr>
            <w:tcW w:type="dxa" w:w="3312"/>
          </w:tcPr>
          <w:p>
            <w:r/>
            <w:hyperlink r:id="rId16">
              <w:r>
                <w:rPr>
                  <w:color w:val="0563C1"/>
                  <w:u w:val="single"/>
                </w:rPr>
                <w:t>测试报告</w:t>
              </w:r>
            </w:hyperlink>
            <w:r>
              <w:t>、</w:t>
            </w:r>
            <w:hyperlink r:id="rId17">
              <w:r>
                <w:rPr>
                  <w:color w:val="0563C1"/>
                  <w:u w:val="single"/>
                </w:rPr>
                <w:t>案例</w:t>
              </w:r>
            </w:hyperlink>
            <w:r>
              <w:t>、evidence</w:t>
            </w:r>
          </w:p>
        </w:tc>
        <w:tc>
          <w:tcPr>
            <w:tcW w:type="dxa" w:w="3312"/>
          </w:tcPr>
          <w:p>
            <w:r>
              <w:t>原始测试日志、HTTP结果、协同、压力测试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7 视频</w:t>
            </w:r>
          </w:p>
        </w:tc>
        <w:tc>
          <w:tcPr>
            <w:tcW w:type="dxa" w:w="3312"/>
          </w:tcPr>
          <w:p>
            <w:r>
              <w:t>IssuerTrace-V1.0-demo.mp4，约3分14秒；另附30页答辩PPT</w:t>
            </w:r>
          </w:p>
        </w:tc>
        <w:tc>
          <w:tcPr>
            <w:tcW w:type="dxa" w:w="3312"/>
          </w:tcPr>
          <w:p>
            <w:r/>
            <w:hyperlink r:id="rId18">
              <w:r>
                <w:rPr>
                  <w:color w:val="0563C1"/>
                  <w:u w:val="single"/>
                </w:rPr>
                <w:t>演示材料</w:t>
              </w:r>
            </w:hyperlink>
            <w:r>
              <w:t>、media-manifest.json及Release校验清单</w:t>
            </w:r>
          </w:p>
        </w:tc>
      </w:tr>
      <w:tr>
        <w:trPr>
          <w:cantSplit/>
        </w:trPr>
        <w:tc>
          <w:tcPr>
            <w:tcW w:type="dxa" w:w="3312"/>
          </w:tcPr>
          <w:p>
            <w:r>
              <w:t>8 README</w:t>
            </w:r>
          </w:p>
        </w:tc>
        <w:tc>
          <w:tcPr>
            <w:tcW w:type="dxa" w:w="3312"/>
          </w:tcPr>
          <w:p>
            <w:r>
              <w:t>根目录 README.md</w:t>
            </w:r>
          </w:p>
        </w:tc>
        <w:tc>
          <w:tcPr>
            <w:tcW w:type="dxa" w:w="3312"/>
          </w:tcPr>
          <w:p>
            <w:r>
              <w:t>环境、部署、命令、配置、测试、常见问题</w:t>
            </w:r>
          </w:p>
        </w:tc>
      </w:tr>
    </w:tbl>
    <w:p>
      <w:pPr>
        <w:pStyle w:val="Heading1"/>
      </w:pPr>
      <w:r>
        <w:t>版本边界</w:t>
      </w:r>
    </w:p>
    <w:p>
      <w:r>
        <w:t>应用实验源码基线为 58c47073c5cf3ab943c91900d8bf23cc133c59c7，历史实验与提交版分别保留源码摘要；正式源码以v1.0标签为准。</w:t>
      </w:r>
    </w:p>
    <w:p>
      <w:r>
        <w:t>源码和报告存放于提交仓库，运行包与证据资产在同版本Release提供。ACCESS.md仅含本地虚构演示凭据，线上评审凭据通过比赛指定渠道单独提供。公开发布前完成PUBLICATION.md所列许可与数据授权确认。</w:t>
      </w:r>
    </w:p>
    <w:p>
      <w:r>
        <w:t>唯一正式版本v1.0提供完整处理后的业务与主办方评测数据，见</w:t>
      </w:r>
      <w:hyperlink r:id="rId19">
        <w:r>
          <w:rPr>
            <w:color w:val="0563C1"/>
            <w:u w:val="single"/>
          </w:rPr>
          <w:t>数据范围</w:t>
        </w:r>
      </w:hyperlink>
      <w:r>
        <w:t>，源码、报告、运行包及原始证据统一组织；演示视频与答辩PPT统一见</w:t>
      </w:r>
      <w:hyperlink r:id="rId18">
        <w:r>
          <w:rPr>
            <w:color w:val="0563C1"/>
            <w:u w:val="single"/>
          </w:rPr>
          <w:t>演示材料</w:t>
        </w:r>
      </w:hyperlink>
      <w:r>
        <w:t>。部署与校验方法见</w:t>
      </w:r>
      <w:hyperlink r:id="rId11">
        <w:r>
          <w:rPr>
            <w:color w:val="0563C1"/>
            <w:u w:val="single"/>
          </w:rPr>
          <w:t>部署与访问</w:t>
        </w:r>
      </w:hyperlink>
      <w:r>
        <w:t>。</w:t>
      </w:r>
    </w:p>
    <w:p>
      <w:pPr>
        <w:pStyle w:val="Heading1"/>
      </w:pPr>
      <w:r>
        <w:t>已验证成果与复现范围</w:t>
      </w:r>
    </w:p>
    <w:p>
      <w:r>
        <w:t>4090D已完成冻结输入上的3次完整BGE-M3 GPU复测与回传验收，交付版本v1.0提供00—08共9份MD／DOCX／PDF资料和原始证据，历史V100计时独立归档。人工复核工作流与独立人工标注实验分别评价；公开验证集的开发评测与盲测分别说明；50用户混合业务压测与GPU模型计算分别报告。运行快照提供完整原型、处理后评测库及已有分析结果，支持本地查询、核验与协同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正式提交版本 V1.0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IssuerTrace · 比赛交付材料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 w:eastAsia="Droid Sans Fallback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Droid Sans Fallback"/>
      <w:b/>
      <w:bCs/>
      <w:color w:val="2536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Droid Sans Fallback"/>
      <w:b/>
      <w:bCs/>
      <w:color w:val="2536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Droid Sans Fallback"/>
      <w:b/>
      <w:bCs/>
      <w:color w:val="25365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Droid Sans Fallback"/>
      <w:color w:val="25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cccccrj/issuertrace-competition-submission/blob/v1.0/docs/submission/01-%E9%83%A8%E7%BD%B2%E4%B8%8E%E8%AE%BF%E9%97%AE.md" TargetMode="External"/><Relationship Id="rId12" Type="http://schemas.openxmlformats.org/officeDocument/2006/relationships/hyperlink" Target="https://github.com/cccccrj/issuertrace-competition-submission/blob/v1.0/docs/submission/02-%E6%8A%80%E6%9C%AF%E6%8A%A5%E5%91%8A.md" TargetMode="External"/><Relationship Id="rId13" Type="http://schemas.openxmlformats.org/officeDocument/2006/relationships/hyperlink" Target="https://github.com/cccccrj/issuertrace-competition-submission/blob/v1.0/docs/submission/03-%E6%95%B0%E6%8D%AE%E8%AF%B4%E6%98%8E.md" TargetMode="External"/><Relationship Id="rId14" Type="http://schemas.openxmlformats.org/officeDocument/2006/relationships/hyperlink" Target="https://github.com/cccccrj/issuertrace-competition-submission/blob/v1.0/docs/submission/04-%E6%A8%A1%E5%9E%8B%E4%B8%8E%E7%AE%97%E6%B3%95.md" TargetMode="External"/><Relationship Id="rId15" Type="http://schemas.openxmlformats.org/officeDocument/2006/relationships/hyperlink" Target="https://github.com/cccccrj/issuertrace-competition-submission/blob/v1.0/docs/submission/08-GPU%E5%90%91%E9%87%8F%E8%AE%A1%E7%AE%97%E6%B5%8B%E8%AF%95%E6%8A%A5%E5%91%8A.md" TargetMode="External"/><Relationship Id="rId16" Type="http://schemas.openxmlformats.org/officeDocument/2006/relationships/hyperlink" Target="https://github.com/cccccrj/issuertrace-competition-submission/blob/v1.0/docs/submission/05-%E6%B5%8B%E8%AF%95%E6%8A%A5%E5%91%8A.md" TargetMode="External"/><Relationship Id="rId17" Type="http://schemas.openxmlformats.org/officeDocument/2006/relationships/hyperlink" Target="https://github.com/cccccrj/issuertrace-competition-submission/blob/v1.0/docs/submission/06-%E6%A1%88%E4%BE%8B%E5%B1%95%E7%A4%BA.md" TargetMode="External"/><Relationship Id="rId18" Type="http://schemas.openxmlformats.org/officeDocument/2006/relationships/hyperlink" Target="https://github.com/cccccrj/issuertrace-competition-submission/blob/v1.0/docs/submission/%E6%BC%94%E7%A4%BA%E6%9D%90%E6%96%99.md" TargetMode="External"/><Relationship Id="rId19" Type="http://schemas.openxmlformats.org/officeDocument/2006/relationships/hyperlink" Target="https://github.com/cccccrj/issuertrace-competition-submission/blob/v1.0/docs/submission/%E5%A4%84%E7%90%86%E5%90%8E%E6%95%B0%E6%8D%AE%E4%BA%A4%E4%BB%98%E8%8C%83%E5%9B%B4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Submission project contributors</dc:creator>
  <cp:keywords/>
  <dc:description>generated by python-docx</dc:description>
  <cp:lastModifiedBy>Submission report generator</cp:lastModifiedBy>
  <cp:revision>1</cp:revision>
  <dcterms:created xsi:type="dcterms:W3CDTF">2013-12-23T23:15:00Z</dcterms:created>
  <dcterms:modified xsi:type="dcterms:W3CDTF">2013-12-23T23:15:00Z</dcterms:modified>
  <cp:category/>
</cp:coreProperties>
</file>