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技术报告：上市公司事件智识（IssuerTrace）</w:t>
      </w:r>
    </w:p>
    <w:p>
      <w:pPr>
        <w:pStyle w:val="Heading1"/>
      </w:pPr>
      <w:r>
        <w:t>1 问题理解与目标</w:t>
      </w:r>
    </w:p>
    <w:p>
      <w:r>
        <w:t>财经事件研判需要联合分析公司公告、媒体报道、转载和监管问询中的时间、措辞、数值及证据状态。系统围绕「发生什么、涉及谁、何时、依据是什么、如何推进复核」组织可追溯的研判结论。</w:t>
      </w:r>
    </w:p>
    <w:p>
      <w:r>
        <w:t xml:space="preserve">环境、版本和数据对应关系见 </w:t>
      </w:r>
      <w:hyperlink r:id="rId11">
        <w:r>
          <w:rPr>
            <w:color w:val="0563C1"/>
            <w:u w:val="single"/>
          </w:rPr>
          <w:t>README环境表</w:t>
        </w:r>
      </w:hyperlink>
      <w:r>
        <w:t>。本次材料修订沿用已归档测试证据；处理后的业务与评测数据全部交付，见</w:t>
      </w:r>
      <w:hyperlink r:id="rId12">
        <w:r>
          <w:rPr>
            <w:color w:val="0563C1"/>
            <w:u w:val="single"/>
          </w:rPr>
          <w:t>数据范围</w:t>
        </w:r>
      </w:hyperlink>
      <w:r>
        <w:t>。线上部署保持原样。</w:t>
      </w:r>
    </w:p>
    <w:p>
      <w:r>
        <w:t>本原型以长鑫科技和药明康德为平台案例，以主办方独立评测语料辅助检验跨公司能力。模型判定与人工复核分层保存，四值核验清晰区分支持、部分支持、冲突与待补证状态，为复核提供可追溯的依据。</w:t>
      </w:r>
    </w:p>
    <w:p>
      <w:pPr>
        <w:pStyle w:val="Heading1"/>
      </w:pPr>
      <w:r>
        <w:t>2 技术路线</w:t>
      </w:r>
    </w:p>
    <w:p>
      <w:r>
        <w:t>采集保留版本与来源 → 正文解析与守门 → 事件／要素／原子主张抽取 → 检索证据与四值裁决 → 重复／传播／版本变化／事项／候选因果关系 → 风险分级 → 人工认领、上报、退回、归档 → 通知、导出与审计。</w:t>
      </w:r>
    </w:p>
    <w:p>
      <w:r>
        <w:t>大模型负责结构化抽取和有依据的解释；规则承担输入边界、归一化、状态约束和可重复计算；检索把回答限制到具体证据。算法入口及参数见04，实际数据结构见03与字段清单。</w:t>
      </w:r>
    </w:p>
    <w:p>
      <w:pPr>
        <w:pStyle w:val="Heading1"/>
      </w:pPr>
      <w:r>
        <w:t>3 系统架构</w:t>
      </w:r>
    </w:p>
    <w:p>
      <w:pPr>
        <w:spacing w:after="0"/>
      </w:pPr>
      <w:r>
        <w:rPr>
          <w:rFonts w:ascii="DejaVu Sans Mono" w:hAnsi="DejaVu Sans Mono"/>
          <w:sz w:val="16"/>
        </w:rPr>
        <w:t>外部公开源／授权评测数据</w:t>
      </w:r>
    </w:p>
    <w:p>
      <w:pPr>
        <w:spacing w:after="0"/>
      </w:pPr>
      <w:r>
        <w:rPr>
          <w:rFonts w:ascii="DejaVu Sans Mono" w:hAnsi="DejaVu Sans Mono"/>
          <w:sz w:val="16"/>
        </w:rPr>
        <w:t xml:space="preserve">       ↓</w:t>
      </w:r>
    </w:p>
    <w:p>
      <w:pPr>
        <w:spacing w:after="0"/>
      </w:pPr>
      <w:r>
        <w:rPr>
          <w:rFonts w:ascii="DejaVu Sans Mono" w:hAnsi="DejaVu Sans Mono"/>
          <w:sz w:val="16"/>
        </w:rPr>
        <w:t>collector（留存原始版本）→ processor（批量分析／离线评测）</w:t>
      </w:r>
    </w:p>
    <w:p>
      <w:pPr>
        <w:spacing w:after="0"/>
      </w:pPr>
      <w:r>
        <w:rPr>
          <w:rFonts w:ascii="DejaVu Sans Mono" w:hAnsi="DejaVu Sans Mono"/>
          <w:sz w:val="16"/>
        </w:rPr>
        <w:t xml:space="preserve">       ↓                         ↓</w:t>
      </w:r>
    </w:p>
    <w:p>
      <w:pPr>
        <w:spacing w:after="0"/>
      </w:pPr>
      <w:r>
        <w:rPr>
          <w:rFonts w:ascii="DejaVu Sans Mono" w:hAnsi="DejaVu Sans Mono"/>
          <w:sz w:val="16"/>
        </w:rPr>
        <w:t xml:space="preserve"> collector.sqlite3          benchmark.sqlite3</w:t>
      </w:r>
    </w:p>
    <w:p>
      <w:pPr>
        <w:spacing w:after="0"/>
      </w:pPr>
      <w:r>
        <w:rPr>
          <w:rFonts w:ascii="DejaVu Sans Mono" w:hAnsi="DejaVu Sans Mono"/>
          <w:sz w:val="16"/>
        </w:rPr>
        <w:t xml:space="preserve">       ↓                         ↓</w:t>
      </w:r>
    </w:p>
    <w:p>
      <w:pPr>
        <w:spacing w:after="0"/>
      </w:pPr>
      <w:r>
        <w:rPr>
          <w:rFonts w:ascii="DejaVu Sans Mono" w:hAnsi="DejaVu Sans Mono"/>
          <w:sz w:val="16"/>
        </w:rPr>
        <w:t xml:space="preserve"> FastAPI：分析只读查询 + 单独人工记录写入 + 会话／权限／审计</w:t>
      </w:r>
    </w:p>
    <w:p>
      <w:pPr>
        <w:spacing w:after="0"/>
      </w:pPr>
      <w:r>
        <w:rPr>
          <w:rFonts w:ascii="DejaVu Sans Mono" w:hAnsi="DejaVu Sans Mono"/>
          <w:sz w:val="16"/>
        </w:rPr>
        <w:t xml:space="preserve">       ↓</w:t>
      </w:r>
    </w:p>
    <w:p>
      <w:pPr>
        <w:spacing w:after="0"/>
      </w:pPr>
      <w:r>
        <w:rPr>
          <w:rFonts w:ascii="DejaVu Sans Mono" w:hAnsi="DejaVu Sans Mono"/>
          <w:sz w:val="16"/>
        </w:rPr>
        <w:t xml:space="preserve"> Vue3：事件、风险档案、证据定位、关系、复核、通知、评测</w:t>
      </w:r>
    </w:p>
    <w:p>
      <w:pPr>
        <w:spacing w:after="0"/>
      </w:pPr>
      <w:r>
        <w:rPr>
          <w:rFonts w:ascii="DejaVu Sans Mono" w:hAnsi="DejaVu Sans Mono"/>
          <w:sz w:val="16"/>
        </w:rPr>
        <w:t xml:space="preserve">       ↘ 可选模型网关：有来源约束的研判助手</w:t>
      </w:r>
    </w:p>
    <w:p>
      <w:r>
        <w:t>应用层以Python/Uvicorn承载API，Web接入层提供前端页面及API路由。负载测试采用独立目录、数据库和回环入口。运行包携带分析结论，平台业务查询支持CPU部署，GPU用于可选的离线向量计算。</w:t>
      </w:r>
    </w:p>
    <w:p>
      <w:pPr>
        <w:pStyle w:val="Heading1"/>
      </w:pPr>
      <w:r>
        <w:t>4 核心算法</w:t>
      </w:r>
    </w:p>
    <w:p>
      <w:r>
        <w:t>事件抽取保留label_source与原文定位，引文通过原文跨度校验后落库；数值、币种、单位、期间分别处理。检索使用BM25，离线BGE-M3近邻作为主张裁决可选兜底。裁决输出SUPPORTED／PARTIAL／CONFLICT／UNVERIFIABLE，将证据不足与明确冲突分别记录。</w:t>
      </w:r>
    </w:p>
    <w:p>
      <w:r>
        <w:t>重复聚类结合文本相似与传播证据组织事件关联。版本差异区分数字、修改、增加、删除，问询事项链关联问答与状态。候选因果关系保存证据、方向和来源，支持业务分析与进一步核实。风险机器分数与人工覆判分层存储，形成原始判断与复核结果的完整审计链。</w:t>
      </w:r>
    </w:p>
    <w:p>
      <w:pPr>
        <w:pStyle w:val="Heading1"/>
      </w:pPr>
      <w:r>
        <w:t>5 关键模块与实现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rPr>
          <w:tblHeader/>
          <w:cantSplit/>
        </w:trPr>
        <w:tc>
          <w:tcPr>
            <w:tcW w:type="dxa" w:w="3312"/>
          </w:tcPr>
          <w:p>
            <w:r>
              <w:t>模块</w:t>
            </w:r>
          </w:p>
        </w:tc>
        <w:tc>
          <w:tcPr>
            <w:tcW w:type="dxa" w:w="3312"/>
          </w:tcPr>
          <w:p>
            <w:r>
              <w:t>源码位置</w:t>
            </w:r>
          </w:p>
        </w:tc>
        <w:tc>
          <w:tcPr>
            <w:tcW w:type="dxa" w:w="3312"/>
          </w:tcPr>
          <w:p>
            <w:r>
              <w:t>职责</w:t>
            </w:r>
          </w:p>
        </w:tc>
      </w:tr>
      <w:tr>
        <w:trPr>
          <w:cantSplit/>
        </w:trPr>
        <w:tc>
          <w:tcPr>
            <w:tcW w:type="dxa" w:w="3312"/>
          </w:tcPr>
          <w:p>
            <w:r>
              <w:t>多源采集</w:t>
            </w:r>
          </w:p>
        </w:tc>
        <w:tc>
          <w:tcPr>
            <w:tcW w:type="dxa" w:w="3312"/>
          </w:tcPr>
          <w:p>
            <w:r>
              <w:t>collector/、config/</w:t>
            </w:r>
          </w:p>
        </w:tc>
        <w:tc>
          <w:tcPr>
            <w:tcW w:type="dxa" w:w="3312"/>
          </w:tcPr>
          <w:p>
            <w:r>
              <w:t>来源配置、版本、请求记录、采集守门</w:t>
            </w:r>
          </w:p>
        </w:tc>
      </w:tr>
      <w:tr>
        <w:trPr>
          <w:cantSplit/>
        </w:trPr>
        <w:tc>
          <w:tcPr>
            <w:tcW w:type="dxa" w:w="3312"/>
          </w:tcPr>
          <w:p>
            <w:r>
              <w:t>分析与评测</w:t>
            </w:r>
          </w:p>
        </w:tc>
        <w:tc>
          <w:tcPr>
            <w:tcW w:type="dxa" w:w="3312"/>
          </w:tcPr>
          <w:p>
            <w:r>
              <w:t>processor/</w:t>
            </w:r>
          </w:p>
        </w:tc>
        <w:tc>
          <w:tcPr>
            <w:tcW w:type="dxa" w:w="3312"/>
          </w:tcPr>
          <w:p>
            <w:r>
              <w:t>解析、抽取、检索、裁决、去重、关系与实验</w:t>
            </w:r>
          </w:p>
        </w:tc>
      </w:tr>
      <w:tr>
        <w:trPr>
          <w:cantSplit/>
        </w:trPr>
        <w:tc>
          <w:tcPr>
            <w:tcW w:type="dxa" w:w="3312"/>
          </w:tcPr>
          <w:p>
            <w:r>
              <w:t>分析查询</w:t>
            </w:r>
          </w:p>
        </w:tc>
        <w:tc>
          <w:tcPr>
            <w:tcW w:type="dxa" w:w="3312"/>
          </w:tcPr>
          <w:p>
            <w:r>
              <w:t>api/db.py、api/routes/</w:t>
            </w:r>
          </w:p>
        </w:tc>
        <w:tc>
          <w:tcPr>
            <w:tcW w:type="dxa" w:w="3312"/>
          </w:tcPr>
          <w:p>
            <w:r>
              <w:t>只读连接、参数化SQL、分页与报告</w:t>
            </w:r>
          </w:p>
        </w:tc>
      </w:tr>
      <w:tr>
        <w:trPr>
          <w:cantSplit/>
        </w:trPr>
        <w:tc>
          <w:tcPr>
            <w:tcW w:type="dxa" w:w="3312"/>
          </w:tcPr>
          <w:p>
            <w:r>
              <w:t>人工复核</w:t>
            </w:r>
          </w:p>
        </w:tc>
        <w:tc>
          <w:tcPr>
            <w:tcW w:type="dxa" w:w="3312"/>
          </w:tcPr>
          <w:p>
            <w:r>
              <w:t>api/review_db.py、api/dispatch_db.py</w:t>
            </w:r>
          </w:p>
        </w:tc>
        <w:tc>
          <w:tcPr>
            <w:tcW w:type="dxa" w:w="3312"/>
          </w:tcPr>
          <w:p>
            <w:r>
              <w:t>人工任务、状态、角色边界、审计历史</w:t>
            </w:r>
          </w:p>
        </w:tc>
      </w:tr>
      <w:tr>
        <w:trPr>
          <w:cantSplit/>
        </w:trPr>
        <w:tc>
          <w:tcPr>
            <w:tcW w:type="dxa" w:w="3312"/>
          </w:tcPr>
          <w:p>
            <w:r>
              <w:t>会话与账号</w:t>
            </w:r>
          </w:p>
        </w:tc>
        <w:tc>
          <w:tcPr>
            <w:tcW w:type="dxa" w:w="3312"/>
          </w:tcPr>
          <w:p>
            <w:r>
              <w:t>api/auth.py、api/users_db.py</w:t>
            </w:r>
          </w:p>
        </w:tc>
        <w:tc>
          <w:tcPr>
            <w:tcW w:type="dxa" w:w="3312"/>
          </w:tcPr>
          <w:p>
            <w:r>
              <w:t>四角色、PBKDF2、签名Cookie、停用校验</w:t>
            </w:r>
          </w:p>
        </w:tc>
      </w:tr>
      <w:tr>
        <w:trPr>
          <w:cantSplit/>
        </w:trPr>
        <w:tc>
          <w:tcPr>
            <w:tcW w:type="dxa" w:w="3312"/>
          </w:tcPr>
          <w:p>
            <w:r>
              <w:t>研判助手</w:t>
            </w:r>
          </w:p>
        </w:tc>
        <w:tc>
          <w:tcPr>
            <w:tcW w:type="dxa" w:w="3312"/>
          </w:tcPr>
          <w:p>
            <w:r>
              <w:t>api/assistant.py</w:t>
            </w:r>
          </w:p>
        </w:tc>
        <w:tc>
          <w:tcPr>
            <w:tcW w:type="dxa" w:w="3312"/>
          </w:tcPr>
          <w:p>
            <w:r>
              <w:t>事件／风险范围、逐步检索、来源引用、降级</w:t>
            </w:r>
          </w:p>
        </w:tc>
      </w:tr>
      <w:tr>
        <w:trPr>
          <w:cantSplit/>
        </w:trPr>
        <w:tc>
          <w:tcPr>
            <w:tcW w:type="dxa" w:w="3312"/>
          </w:tcPr>
          <w:p>
            <w:r>
              <w:t>前端</w:t>
            </w:r>
          </w:p>
        </w:tc>
        <w:tc>
          <w:tcPr>
            <w:tcW w:type="dxa" w:w="3312"/>
          </w:tcPr>
          <w:p>
            <w:r>
              <w:t>web/src/</w:t>
            </w:r>
          </w:p>
        </w:tc>
        <w:tc>
          <w:tcPr>
            <w:tcW w:type="dxa" w:w="3312"/>
          </w:tcPr>
          <w:p>
            <w:r>
              <w:t>Vue交互、证据展示、双主题、业务流程</w:t>
            </w:r>
          </w:p>
        </w:tc>
      </w:tr>
    </w:tbl>
    <w:p>
      <w:r>
        <w:t>账号密码以PBKDF2-SHA256存储，240000迭代。业务API默认登录保护；只读viewer不能修改，analyst可提出结论，reviewer负责复核，admin管理账号。通知收件和已读状态按人隔离。Webhook采用allowlist并默认干运行，避免测试真正外发。</w:t>
      </w:r>
    </w:p>
    <w:p>
      <w:pPr>
        <w:pStyle w:val="Heading1"/>
      </w:pPr>
      <w:r>
        <w:t>6 实验设计</w:t>
      </w:r>
    </w:p>
    <w:p>
      <w:r>
        <w:t>算法质量与工程可靠性分别评价。前者记录数据切分、标签来源、基线、指标和适用范围；后者运行后端／前端单测、HTTP验收、真实浏览器、协同状态链、10路同时写入审计及50独立身份混合负载。10路写入采用同一分析师身份的独立Session，跨角色协同另由不同账号验证。业务压测覆盖真实通知已读写入，GPU计算与模型并发容量采用独立实验，分别体现各链路能力。</w:t>
      </w:r>
    </w:p>
    <w:p>
      <w:r>
        <w:t>主办方公开验证集用于开发评测、阈值标定和少样本对照，各实验按数据用途分别记录。系统已建立300条人工复核队列，后续独立人工裁定与最终盲测按独立协议扩展，开发指标与人工评价各自保留清晰的数据来源。</w:t>
      </w:r>
    </w:p>
    <w:p>
      <w:pPr>
        <w:pStyle w:val="Heading1"/>
      </w:pPr>
      <w:r>
        <w:t>7 效果评估</w:t>
      </w:r>
    </w:p>
    <w:p>
      <w:r>
        <w:t>冻结数据规模和本次工程验收见05及机器证据。历史可核对实验：重复聚类pairwise precision 0.9959、F1 0.8569、B³ F1 0.9774；情绪macro-F1 0.6568，对照0.3048；事件类型micro-F1 0.4660，对照0.3333。实验设计、计分样本和基线对照统一见</w:t>
      </w:r>
      <w:hyperlink r:id="rId13">
        <w:r>
          <w:rPr>
            <w:color w:val="0563C1"/>
            <w:u w:val="single"/>
          </w:rPr>
          <w:t>测试报告</w:t>
        </w:r>
      </w:hyperlink>
      <w:r>
        <w:t>，历史结果由交付评测库中的运行台账追溯。</w:t>
      </w:r>
    </w:p>
    <w:p>
      <w:r>
        <w:t>事项实验分别记录线上方案0.4211和少样本对照0.6497，便于分析不同配置的效果。固定启发式检索标签上，候选命中率由BM25的88.3%提升至Fallback的89.4%；典型16例用于展示案例流程。候选命中、案例验证与独立人工事实评价分别统计，指标面向系统能力评价与业务复核。</w:t>
      </w:r>
    </w:p>
    <w:p>
      <w:pPr>
        <w:pStyle w:val="Heading1"/>
      </w:pPr>
      <w:r>
        <w:t>8 适用范围、不足分析与扩展路线</w:t>
      </w:r>
    </w:p>
    <w:p>
      <w:r>
        <w:t>本次以两家公司验证多源采集、时间解析、主张核验与协同闭环，并通过来源留存、版本管理和原文定位支撑结果复查。规则与模型结果可在人工复核队列中对照；候选因果关系为后续专项识别实验提供可追溯输入。原生SQLite单进程方案实现轻量部署，已验证25用户交互延迟目标与50用户持续运行可靠性；多节点容量按专门协议扩展。模型网关配置及版本独立管理，授权原始附件可按数据说明接入，实现更广公司的采集复算与人工评估。</w:t>
      </w:r>
    </w:p>
    <w:p>
      <w:r>
        <w:t>本轮已在独立4090D服务器完成固定93209段落／3922查询的3次BGE-M3 GPU编码与近邻计算，计时、吞吐、显存和平台回传结果见08及05报告。原编码实现、冻结输入和检索阈值保持一致；GPU数据与业务API延迟分别报告。更多batch、长度与严格同条件跨设备对比按04／07扩展。演示视频约3分14秒，与30页答辩PPT随V1.0交付，入口与摘要见</w:t>
      </w:r>
      <w:hyperlink r:id="rId14">
        <w:r>
          <w:rPr>
            <w:color w:val="0563C1"/>
            <w:u w:val="single"/>
          </w:rPr>
          <w:t>演示材料</w:t>
        </w:r>
      </w:hyperlink>
      <w:r>
        <w:t>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152" w:bottom="1440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 xml:space="preserve">正式提交版本 V1.0  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IssuerTrace · 比赛交付材料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DejaVu Sans" w:hAnsi="DejaVu Sans" w:eastAsia="Droid Sans Fallback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eastAsia="Droid Sans Fallback"/>
      <w:b/>
      <w:bCs/>
      <w:color w:val="253653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eastAsia="Droid Sans Fallback"/>
      <w:b/>
      <w:bCs/>
      <w:color w:val="253653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eastAsia="Droid Sans Fallback"/>
      <w:b/>
      <w:bCs/>
      <w:color w:val="25365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eastAsia="Droid Sans Fallback"/>
      <w:color w:val="253653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github.com/cccccrj/issuertrace-competition-submission/blob/v1.0/README.md#%E7%AB%8B%E5%8D%B3%E8%AE%BF%E9%97%AE" TargetMode="External"/><Relationship Id="rId12" Type="http://schemas.openxmlformats.org/officeDocument/2006/relationships/hyperlink" Target="https://github.com/cccccrj/issuertrace-competition-submission/blob/v1.0/docs/submission/%E5%A4%84%E7%90%86%E5%90%8E%E6%95%B0%E6%8D%AE%E4%BA%A4%E4%BB%98%E8%8C%83%E5%9B%B4.md" TargetMode="External"/><Relationship Id="rId13" Type="http://schemas.openxmlformats.org/officeDocument/2006/relationships/hyperlink" Target="https://github.com/cccccrj/issuertrace-competition-submission/blob/v1.0/docs/submission/05-%E6%B5%8B%E8%AF%95%E6%8A%A5%E5%91%8A.md#%E7%AE%97%E6%B3%95%E8%B4%A8%E9%87%8F%E8%AF%84%E4%BB%B7" TargetMode="External"/><Relationship Id="rId14" Type="http://schemas.openxmlformats.org/officeDocument/2006/relationships/hyperlink" Target="https://github.com/cccccrj/issuertrace-competition-submission/blob/v1.0/docs/submission/%E6%BC%94%E7%A4%BA%E6%9D%90%E6%96%99.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Submission project contributors</dc:creator>
  <cp:keywords/>
  <dc:description>generated by python-docx</dc:description>
  <cp:lastModifiedBy>Submission report generator</cp:lastModifiedBy>
  <cp:revision>1</cp:revision>
  <dcterms:created xsi:type="dcterms:W3CDTF">2013-12-23T23:15:00Z</dcterms:created>
  <dcterms:modified xsi:type="dcterms:W3CDTF">2013-12-23T23:15:00Z</dcterms:modified>
  <cp:category/>
</cp:coreProperties>
</file>