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数据说明</w:t>
      </w:r>
    </w:p>
    <w:p>
      <w:pPr>
        <w:pStyle w:val="Heading1"/>
      </w:pPr>
      <w:r>
        <w:t>1 数据集与规模</w:t>
      </w:r>
    </w:p>
    <w:p>
      <w:r>
        <w:t>v1.0提供完整处理后的业务与评测数据，具体范围见</w:t>
      </w:r>
      <w:hyperlink r:id="rId11">
        <w:r>
          <w:rPr>
            <w:color w:val="0563C1"/>
            <w:u w:val="single"/>
          </w:rPr>
          <w:t>处理后数据交付范围</w:t>
        </w:r>
      </w:hyperlink>
      <w:r>
        <w:t>。业务库、评测库、配套近邻与既有统计证据保持一致，按运行包清单及SHA256建立版本对应。</w:t>
      </w:r>
    </w:p>
    <w:p>
      <w:r>
        <w:t xml:space="preserve">业务与评测两套SQLite分别保存、独立统计。以下为本次交付处理后数据快照统计；全部表的字段类型、主键和行数在 </w:t>
      </w:r>
      <w:hyperlink r:id="rId12">
        <w:r>
          <w:rPr>
            <w:color w:val="0563C1"/>
            <w:u w:val="single"/>
          </w:rPr>
          <w:t>data-inventory.json</w:t>
        </w:r>
      </w:hyperlink>
      <w:r>
        <w:t>，可运行 python scripts/submission_inventory.py复核。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数据</w:t>
            </w:r>
          </w:p>
        </w:tc>
        <w:tc>
          <w:tcPr>
            <w:tcW w:type="dxa" w:w="3312"/>
          </w:tcPr>
          <w:p>
            <w:r>
              <w:t>表</w:t>
            </w:r>
          </w:p>
        </w:tc>
        <w:tc>
          <w:tcPr>
            <w:tcW w:type="dxa" w:w="3312"/>
          </w:tcPr>
          <w:p>
            <w:r>
              <w:t>行数／内容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自采文档</w:t>
            </w:r>
          </w:p>
        </w:tc>
        <w:tc>
          <w:tcPr>
            <w:tcW w:type="dxa" w:w="3312"/>
          </w:tcPr>
          <w:p>
            <w:r>
              <w:t>documents / document_versions</w:t>
            </w:r>
          </w:p>
        </w:tc>
        <w:tc>
          <w:tcPr>
            <w:tcW w:type="dxa" w:w="3312"/>
          </w:tcPr>
          <w:p>
            <w:r>
              <w:t>4190文档／4339版本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事件／要素</w:t>
            </w:r>
          </w:p>
        </w:tc>
        <w:tc>
          <w:tcPr>
            <w:tcW w:type="dxa" w:w="3312"/>
          </w:tcPr>
          <w:p>
            <w:r>
              <w:t>event_records / event_elements</w:t>
            </w:r>
          </w:p>
        </w:tc>
        <w:tc>
          <w:tcPr>
            <w:tcW w:type="dxa" w:w="3312"/>
          </w:tcPr>
          <w:p>
            <w:r>
              <w:t>1907／31137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原子主张／裁决</w:t>
            </w:r>
          </w:p>
        </w:tc>
        <w:tc>
          <w:tcPr>
            <w:tcW w:type="dxa" w:w="3312"/>
          </w:tcPr>
          <w:p>
            <w:r>
              <w:t>event_claims / claim_verdicts</w:t>
            </w:r>
          </w:p>
        </w:tc>
        <w:tc>
          <w:tcPr>
            <w:tcW w:type="dxa" w:w="3312"/>
          </w:tcPr>
          <w:p>
            <w:r>
              <w:t>3922／3922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披露证据段落</w:t>
            </w:r>
          </w:p>
        </w:tc>
        <w:tc>
          <w:tcPr>
            <w:tcW w:type="dxa" w:w="3312"/>
          </w:tcPr>
          <w:p>
            <w:r>
              <w:t>evidence_paragraphs</w:t>
            </w:r>
          </w:p>
        </w:tc>
        <w:tc>
          <w:tcPr>
            <w:tcW w:type="dxa" w:w="3312"/>
          </w:tcPr>
          <w:p>
            <w:r>
              <w:t>93209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重复</w:t>
            </w:r>
          </w:p>
        </w:tc>
        <w:tc>
          <w:tcPr>
            <w:tcW w:type="dxa" w:w="3312"/>
          </w:tcPr>
          <w:p>
            <w:r>
              <w:t>duplicate_clusters / duplicate_cluster_members</w:t>
            </w:r>
          </w:p>
        </w:tc>
        <w:tc>
          <w:tcPr>
            <w:tcW w:type="dxa" w:w="3312"/>
          </w:tcPr>
          <w:p>
            <w:r>
              <w:t>304簇／1488成员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传播</w:t>
            </w:r>
          </w:p>
        </w:tc>
        <w:tc>
          <w:tcPr>
            <w:tcW w:type="dxa" w:w="3312"/>
          </w:tcPr>
          <w:p>
            <w:r>
              <w:t>propagation_edges / propagation_components</w:t>
            </w:r>
          </w:p>
        </w:tc>
        <w:tc>
          <w:tcPr>
            <w:tcW w:type="dxa" w:w="3312"/>
          </w:tcPr>
          <w:p>
            <w:r>
              <w:t>2927边／1401分量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披露差异</w:t>
            </w:r>
          </w:p>
        </w:tc>
        <w:tc>
          <w:tcPr>
            <w:tcW w:type="dxa" w:w="3312"/>
          </w:tcPr>
          <w:p>
            <w:r>
              <w:t>disclosure_diffs</w:t>
            </w:r>
          </w:p>
        </w:tc>
        <w:tc>
          <w:tcPr>
            <w:tcW w:type="dxa" w:w="3312"/>
          </w:tcPr>
          <w:p>
            <w:r>
              <w:t>1212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问询</w:t>
            </w:r>
          </w:p>
        </w:tc>
        <w:tc>
          <w:tcPr>
            <w:tcW w:type="dxa" w:w="3312"/>
          </w:tcPr>
          <w:p>
            <w:r>
              <w:t>inquiry_questions / inquiry_triplets</w:t>
            </w:r>
          </w:p>
        </w:tc>
        <w:tc>
          <w:tcPr>
            <w:tcW w:type="dxa" w:w="3312"/>
          </w:tcPr>
          <w:p>
            <w:r>
              <w:t>16问题／80候选关联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事项</w:t>
            </w:r>
          </w:p>
        </w:tc>
        <w:tc>
          <w:tcPr>
            <w:tcW w:type="dxa" w:w="3312"/>
          </w:tcPr>
          <w:p>
            <w:r>
              <w:t>issue_ledger / issue_status_history</w:t>
            </w:r>
          </w:p>
        </w:tc>
        <w:tc>
          <w:tcPr>
            <w:tcW w:type="dxa" w:w="3312"/>
          </w:tcPr>
          <w:p>
            <w:r>
              <w:t>41事项／117机器状态记录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风险提醒</w:t>
            </w:r>
          </w:p>
        </w:tc>
        <w:tc>
          <w:tcPr>
            <w:tcW w:type="dxa" w:w="3312"/>
          </w:tcPr>
          <w:p>
            <w:r>
              <w:t>alerts</w:t>
            </w:r>
          </w:p>
        </w:tc>
        <w:tc>
          <w:tcPr>
            <w:tcW w:type="dxa" w:w="3312"/>
          </w:tcPr>
          <w:p>
            <w:r>
              <w:t>281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行情／财务</w:t>
            </w:r>
          </w:p>
        </w:tc>
        <w:tc>
          <w:tcPr>
            <w:tcW w:type="dxa" w:w="3312"/>
          </w:tcPr>
          <w:p>
            <w:r>
              <w:t>market_quotes / financial_indicators</w:t>
            </w:r>
          </w:p>
        </w:tc>
        <w:tc>
          <w:tcPr>
            <w:tcW w:type="dxa" w:w="3312"/>
          </w:tcPr>
          <w:p>
            <w:r>
              <w:t>2635日线／114数值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主办方评测</w:t>
            </w:r>
          </w:p>
        </w:tc>
        <w:tc>
          <w:tcPr>
            <w:tcW w:type="dxa" w:w="3312"/>
          </w:tcPr>
          <w:p>
            <w:r>
              <w:t>gold_articles / gold_event_labels / gold_event_schema</w:t>
            </w:r>
          </w:p>
        </w:tc>
        <w:tc>
          <w:tcPr>
            <w:tcW w:type="dxa" w:w="3312"/>
          </w:tcPr>
          <w:p>
            <w:r>
              <w:t>5327文章／3075标签／120事件定义</w:t>
            </w:r>
          </w:p>
        </w:tc>
      </w:tr>
    </w:tbl>
    <w:p>
      <w:r>
        <w:t>平台案例是长鑫科技、药明康德。主办方语料包含更广公司／行业，仅用于独立评测与开发标定，不并入平台案例事实库。两套数据库分别用于业务展示与算法评价，统计与用途独立呈现。</w:t>
      </w:r>
    </w:p>
    <w:p>
      <w:r>
        <w:t xml:space="preserve">数据时间范围按2026-09-04历史盘点记录：自采统计跨度2024-01-02至2026-09-04，主办方语料统计跨度2026-01-01至2026-05-29。该范围属于对应历史盘点；本次快照规模采用上表及字段清单。来源配置见 </w:t>
      </w:r>
      <w:hyperlink r:id="rId13">
        <w:r>
          <w:rPr>
            <w:color w:val="0563C1"/>
            <w:u w:val="single"/>
          </w:rPr>
          <w:t>sources.yaml</w:t>
        </w:r>
      </w:hyperlink>
      <w:r>
        <w:t>。S0为政府、交易所、法院等权威原始来源；S1为公司官网、公告镜像及授权问答；S2为独立媒体和行业媒体；S3为转载与聚合平台。来源层级评价权威性，来源独立性结合转载聚类与传播关系另行评价。</w:t>
      </w:r>
    </w:p>
    <w:p>
      <w:r>
        <w:t>本轮GPU实验使用上述快照的93209段证据及3922条主张，输入文件SHA256及段落指纹与冻结向量快照一致。受控输入在独立GPU实验环境的.private目录使用，报告仅分发输入摘要、编号／分数、性能采样与聚合效果；不向Git新增原始正文或模型权重。新近邻在独立目录完成导入和效果复核，现有运行快照中的裁决与近邻保持原样。</w:t>
      </w:r>
    </w:p>
    <w:p>
      <w:pPr>
        <w:pStyle w:val="Heading1"/>
      </w:pPr>
      <w:r>
        <w:t>2 关键字段含义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</w:tcPr>
          <w:p>
            <w:r>
              <w:t>字段组</w:t>
            </w:r>
          </w:p>
        </w:tc>
        <w:tc>
          <w:tcPr>
            <w:tcW w:type="dxa" w:w="4968"/>
          </w:tcPr>
          <w:p>
            <w:r>
              <w:t>意义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document_id / version_id / content_hash</w:t>
            </w:r>
          </w:p>
        </w:tc>
        <w:tc>
          <w:tcPr>
            <w:tcW w:type="dxa" w:w="4968"/>
          </w:tcPr>
          <w:p>
            <w:r>
              <w:t>文档标识、内容版本、原始内容哈希；通过哈希区分同URL的内容版本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company_id / source_id / source_tier</w:t>
            </w:r>
          </w:p>
        </w:tc>
        <w:tc>
          <w:tcPr>
            <w:tcW w:type="dxa" w:w="4968"/>
          </w:tcPr>
          <w:p>
            <w:r>
              <w:t>目标公司、来源站点、S0～S3证据等级；来源等级和来源独立性分别评价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published_at / published_basis / fetched_at</w:t>
            </w:r>
          </w:p>
        </w:tc>
        <w:tc>
          <w:tcPr>
            <w:tcW w:type="dxa" w:w="4968"/>
          </w:tcPr>
          <w:p>
            <w:r>
              <w:t>发布时间、时间推断来源、采集时间，三个维度独立存储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raw_path / extraction_status / inclusion_status</w:t>
            </w:r>
          </w:p>
        </w:tc>
        <w:tc>
          <w:tcPr>
            <w:tcW w:type="dxa" w:w="4968"/>
          </w:tcPr>
          <w:p>
            <w:r>
              <w:t>原始文件位置、解析结果、是否进入分析；跨环境复现按配置恢复相应路径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event_id / event_types_json / event_time / label_source</w:t>
            </w:r>
          </w:p>
        </w:tc>
        <w:tc>
          <w:tcPr>
            <w:tcW w:type="dxa" w:w="4968"/>
          </w:tcPr>
          <w:p>
            <w:r>
              <w:t>事件、类型集合、发生时间、模型或规则标签来源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raw_text / normalized_value / unit / basis / status</w:t>
            </w:r>
          </w:p>
        </w:tc>
        <w:tc>
          <w:tcPr>
            <w:tcW w:type="dxa" w:w="4968"/>
          </w:tcPr>
          <w:p>
            <w:r>
              <w:t>要素原文、归一值、单位、口径与归一状态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claim_id / source_start / source_end</w:t>
            </w:r>
          </w:p>
        </w:tc>
        <w:tc>
          <w:tcPr>
            <w:tcW w:type="dxa" w:w="4968"/>
          </w:tcPr>
          <w:p>
            <w:r>
              <w:t>原子主张和连续原文定位跨度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verdict / partial_subtype / method / confidence</w:t>
            </w:r>
          </w:p>
        </w:tc>
        <w:tc>
          <w:tcPr>
            <w:tcW w:type="dxa" w:w="4968"/>
          </w:tcPr>
          <w:p>
            <w:r>
              <w:t>四值核验、部分支持原因、方法、模型置信度；校准正确率按独立评价统计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evidence_version_id / evidence_page / evidence_text</w:t>
            </w:r>
          </w:p>
        </w:tc>
        <w:tc>
          <w:tcPr>
            <w:tcW w:type="dxa" w:w="4968"/>
          </w:tcPr>
          <w:p>
            <w:r>
              <w:t>被引用披露版本、页码、证据原文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issue_id / issue_code / status</w:t>
            </w:r>
          </w:p>
        </w:tc>
        <w:tc>
          <w:tcPr>
            <w:tcW w:type="dxa" w:w="4968"/>
          </w:tcPr>
          <w:p>
            <w:r>
              <w:t>持续事项实体、事项类别及生命周期状态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alert_id / level / risk_score</w:t>
            </w:r>
          </w:p>
        </w:tc>
        <w:tc>
          <w:tcPr>
            <w:tcW w:type="dxa" w:w="4968"/>
          </w:tcPr>
          <w:p>
            <w:r>
              <w:t>机器预警、等级、分数；人工判断另存处置表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username / role / recipient / actor / decided_at</w:t>
            </w:r>
          </w:p>
        </w:tc>
        <w:tc>
          <w:tcPr>
            <w:tcW w:type="dxa" w:w="4968"/>
          </w:tcPr>
          <w:p>
            <w:r>
              <w:t>账号、角色、收件人、人工操作者、记录时间；提交快照用新比赛账号</w:t>
            </w:r>
          </w:p>
        </w:tc>
      </w:tr>
    </w:tbl>
    <w:p>
      <w:pPr>
        <w:pStyle w:val="Heading1"/>
      </w:pPr>
      <w:r>
        <w:t>3 预处理</w:t>
      </w:r>
    </w:p>
    <w:p>
      <w:r>
        <w:t>保留原始内容及版本 → 正文解析（HTML/PDF等）→ 排除列表页、接口响应、无正文和非目标内容 → 时间与公司解析 → 规则守门 → 模型事件抽取 → 原文跨度校验 → 数量／币种／期间归一 → 披露段落索引 → 主张裁决与派生关系。</w:t>
      </w:r>
    </w:p>
    <w:p>
      <w:r>
        <w:t>检索体做繁简折叠、中文二元组和拉丁词切分；展示与引用保留原文措辞。披露段落承担事实核验依据，行情和市场反应提供辅助对照；因果分析按专项识别协议评价。采集与解析状态完整留存，支持覆盖率复核及样本追溯。</w:t>
      </w:r>
    </w:p>
    <w:p>
      <w:pPr>
        <w:pStyle w:val="Heading1"/>
      </w:pPr>
      <w:r>
        <w:t>4 脱敏与发布控制</w:t>
      </w:r>
    </w:p>
    <w:p>
      <w:r>
        <w:t>部署快照不是生产数据库原样复制。SQLite backup取得一致副本后，删除原生产账号哈希、人工复核／任务／分派、人工处置与审计、订阅与投递、通知与阅读记录、人工事项调整，并创建5个新的比赛账号。随后VACUUM清除空闲页中的旧哈希。源数据库不修改；清理表清单随证据提交。</w:t>
      </w:r>
    </w:p>
    <w:p>
      <w:r>
        <w:t>发布控制已隔离密钥、真实.env、原账号配置、机器访问日志和个人会话Cookie。公开文档中的公司名、人名及原文引用按来源保留，以支持实体识别和证据查证；非公开个人材料按独立审核与脱敏流程接入。</w:t>
      </w:r>
    </w:p>
    <w:p>
      <w:pPr>
        <w:pStyle w:val="Heading1"/>
      </w:pPr>
      <w:r>
        <w:t>5 使用限制与复现边界</w:t>
      </w:r>
    </w:p>
    <w:p>
      <w:r>
        <w:t>自采文本和公开披露的权利归原权利人，主办方评测数据按比赛授权使用。交付采用私有仓库授权或指定材料渠道，第三方数据的再利用按相应授权执行；公开镜像、商业分发与第三方转交需另行取得许可。</w:t>
      </w:r>
    </w:p>
    <w:p>
      <w:r>
        <w:t>运行包提供已解析证据段落、结构化结果、处理后的主办方评测数据、匹配的检索近邻、前端和数据库，可直接运行原型并查看已有实验。正文片段属于处理后内容，保留必要公司、日期、来源URL及公开披露信息以支持证据追溯。处理后业务库与评测库独立保存，配套索引按段落指纹匹配，支持直接部署与评审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IssuerTrace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issuertrace-competition-submission/blob/v1.0/docs/submission/%E5%A4%84%E7%90%86%E5%90%8E%E6%95%B0%E6%8D%AE%E4%BA%A4%E4%BB%98%E8%8C%83%E5%9B%B4.md" TargetMode="External"/><Relationship Id="rId12" Type="http://schemas.openxmlformats.org/officeDocument/2006/relationships/hyperlink" Target="https://github.com/cccccrj/issuertrace-competition-submission/blob/v1.0/docs/submission/evidence/data-inventory.json" TargetMode="External"/><Relationship Id="rId13" Type="http://schemas.openxmlformats.org/officeDocument/2006/relationships/hyperlink" Target="https://github.com/cccccrj/issuertrace-competition-submission/blob/v1.0/config/sources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