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模型、算法与参数说明</w:t>
      </w:r>
    </w:p>
    <w:p>
      <w:r>
        <w:t>本系统采用预训练模型直接推理，通过提示词、规则校验和检索编排适配金融事件任务，并结合独立离线向量计算。算法参数以源文件及随库保存的model_name／prompt_version为准，问答模型配置和历史批处理结论分别管理。</w:t>
      </w:r>
    </w:p>
    <w:p>
      <w:pPr>
        <w:pStyle w:val="Heading1"/>
      </w:pPr>
      <w:r>
        <w:t>1 方法与实现入口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方法</w:t>
            </w:r>
          </w:p>
        </w:tc>
        <w:tc>
          <w:tcPr>
            <w:tcW w:type="dxa" w:w="3312"/>
          </w:tcPr>
          <w:p>
            <w:r>
              <w:t>实现</w:t>
            </w:r>
          </w:p>
        </w:tc>
        <w:tc>
          <w:tcPr>
            <w:tcW w:type="dxa" w:w="3312"/>
          </w:tcPr>
          <w:p>
            <w:r>
              <w:t>参数／边界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事件抽取</w:t>
            </w:r>
          </w:p>
        </w:tc>
        <w:tc>
          <w:tcPr>
            <w:tcW w:type="dxa" w:w="3312"/>
          </w:tcPr>
          <w:p>
            <w:r>
              <w:t>processor/ai_label.py</w:t>
            </w:r>
          </w:p>
        </w:tc>
        <w:tc>
          <w:tcPr>
            <w:tcW w:type="dxa" w:w="3312"/>
          </w:tcPr>
          <w:p>
            <w:r>
              <w:t>event-label-v8；temperature=0；文本片段上限12000字符；默认workers=1，可选1～8；结构契约校验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数值归一与校验</w:t>
            </w:r>
          </w:p>
        </w:tc>
        <w:tc>
          <w:tcPr>
            <w:tcW w:type="dxa" w:w="3312"/>
          </w:tcPr>
          <w:p>
            <w:r>
              <w:t>processor/normalize.py、claim_verdict.py</w:t>
            </w:r>
          </w:p>
        </w:tc>
        <w:tc>
          <w:tcPr>
            <w:tcW w:type="dxa" w:w="3312"/>
          </w:tcPr>
          <w:p>
            <w:r>
              <w:t>Decimal处理单位倍率、币种和百分比；规则验证数值条件，披露证据与主张核验共同评价语义支持关系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证据检索</w:t>
            </w:r>
          </w:p>
        </w:tc>
        <w:tc>
          <w:tcPr>
            <w:tcW w:type="dxa" w:w="3312"/>
          </w:tcPr>
          <w:p>
            <w:r>
              <w:t>processor/claim_index.py</w:t>
            </w:r>
          </w:p>
        </w:tc>
        <w:tc>
          <w:tcPr>
            <w:tcW w:type="dxa" w:w="3312"/>
          </w:tcPr>
          <w:p>
            <w:r>
              <w:t>SQLite FTS5 BM25；中文二元组、繁简折叠；最多20稀有查询词，常见词占比阈值0.08；段落最低20字符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主张核验</w:t>
            </w:r>
          </w:p>
        </w:tc>
        <w:tc>
          <w:tcPr>
            <w:tcW w:type="dxa" w:w="3312"/>
          </w:tcPr>
          <w:p>
            <w:r>
              <w:t>processor/claim_verdict.py</w:t>
            </w:r>
          </w:p>
        </w:tc>
        <w:tc>
          <w:tcPr>
            <w:tcW w:type="dxa" w:w="3312"/>
          </w:tcPr>
          <w:p>
            <w:r>
              <w:t>claim-verdict-v3；候选5条，每条最多600字符；每25条小批量提交；四值结果与PARTIAL子类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向量召回</w:t>
            </w:r>
          </w:p>
        </w:tc>
        <w:tc>
          <w:tcPr>
            <w:tcW w:type="dxa" w:w="3312"/>
          </w:tcPr>
          <w:p>
            <w:r>
              <w:t>scripts/gpu/embed_neighbors.py</w:t>
            </w:r>
          </w:p>
        </w:tc>
        <w:tc>
          <w:tcPr>
            <w:tcW w:type="dxa" w:w="3312"/>
          </w:tcPr>
          <w:p>
            <w:r>
              <w:t>BGE-M3，L2归一余弦；同公司内top-k20；GPU上FP16；冻结batch64、max_length512；4090D全量复测见08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混合／兜底</w:t>
            </w:r>
          </w:p>
        </w:tc>
        <w:tc>
          <w:tcPr>
            <w:tcW w:type="dxa" w:w="3312"/>
          </w:tcPr>
          <w:p>
            <w:r>
              <w:t>processor/dense_index.py</w:t>
            </w:r>
          </w:p>
        </w:tc>
        <w:tc>
          <w:tcPr>
            <w:tcW w:type="dxa" w:w="3312"/>
          </w:tcPr>
          <w:p>
            <w:r>
              <w:t>RRF_K=60、FUSION_DEPTH=20；fallback最多追加2条dense-only候选；索引指纹防错配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研判助手</w:t>
            </w:r>
          </w:p>
        </w:tc>
        <w:tc>
          <w:tcPr>
            <w:tcW w:type="dxa" w:w="3312"/>
          </w:tcPr>
          <w:p>
            <w:r>
              <w:t>api/assistant.py</w:t>
            </w:r>
          </w:p>
        </w:tc>
        <w:tc>
          <w:tcPr>
            <w:tcW w:type="dxa" w:w="3312"/>
          </w:tcPr>
          <w:p>
            <w:r>
              <w:t>6种只读工具；最多6步；问题300字符；观察2400字符；引用摘录160字符；单次网关45秒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近重复聚类</w:t>
            </w:r>
          </w:p>
        </w:tc>
        <w:tc>
          <w:tcPr>
            <w:tcW w:type="dxa" w:w="3312"/>
          </w:tcPr>
          <w:p>
            <w:r/>
            <w:hyperlink r:id="rId11">
              <w:r>
                <w:rPr>
                  <w:color w:val="0563C1"/>
                  <w:u w:val="single"/>
                </w:rPr>
                <w:t>pipeline.py：build_duplicate_clusters</w:t>
              </w:r>
            </w:hyperlink>
            <w:r/>
          </w:p>
        </w:tc>
        <w:tc>
          <w:tcPr>
            <w:tcW w:type="dxa" w:w="3312"/>
          </w:tcPr>
          <w:p>
            <w:r>
              <w:t>同公司候选；SimHash 8 bands、Hamming≤16；同标题Jaccard≥0.72、纯正文≥0.86；同标题containment≥0.80且日期差≤7天；模板数字否决默认关闭（TEMPLATE_TEXT_BAR=None）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版本比对</w:t>
            </w:r>
          </w:p>
        </w:tc>
        <w:tc>
          <w:tcPr>
            <w:tcW w:type="dxa" w:w="3312"/>
          </w:tcPr>
          <w:p>
            <w:r/>
            <w:hyperlink r:id="rId12">
              <w:r>
                <w:rPr>
                  <w:color w:val="0563C1"/>
                  <w:u w:val="single"/>
                </w:rPr>
                <w:t>disclosure_diff.py：align_sections／diff_section</w:t>
              </w:r>
            </w:hyperlink>
            <w:r/>
          </w:p>
        </w:tc>
        <w:tc>
          <w:tcPr>
            <w:tcW w:type="dxa" w:w="3312"/>
          </w:tcPr>
          <w:p>
            <w:r>
              <w:t>相邻版本正文／章节→数字、增加、删除、修改记录；REWRITE_SIMILARITY=0.60、段落最低30字符；METRIC_WINDOW=24、MIN_METRIC_CHARS=2、MAX_FIGURE_DIGITS=15；默认prospectus、仅有页码版本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传播关联</w:t>
            </w:r>
          </w:p>
        </w:tc>
        <w:tc>
          <w:tcPr>
            <w:tcW w:type="dxa" w:w="3312"/>
          </w:tcPr>
          <w:p>
            <w:r/>
            <w:hyperlink r:id="rId13">
              <w:r>
                <w:rPr>
                  <w:color w:val="0563C1"/>
                  <w:u w:val="single"/>
                </w:rPr>
                <w:t>propagation.py：duplicate_edges／sequence_edges</w:t>
              </w:r>
            </w:hyperlink>
            <w:r/>
          </w:p>
        </w:tc>
        <w:tc>
          <w:tcPr>
            <w:tcW w:type="dxa" w:w="3312"/>
          </w:tcPr>
          <w:p>
            <w:r>
              <w:t>重复簇、裁决及同事项时序→有来源的传播边；REPOST=0.90、FOLLOW_UP=0.30、REACTION=0.15；回看30天／最多40候选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问询与披露关联</w:t>
            </w:r>
          </w:p>
        </w:tc>
        <w:tc>
          <w:tcPr>
            <w:tcW w:type="dxa" w:w="3312"/>
          </w:tcPr>
          <w:p>
            <w:r/>
            <w:hyperlink r:id="rId14">
              <w:r>
                <w:rPr>
                  <w:color w:val="0563C1"/>
                  <w:u w:val="single"/>
                </w:rPr>
                <w:t>inquiry_align.py：align_question</w:t>
              </w:r>
            </w:hyperlink>
            <w:r/>
          </w:p>
        </w:tc>
        <w:tc>
          <w:tcPr>
            <w:tcW w:type="dxa" w:w="3312"/>
          </w:tcPr>
          <w:p>
            <w:r>
              <w:t>问询结构、答复段落及披露差异→关联三元组；稀有共享词门槛12、短问题分母3、分数≥0.05、每问题最多5个差异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事项标签与行业约束</w:t>
            </w:r>
          </w:p>
        </w:tc>
        <w:tc>
          <w:tcPr>
            <w:tcW w:type="dxa" w:w="3312"/>
          </w:tcPr>
          <w:p>
            <w:r/>
            <w:hyperlink r:id="rId15">
              <w:r>
                <w:rPr>
                  <w:color w:val="0563C1"/>
                  <w:u w:val="single"/>
                </w:rPr>
                <w:t>issue_codes.py</w:t>
              </w:r>
            </w:hyperlink>
            <w:r>
              <w:t>、</w:t>
            </w:r>
            <w:hyperlink r:id="rId16">
              <w:r>
                <w:rPr>
                  <w:color w:val="0563C1"/>
                  <w:u w:val="single"/>
                </w:rPr>
                <w:t>issue_scope.py：backfill</w:t>
              </w:r>
            </w:hyperlink>
            <w:r>
              <w:t>、</w:t>
            </w:r>
            <w:hyperlink r:id="rId11">
              <w:r>
                <w:rPr>
                  <w:color w:val="0563C1"/>
                  <w:u w:val="single"/>
                </w:rPr>
                <w:t>pipeline.py</w:t>
              </w:r>
            </w:hyperlink>
            <w:r/>
          </w:p>
        </w:tc>
        <w:tc>
          <w:tcPr>
            <w:tcW w:type="dxa" w:w="3312"/>
          </w:tcPr>
          <w:p>
            <w:r>
              <w:t>文本预算1800字符、每事件最多2标签、issue-codes-v2；按公司行业校验标签，生命周期写入事项与状态历史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候选因果</w:t>
            </w:r>
          </w:p>
        </w:tc>
        <w:tc>
          <w:tcPr>
            <w:tcW w:type="dxa" w:w="3312"/>
          </w:tcPr>
          <w:p>
            <w:r/>
            <w:hyperlink r:id="rId17">
              <w:r>
                <w:rPr>
                  <w:color w:val="0563C1"/>
                  <w:u w:val="single"/>
                </w:rPr>
                <w:t>causal_link.py：merge_candidates</w:t>
              </w:r>
            </w:hyperlink>
            <w:r/>
          </w:p>
        </w:tc>
        <w:tc>
          <w:tcPr>
            <w:tcW w:type="dxa" w:w="3312"/>
          </w:tcPr>
          <w:p>
            <w:r>
              <w:t>五条候选路径→带方向与证据的候选关系；共享要素≥2、通用要素cutoff=60、时间窗90天；显式引用回看30天、containment≥0.60；causal-link-v1、单侧文本1200字符、主张最多5条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查询</w:t>
            </w:r>
          </w:p>
        </w:tc>
        <w:tc>
          <w:tcPr>
            <w:tcW w:type="dxa" w:w="3312"/>
          </w:tcPr>
          <w:p>
            <w:r>
              <w:t>api/routes/、api/db.py</w:t>
            </w:r>
          </w:p>
        </w:tc>
        <w:tc>
          <w:tcPr>
            <w:tcW w:type="dxa" w:w="3312"/>
          </w:tcPr>
          <w:p>
            <w:r>
              <w:t>参数化SQLite查询、固定字段与分页；助手不生成任意SQL，不执行模型自由输出SQL</w:t>
            </w:r>
          </w:p>
        </w:tc>
      </w:tr>
    </w:tbl>
    <w:p>
      <w:r>
        <w:t>线上批量结论主要来自qwen-plus；在线助手单独选kimi-k3。模型权重和API密钥独立管理。temperature=0用于降低采样随机性，模型名称、提示词版本与运行结果留存，支持远端服务版本变化时的结果追溯。</w:t>
      </w:r>
    </w:p>
    <w:p>
      <w:r>
        <w:t>上述配置为提交源码默认参数；算法评价设计与样本口径统一见</w:t>
      </w:r>
      <w:hyperlink r:id="rId18">
        <w:r>
          <w:rPr>
            <w:color w:val="0563C1"/>
            <w:u w:val="single"/>
          </w:rPr>
          <w:t>测试报告</w:t>
        </w:r>
      </w:hyperlink>
      <w:r>
        <w:t>。关键方法如下：</w:t>
      </w:r>
    </w:p>
    <w:p>
      <w:pPr>
        <w:pStyle w:val="ListBullet"/>
      </w:pPr>
      <w:r>
        <w:t>聚类先按公司约束生成SimHash分带候选，再用标题与正文Jaccard判断相似性；同标题包含度分支支持短讯与长文转载匹配。成员与代表文档逐一比较，代表按发布时间选择。参数在train切分标定，test按冻结配置评价；模板数字否决分支保留为默认关闭的可选实验开关。</w:t>
      </w:r>
    </w:p>
    <w:p>
      <w:pPr>
        <w:pStyle w:val="ListBullet"/>
      </w:pPr>
      <w:r>
        <w:t>版本比对按相邻披露版本对齐章节和段落，识别正文增删改与数值变化，并保留版本、页码及文本定位。问询关联将问题与披露差异按稀有共享词匹配，输出可供复核的候选三元组。</w:t>
      </w:r>
    </w:p>
    <w:p>
      <w:pPr>
        <w:pStyle w:val="ListBullet"/>
      </w:pPr>
      <w:r>
        <w:t>传播分析结合重复簇、同事项时间顺序和来源，形成转载、后续报道与反应边；同一传播分量用于来源独立性计数，边类型与分数按实现配置保存。</w:t>
      </w:r>
    </w:p>
    <w:p>
      <w:pPr>
        <w:pStyle w:val="ListBullet"/>
      </w:pPr>
      <w:r>
        <w:t>候选因果结合主张、显式引用、共享要素及时间窗生成候选，再输出带方向和证据的关系供人工研判；其评价按独立因果标注协议开展。</w:t>
      </w:r>
    </w:p>
    <w:p>
      <w:pPr>
        <w:pStyle w:val="ListBullet"/>
      </w:pPr>
      <w:r>
        <w:t>事项按标签及公司行业约束归并，维护机器状态历史；人工研判与处置独立留痕，支持机器依据和人工结论共同追溯。</w:t>
      </w:r>
    </w:p>
    <w:p>
      <w:r>
        <w:t>聚类阈值来自对应train标定记录；传播、版本对齐和候选关系的默认阈值属于可配置工程参数，其实现契约与流程由回归测试验证，质量按各自标注集评价。</w:t>
      </w:r>
    </w:p>
    <w:p>
      <w:pPr>
        <w:pStyle w:val="Heading1"/>
      </w:pPr>
      <w:r>
        <w:t>2 检索与裁决</w:t>
      </w:r>
    </w:p>
    <w:p>
      <w:r>
        <w:t>BM25承担平台证据搜索与助手查询；BGE-M3通过离线GPU批处理生成近邻，向主张裁决提供可选fallback／hybrid输入。相似度用于候选排序，事实支持关系由披露证据与四值裁决评价。索引paragraph_fingerprint及输入SHA-256匹配校验确保近邻与当前段落版本关联正确。</w:t>
      </w:r>
    </w:p>
    <w:p>
      <w:r>
        <w:t>裁决输出：SUPPORTED（得到支持）、PARTIAL（部分支持，包括时间／数量／主体／限定词／因果附加等）、CONFLICT（明确矛盾）、UNVERIFIABLE（当前证据不足）。非UNVERIFIABLE结果需要可定位披露依据。人工review_decisions和alert_dispositions是独立记录，不覆盖claim_verdicts。</w:t>
      </w:r>
    </w:p>
    <w:p>
      <w:pPr>
        <w:pStyle w:val="Heading1"/>
      </w:pPr>
      <w:r>
        <w:t>3 来源约束、安全控制与人工复核</w:t>
      </w:r>
    </w:p>
    <w:p>
      <w:r>
        <w:t>系统实现材料与指令隔离、JSON契约校验及工具白名单。助手引用与本次检索结果绑定，过滤缺少来源的句子，提供来源追溯、原文定位与人工复核入口。引用与回答的语义支持关系结合披露内容及业务复核确认，形成检索、解释、复核的闭环。服务状态通过available显式返回，离线模式保持查询、阅读、导出与协同可用。</w:t>
      </w:r>
    </w:p>
    <w:p>
      <w:pPr>
        <w:pStyle w:val="Heading1"/>
      </w:pPr>
      <w:r>
        <w:t>4 实验复现</w:t>
      </w:r>
    </w:p>
    <w:p>
      <w:r>
        <w:t>评测入口为</w:t>
      </w:r>
      <w:hyperlink r:id="rId19">
        <w:r>
          <w:rPr>
            <w:color w:val="0563C1"/>
            <w:u w:val="single"/>
          </w:rPr>
          <w:t>processor/benchmark.py</w:t>
        </w:r>
      </w:hyperlink>
      <w:r>
        <w:t>，样本和运行记录随处理后评测库交付。事件类型、影响方向、近重复聚类的已测质量及分母见</w:t>
      </w:r>
      <w:hyperlink r:id="rId18">
        <w:r>
          <w:rPr>
            <w:color w:val="0563C1"/>
            <w:u w:val="single"/>
          </w:rPr>
          <w:t>测试报告</w:t>
        </w:r>
      </w:hyperlink>
      <w:r>
        <w:t>；证据裁决、数值支持和候选关系采用各自独立人工标注协议。参数与提示词选择使用train，test作为公开验证集报告冻结配置结果；独立盲测按另设数据协议执行。单元测试使用独立合成夹具验证实现契约。</w:t>
      </w:r>
    </w:p>
    <w:p>
      <w:pPr>
        <w:spacing w:after="0"/>
      </w:pPr>
      <w:r>
        <w:rPr>
          <w:rFonts w:ascii="DejaVu Sans Mono" w:hAnsi="DejaVu Sans Mono"/>
          <w:sz w:val="16"/>
        </w:rPr>
        <w:t>python -m processor.benchmark --help</w:t>
      </w:r>
    </w:p>
    <w:p>
      <w:r>
        <w:t>运行包已带处理后评测数据库，既有结果可直接查询benchmark_runs及benchmark_metrics；重新评价按上述命令帮助选择任务、切分及模型配置，模型路径需配置自有API。</w:t>
      </w:r>
    </w:p>
    <w:p>
      <w:r>
        <w:t>向量导出不需要GPU：</w:t>
      </w:r>
    </w:p>
    <w:p>
      <w:pPr>
        <w:spacing w:after="0"/>
      </w:pPr>
      <w:r>
        <w:rPr>
          <w:rFonts w:ascii="DejaVu Sans Mono" w:hAnsi="DejaVu Sans Mono"/>
          <w:sz w:val="16"/>
        </w:rPr>
        <w:t>python -m processor.dense_index export --out artifacts/gpu-bundle</w:t>
      </w:r>
    </w:p>
    <w:p>
      <w:pPr>
        <w:spacing w:after="0"/>
      </w:pPr>
      <w:r>
        <w:rPr>
          <w:rFonts w:ascii="DejaVu Sans Mono" w:hAnsi="DejaVu Sans Mono"/>
          <w:sz w:val="16"/>
        </w:rPr>
        <w:t>python scripts/gpu/embed_neighbors.py --help</w:t>
      </w:r>
    </w:p>
    <w:p>
      <w:r>
        <w:t>GPU环境配置torch、sentence-transformers与授权模型权重，计算产物回传平台导入与评测。正式结果使用真实CUDA与BGE-M3；fake-encoder作为独立联调模式使用。</w:t>
      </w:r>
    </w:p>
    <w:p>
      <w:pPr>
        <w:pStyle w:val="Heading1"/>
      </w:pPr>
      <w:r>
        <w:t>5 GPU已完成实验与扩展协议</w:t>
      </w:r>
    </w:p>
    <w:p>
      <w:pPr>
        <w:pStyle w:val="Heading2"/>
      </w:pPr>
      <w:r>
        <w:t>本次已复现的CPU检索效果</w:t>
      </w:r>
    </w:p>
    <w:p>
      <w:r>
        <w:t>冻结快照上的CPU评价复用已有BGE-M3近邻；4090D全量重算及回传复核见08。启发式检索标签基于同公司内至少两项显著数值共现或英文6词连续片段，排除主张自身源文档。跨语195、数值357、英文原句842三个样本集独立展示，去重联合为1175条主张；此处评价候选命中，独立人工事实评价按另设协议开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</w:tcPr>
          <w:p>
            <w:r>
              <w:t>1175条联合样本</w:t>
            </w:r>
          </w:p>
        </w:tc>
        <w:tc>
          <w:tcPr>
            <w:tcW w:type="dxa" w:w="1987"/>
          </w:tcPr>
          <w:p>
            <w:r>
              <w:t>BM25</w:t>
            </w:r>
          </w:p>
        </w:tc>
        <w:tc>
          <w:tcPr>
            <w:tcW w:type="dxa" w:w="1987"/>
          </w:tcPr>
          <w:p>
            <w:r>
              <w:t>Dense</w:t>
            </w:r>
          </w:p>
        </w:tc>
        <w:tc>
          <w:tcPr>
            <w:tcW w:type="dxa" w:w="1987"/>
          </w:tcPr>
          <w:p>
            <w:r>
              <w:t>Hybrid</w:t>
            </w:r>
          </w:p>
        </w:tc>
        <w:tc>
          <w:tcPr>
            <w:tcW w:type="dxa" w:w="1987"/>
          </w:tcPr>
          <w:p>
            <w:r>
              <w:t>Fallback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recall@5</w:t>
            </w:r>
          </w:p>
        </w:tc>
        <w:tc>
          <w:tcPr>
            <w:tcW w:type="dxa" w:w="1987"/>
          </w:tcPr>
          <w:p>
            <w:r>
              <w:t>0.8826</w:t>
            </w:r>
          </w:p>
        </w:tc>
        <w:tc>
          <w:tcPr>
            <w:tcW w:type="dxa" w:w="1987"/>
          </w:tcPr>
          <w:p>
            <w:r>
              <w:t>0.6689</w:t>
            </w:r>
          </w:p>
        </w:tc>
        <w:tc>
          <w:tcPr>
            <w:tcW w:type="dxa" w:w="1987"/>
          </w:tcPr>
          <w:p>
            <w:r>
              <w:t>0.8757</w:t>
            </w:r>
          </w:p>
        </w:tc>
        <w:tc>
          <w:tcPr>
            <w:tcW w:type="dxa" w:w="1987"/>
          </w:tcPr>
          <w:p>
            <w:r>
              <w:t>0.8826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实际候选中命中率</w:t>
            </w:r>
          </w:p>
        </w:tc>
        <w:tc>
          <w:tcPr>
            <w:tcW w:type="dxa" w:w="1987"/>
          </w:tcPr>
          <w:p>
            <w:r>
              <w:t>0.8826</w:t>
            </w:r>
          </w:p>
        </w:tc>
        <w:tc>
          <w:tcPr>
            <w:tcW w:type="dxa" w:w="1987"/>
          </w:tcPr>
          <w:p>
            <w:r>
              <w:t>0.6689</w:t>
            </w:r>
          </w:p>
        </w:tc>
        <w:tc>
          <w:tcPr>
            <w:tcW w:type="dxa" w:w="1987"/>
          </w:tcPr>
          <w:p>
            <w:r>
              <w:t>0.8757</w:t>
            </w:r>
          </w:p>
        </w:tc>
        <w:tc>
          <w:tcPr>
            <w:tcW w:type="dxa" w:w="1987"/>
          </w:tcPr>
          <w:p>
            <w:r>
              <w:t>0.8936</w:t>
            </w:r>
          </w:p>
        </w:tc>
      </w:tr>
    </w:tbl>
    <w:p>
      <w:r>
        <w:t xml:space="preserve">Fallback在BM25五条候选上最多追加两条向量候选，实际候选命中率达到0.8936，BM25基线为0.8826；该配置明确记录五条／最多七条的候选预算。经固定策略评价，提交方案保持BM25主路径和可选向量兜底，以保留英文原句检索表现。Hybrid对照的跨语recall@5增益为0.0052，英文原句recall@5变化为−0.0273；预先设定的全局替换标准为增益≥0.10且损失≤0.02。完整分组、UNVERIFIABLE子集与方案选择见 </w:t>
      </w:r>
      <w:hyperlink r:id="rId20">
        <w:r>
          <w:rPr>
            <w:color w:val="0563C1"/>
            <w:u w:val="single"/>
          </w:rPr>
          <w:t>retrieval-evaluation.json</w:t>
        </w:r>
      </w:hyperlink>
      <w:r>
        <w:t>。</w:t>
      </w:r>
    </w:p>
    <w:p>
      <w:pPr>
        <w:pStyle w:val="Heading2"/>
      </w:pPr>
      <w:r>
        <w:t>4090D完整计时与复现协议</w:t>
      </w:r>
    </w:p>
    <w:p>
      <w:r>
        <w:t>本轮在独立4090D服务器对同一输入哈希、93209段落／3922查询、batch64／max_length512／top-k20执行3次完整复测，实际CUDA采样、向量归一、查询覆盖与同公司范围检查均通过。全流程平均58.028秒，编码平均57.360秒，近邻平均0.393秒，驻留显存峰值3493MiB，完整结果见08及evidence/gpu-timing/。权重摘要、实际依赖和基准脚本摘要一并冻结。</w:t>
      </w:r>
    </w:p>
    <w:p>
      <w:r>
        <w:t>三轮完整计算开始前先预热，编码／近邻阶段前后进行CUDA同步，均值、样本标准差、P95、torch峰值及每250ms GPU采样分别记录。导入使用原dense_index.install，在私有新目录完成摘要、段落指纹及3922条主张关联检查，冻结运行近邻和裁决不被替换。FP16分数验收采用0.005舍入容差，原分数和排序保持不变。GPU环境锁与安装要求独立于轻量平台依赖。</w:t>
      </w:r>
    </w:p>
    <w:p>
      <w:r>
        <w:t>历史V10032GB、同规模输入约161.6秒作为已有记录独立保留；历史模型revision、驱动和软件未完整冻结，因此本轮分别报告设备结果，严格跨设备加速比另设同条件对照。双V100的实际多卡并行需有实现和日志。更多GPU硬件、batch、长度及训练实验按07扩展，计算性能与历史算法质量采用各自对应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IssuerTrace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issuertrace-competition-submission/blob/v1.0/processor/pipeline.py" TargetMode="External"/><Relationship Id="rId12" Type="http://schemas.openxmlformats.org/officeDocument/2006/relationships/hyperlink" Target="https://github.com/cccccrj/issuertrace-competition-submission/blob/v1.0/processor/disclosure_diff.py" TargetMode="External"/><Relationship Id="rId13" Type="http://schemas.openxmlformats.org/officeDocument/2006/relationships/hyperlink" Target="https://github.com/cccccrj/issuertrace-competition-submission/blob/v1.0/processor/propagation.py" TargetMode="External"/><Relationship Id="rId14" Type="http://schemas.openxmlformats.org/officeDocument/2006/relationships/hyperlink" Target="https://github.com/cccccrj/issuertrace-competition-submission/blob/v1.0/processor/inquiry_align.py" TargetMode="External"/><Relationship Id="rId15" Type="http://schemas.openxmlformats.org/officeDocument/2006/relationships/hyperlink" Target="https://github.com/cccccrj/issuertrace-competition-submission/blob/v1.0/processor/issue_codes.py" TargetMode="External"/><Relationship Id="rId16" Type="http://schemas.openxmlformats.org/officeDocument/2006/relationships/hyperlink" Target="https://github.com/cccccrj/issuertrace-competition-submission/blob/v1.0/processor/issue_scope.py" TargetMode="External"/><Relationship Id="rId17" Type="http://schemas.openxmlformats.org/officeDocument/2006/relationships/hyperlink" Target="https://github.com/cccccrj/issuertrace-competition-submission/blob/v1.0/processor/causal_link.py" TargetMode="External"/><Relationship Id="rId18" Type="http://schemas.openxmlformats.org/officeDocument/2006/relationships/hyperlink" Target="https://github.com/cccccrj/issuertrace-competition-submission/blob/v1.0/docs/submission/05-%E6%B5%8B%E8%AF%95%E6%8A%A5%E5%91%8A.md#%E7%AE%97%E6%B3%95%E8%B4%A8%E9%87%8F%E8%AF%84%E4%BB%B7" TargetMode="External"/><Relationship Id="rId19" Type="http://schemas.openxmlformats.org/officeDocument/2006/relationships/hyperlink" Target="https://github.com/cccccrj/issuertrace-competition-submission/blob/v1.0/processor/benchmark.py" TargetMode="External"/><Relationship Id="rId20" Type="http://schemas.openxmlformats.org/officeDocument/2006/relationships/hyperlink" Target="https://github.com/cccccrj/issuertrace-competition-submission/blob/v1.0/docs/submission/evidence/retrieval-evalu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