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整体测试与效果评估</w:t>
      </w:r>
    </w:p>
    <w:p>
      <w:pPr>
        <w:pStyle w:val="Heading1"/>
      </w:pPr>
      <w:r>
        <w:t>测试环境与验证范围</w:t>
      </w:r>
    </w:p>
    <w:p>
      <w:r>
        <w:t>测试源码基线：58c47073c5cf3ab943c91900d8bf23cc133c59c7。业务评测环境采用Linux、64逻辑CPU（双路Hygon C86 7185）、约128GB内存；Python3.12、FastAPI0.141.1／Uvicorn0.52.4、单worker，前端以Node22.22.2构建。提交依赖锁采用cryptography50.0.2／urllib3 2.8.0，已完成独立新venv的功能与全量回归。持续负载实测采用cryptography45.0.7／urllib3 2.7.0，结果按对应实验版本分别记录。</w:t>
      </w:r>
    </w:p>
    <w:p>
      <w:r>
        <w:t>公网入口完成轻量验收，压力写入在应用服务独立目录、SQLite和127.0.0.1:8013端口执行。负载发生器位于应用服务，指标为本机应用端到端响应；公网网络与反向代理响应另行测量。4090D完成独立离线GPU计算，设备及输入详情见08。</w:t>
      </w:r>
    </w:p>
    <w:p>
      <w:pPr>
        <w:pStyle w:val="Heading1"/>
      </w:pPr>
      <w:r>
        <w:t>已完成的工程验证</w:t>
      </w:r>
    </w:p>
    <w:p>
      <w:r>
        <w:t>正式交付整理验证：本轮后端回归共1829项，1811项通过、18项按环境条件跳过；材料、访问安全、文档范围与演示附件专项检查30项通过。部署包说明及文档范围另有12项针对性检查通过。本地演示密码已与线上凭据分离，117张非身份表逐行保持一致。部署信息与凭据扫描覆盖源码、正式报告、图像及发布附件；冻结版本的核验摘要见Release中的RELEASE-VALIDATION.json。历史容量与GPU指标继续按原实验条件呈现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</w:tcPr>
          <w:p>
            <w:r>
              <w:t>项目</w:t>
            </w:r>
          </w:p>
        </w:tc>
        <w:tc>
          <w:tcPr>
            <w:tcW w:type="dxa" w:w="3312"/>
          </w:tcPr>
          <w:p>
            <w:r>
              <w:t>已验证成果</w:t>
            </w:r>
          </w:p>
        </w:tc>
        <w:tc>
          <w:tcPr>
            <w:tcW w:type="dxa" w:w="3312"/>
          </w:tcPr>
          <w:p>
            <w:r>
              <w:t>证据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前端单元／组件</w:t>
            </w:r>
          </w:p>
        </w:tc>
        <w:tc>
          <w:tcPr>
            <w:tcW w:type="dxa" w:w="3312"/>
          </w:tcPr>
          <w:p>
            <w:r>
              <w:t>31文件、406项通过，Node22.22.2环境7.51秒</w:t>
            </w:r>
          </w:p>
        </w:tc>
        <w:tc>
          <w:tcPr>
            <w:tcW w:type="dxa" w:w="3312"/>
          </w:tcPr>
          <w:p>
            <w:r>
              <w:t>evidence/frontend-unit-final.log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前端源码构建</w:t>
            </w:r>
          </w:p>
        </w:tc>
        <w:tc>
          <w:tcPr>
            <w:tcW w:type="dxa" w:w="3312"/>
          </w:tcPr>
          <w:p>
            <w:r>
              <w:t>干净npm ci后构建成功，生成完整部署产物</w:t>
            </w:r>
          </w:p>
        </w:tc>
        <w:tc>
          <w:tcPr>
            <w:tcW w:type="dxa" w:w="3312"/>
          </w:tcPr>
          <w:p>
            <w:r>
              <w:t>evidence/frontend-build-final.log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公网HTTP</w:t>
            </w:r>
          </w:p>
        </w:tc>
        <w:tc>
          <w:tcPr>
            <w:tcW w:type="dxa" w:w="3312"/>
          </w:tcPr>
          <w:p>
            <w:r>
              <w:t>45项功能验收通过</w:t>
            </w:r>
          </w:p>
        </w:tc>
        <w:tc>
          <w:tcPr>
            <w:tcW w:type="dxa" w:w="3312"/>
          </w:tcPr>
          <w:p>
            <w:r>
              <w:t>evidence/production/acceptance.json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功能／权限／协同</w:t>
            </w:r>
          </w:p>
        </w:tc>
        <w:tc>
          <w:tcPr>
            <w:tcW w:type="dxa" w:w="3312"/>
          </w:tcPr>
          <w:p>
            <w:r>
              <w:t>65项通过，覆盖完整业务流转与角色控制</w:t>
            </w:r>
          </w:p>
        </w:tc>
        <w:tc>
          <w:tcPr>
            <w:tcW w:type="dxa" w:w="3312"/>
          </w:tcPr>
          <w:p>
            <w:r>
              <w:t>evidence/isolated/acceptance.json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同身份并发意见保存</w:t>
            </w:r>
          </w:p>
        </w:tc>
        <w:tc>
          <w:tcPr>
            <w:tcW w:type="dxa" w:w="3312"/>
          </w:tcPr>
          <w:p>
            <w:r>
              <w:t>10路均返回200，10条审计意见完整留存</w:t>
            </w:r>
          </w:p>
        </w:tc>
        <w:tc>
          <w:tcPr>
            <w:tcW w:type="dxa" w:w="3312"/>
          </w:tcPr>
          <w:p>
            <w:r>
              <w:t>同上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公网研判助手</w:t>
            </w:r>
          </w:p>
        </w:tc>
        <w:tc>
          <w:tcPr>
            <w:tcW w:type="dxa" w:w="3312"/>
          </w:tcPr>
          <w:p>
            <w:r>
              <w:t>SSE200、available=true，首次事件0.136秒、总42.046秒</w:t>
            </w:r>
          </w:p>
        </w:tc>
        <w:tc>
          <w:tcPr>
            <w:tcW w:type="dxa" w:w="3312"/>
          </w:tcPr>
          <w:p>
            <w:r>
              <w:t>evidence/production/assistant.json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浏览器页面</w:t>
            </w:r>
          </w:p>
        </w:tc>
        <w:tc>
          <w:tcPr>
            <w:tcW w:type="dxa" w:w="3312"/>
          </w:tcPr>
          <w:p>
            <w:r>
              <w:t>1512浅色31页、2560深色7页、1280深色9页完成验证</w:t>
            </w:r>
          </w:p>
        </w:tc>
        <w:tc>
          <w:tcPr>
            <w:tcW w:type="dxa" w:w="3312"/>
          </w:tcPr>
          <w:p>
            <w:r>
              <w:t>evidence/ui/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干净原生部署</w:t>
            </w:r>
          </w:p>
        </w:tc>
        <w:tc>
          <w:tcPr>
            <w:tcW w:type="dxa" w:w="3312"/>
          </w:tcPr>
          <w:p>
            <w:r>
              <w:t>新目录、新venv和运行快照完成65项HTTP验收</w:t>
            </w:r>
          </w:p>
        </w:tc>
        <w:tc>
          <w:tcPr>
            <w:tcW w:type="dxa" w:w="3312"/>
          </w:tcPr>
          <w:p>
            <w:r>
              <w:t>evidence/clean-deploy/acceptance.json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提交依赖回归</w:t>
            </w:r>
          </w:p>
        </w:tc>
        <w:tc>
          <w:tcPr>
            <w:tcW w:type="dxa" w:w="3312"/>
          </w:tcPr>
          <w:p>
            <w:r>
              <w:t>1782项通过，另16项环境条件检查；共1798项，345.411秒</w:t>
            </w:r>
          </w:p>
        </w:tc>
        <w:tc>
          <w:tcPr>
            <w:tcW w:type="dxa" w:w="3312"/>
          </w:tcPr>
          <w:p>
            <w:r>
              <w:t>evidence/backend-clean-venv.log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最终GPU提交源码CI</w:t>
            </w:r>
          </w:p>
        </w:tc>
        <w:tc>
          <w:tcPr>
            <w:tcW w:type="dxa" w:w="3312"/>
          </w:tcPr>
          <w:p>
            <w:r>
              <w:t>33a6e9f快照：前端406项与构建通过；后端1791项通过、16项环境条件检查，共1807项，115.406秒</w:t>
            </w:r>
          </w:p>
        </w:tc>
        <w:tc>
          <w:tcPr>
            <w:tcW w:type="dxa" w:w="3312"/>
          </w:tcPr>
          <w:p>
            <w:r>
              <w:t>evidence/gpu-timing/github-ci-final-v101.json／log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GPU扩展功能复验</w:t>
            </w:r>
          </w:p>
        </w:tc>
        <w:tc>
          <w:tcPr>
            <w:tcW w:type="dxa" w:w="3312"/>
          </w:tcPr>
          <w:p>
            <w:r>
              <w:t>新目录18084端口完成65项功能、权限与协同验收</w:t>
            </w:r>
          </w:p>
        </w:tc>
        <w:tc>
          <w:tcPr>
            <w:tcW w:type="dxa" w:w="3312"/>
          </w:tcPr>
          <w:p>
            <w:r>
              <w:t>evidence/gpu-timing/runtime-functional-acceptance.json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依赖安全审计</w:t>
            </w:r>
          </w:p>
        </w:tc>
        <w:tc>
          <w:tcPr>
            <w:tcW w:type="dxa" w:w="3312"/>
          </w:tcPr>
          <w:p>
            <w:r>
              <w:t>精确锁定依赖在审计时点npm／pip已知漏洞记录均为0</w:t>
            </w:r>
          </w:p>
        </w:tc>
        <w:tc>
          <w:tcPr>
            <w:tcW w:type="dxa" w:w="3312"/>
          </w:tcPr>
          <w:p>
            <w:r>
              <w:t>evidence/npm-audit-final.json、pip-audit-final.json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数据关系与完整性</w:t>
            </w:r>
          </w:p>
        </w:tc>
        <w:tc>
          <w:tcPr>
            <w:tcW w:type="dxa" w:w="3312"/>
          </w:tcPr>
          <w:p>
            <w:r>
              <w:t>5类关键关联孤立记录均为0，两数据库integrity_check=ok</w:t>
            </w:r>
          </w:p>
        </w:tc>
        <w:tc>
          <w:tcPr>
            <w:tcW w:type="dxa" w:w="3312"/>
          </w:tcPr>
          <w:p>
            <w:r>
              <w:t>evidence/data-consistency.json、data-inventory.json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凭证隔离</w:t>
            </w:r>
          </w:p>
        </w:tc>
        <w:tc>
          <w:tcPr>
            <w:tcW w:type="dxa" w:w="3312"/>
          </w:tcPr>
          <w:p>
            <w:r>
              <w:t>交付数据库中原生产8个账号哈希字节检索结果均为0</w:t>
            </w:r>
          </w:p>
        </w:tc>
        <w:tc>
          <w:tcPr>
            <w:tcW w:type="dxa" w:w="3312"/>
          </w:tcPr>
          <w:p>
            <w:r>
              <w:t>evidence/credential-scrub-check.json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检索效果复核</w:t>
            </w:r>
          </w:p>
        </w:tc>
        <w:tc>
          <w:tcPr>
            <w:tcW w:type="dxa" w:w="3312"/>
          </w:tcPr>
          <w:p>
            <w:r>
              <w:t>1175条固定启发式标签，Fallback候选命中率0.8936</w:t>
            </w:r>
          </w:p>
        </w:tc>
        <w:tc>
          <w:tcPr>
            <w:tcW w:type="dxa" w:w="3312"/>
          </w:tcPr>
          <w:p>
            <w:r>
              <w:t>evidence/gpu-timing/application-acceptance.json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4090D全量GPU计算</w:t>
            </w:r>
          </w:p>
        </w:tc>
        <w:tc>
          <w:tcPr>
            <w:tcW w:type="dxa" w:w="3312"/>
          </w:tcPr>
          <w:p>
            <w:r>
              <w:t>93209段落／3922查询，3轮均通过；平均58.028秒、样本标准差0.342秒</w:t>
            </w:r>
          </w:p>
        </w:tc>
        <w:tc>
          <w:tcPr>
            <w:tcW w:type="dxa" w:w="3312"/>
          </w:tcPr>
          <w:p>
            <w:r>
              <w:t>evidence/gpu-timing/benchmark.json，08专项报告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GPU回传接入</w:t>
            </w:r>
          </w:p>
        </w:tc>
        <w:tc>
          <w:tcPr>
            <w:tcW w:type="dxa" w:w="3312"/>
          </w:tcPr>
          <w:p>
            <w:r>
              <w:t>摘要、指纹、3922条主张覆盖与公司范围检查通过</w:t>
            </w:r>
          </w:p>
        </w:tc>
        <w:tc>
          <w:tcPr>
            <w:tcW w:type="dxa" w:w="3312"/>
          </w:tcPr>
          <w:p>
            <w:r>
              <w:t>evidence/gpu-timing/application-acceptance.json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向量契约回归</w:t>
            </w:r>
          </w:p>
        </w:tc>
        <w:tc>
          <w:tcPr>
            <w:tcW w:type="dxa" w:w="3312"/>
          </w:tcPr>
          <w:p>
            <w:r>
              <w:t>35项通过，覆盖导入、摘要、公司范围、分数排序与FP16容差</w:t>
            </w:r>
          </w:p>
        </w:tc>
        <w:tc>
          <w:tcPr>
            <w:tcW w:type="dxa" w:w="3312"/>
          </w:tcPr>
          <w:p>
            <w:r>
              <w:t>evidence/gpu-timing/cpu-contract-tests.log</w:t>
            </w:r>
          </w:p>
        </w:tc>
      </w:tr>
    </w:tbl>
    <w:p>
      <w:r>
        <w:t>最终源码CI与GPU实测快照分别记录，报告表述调整沿用上述已验证代码与原始实测数据。正式发布的源码、报告、运行包和校验文件按新交付标签匹配。</w:t>
      </w:r>
    </w:p>
    <w:p>
      <w:pPr>
        <w:pStyle w:val="Heading1"/>
      </w:pPr>
      <w:r>
        <w:t>算法质量评价</w:t>
      </w:r>
    </w:p>
    <w:p>
      <w:r>
        <w:t>质量结果对应历史冻结实验，采用处理后主办方评测库，与本轮工程验收和GPU计时分别统计。train用于参数与提示词选择，test为主办方提供的公开验证集；运行编号、代码摘要、数据与映射版本保存在benchmark_runs、benchmark_metrics中。程序入口为</w:t>
      </w:r>
      <w:hyperlink r:id="rId11">
        <w:r>
          <w:rPr>
            <w:color w:val="0563C1"/>
            <w:u w:val="single"/>
          </w:rPr>
          <w:t>benchmark.py</w:t>
        </w:r>
      </w:hyperlink>
      <w:r>
        <w:t>，参数见</w:t>
      </w:r>
      <w:hyperlink r:id="rId12">
        <w:r>
          <w:rPr>
            <w:color w:val="0563C1"/>
            <w:u w:val="single"/>
          </w:rPr>
          <w:t>算法说明</w:t>
        </w:r>
      </w:hyperlink>
      <w:r>
        <w:t>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</w:tcPr>
          <w:p>
            <w:r>
              <w:t>评价对象</w:t>
            </w:r>
          </w:p>
        </w:tc>
        <w:tc>
          <w:tcPr>
            <w:tcW w:type="dxa" w:w="3312"/>
          </w:tcPr>
          <w:p>
            <w:r>
              <w:t>计分口径</w:t>
            </w:r>
          </w:p>
        </w:tc>
        <w:tc>
          <w:tcPr>
            <w:tcW w:type="dxa" w:w="3312"/>
          </w:tcPr>
          <w:p>
            <w:r>
              <w:t>实测成果与对照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近重复聚类</w:t>
            </w:r>
          </w:p>
        </w:tc>
        <w:tc>
          <w:tcPr>
            <w:tcW w:type="dxa" w:w="3312"/>
          </w:tcPr>
          <w:p>
            <w:r>
              <w:t>test计分文档1491；排除291（跨切分关系238、文本量条件53），金标对1298、预测对980；同时报告pair与B³</w:t>
            </w:r>
          </w:p>
        </w:tc>
        <w:tc>
          <w:tcPr>
            <w:tcW w:type="dxa" w:w="3312"/>
          </w:tcPr>
          <w:p>
            <w:r>
              <w:t>pair precision=0.9959、recall=0.7519、F1=0.8569；B³ precision=0.9973、recall=0.9583、F1=0.9774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事件影响方向</w:t>
            </w:r>
          </w:p>
        </w:tc>
        <w:tc>
          <w:tcPr>
            <w:tcW w:type="dxa" w:w="3312"/>
          </w:tcPr>
          <w:p>
            <w:r>
              <w:t>test分层样本475（正面400、中性39、负面36）；少数类覆盖与正面封顶分别记录</w:t>
            </w:r>
          </w:p>
        </w:tc>
        <w:tc>
          <w:tcPr>
            <w:tcW w:type="dxa" w:w="3312"/>
          </w:tcPr>
          <w:p>
            <w:r>
              <w:t>模型accuracy=0.8463、macro-F1=0.6568；同样本恒答正面macro-F1=0.3048；按真实先验重加权accuracy=0.8698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事件类型</w:t>
            </w:r>
          </w:p>
        </w:tc>
        <w:tc>
          <w:tcPr>
            <w:tcW w:type="dxa" w:w="3312"/>
          </w:tcPr>
          <w:p>
            <w:r>
              <w:t>test映射后的436条样本，模型event-types-v1与规则同分母对照</w:t>
            </w:r>
          </w:p>
        </w:tc>
        <w:tc>
          <w:tcPr>
            <w:tcW w:type="dxa" w:w="3312"/>
          </w:tcPr>
          <w:p>
            <w:r>
              <w:t>模型micro-F1=0.4660、macro-F1=0.4041；规则micro-F1=0.3333、macro-F1=0.2849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事项议题码</w:t>
            </w:r>
          </w:p>
        </w:tc>
        <w:tc>
          <w:tcPr>
            <w:tcW w:type="dxa" w:w="3312"/>
          </w:tcPr>
          <w:p>
            <w:r>
              <w:t>test按最稀有金标码分层、每码封顶100，计分675条；issue-codes-v2与检索示例对照</w:t>
            </w:r>
          </w:p>
        </w:tc>
        <w:tc>
          <w:tcPr>
            <w:tcW w:type="dxa" w:w="3312"/>
          </w:tcPr>
          <w:p>
            <w:r>
              <w:t>当前零样本micro-F1=0.4211、macro-F1=0.3472；16条检索示例对照为0.6497、0.5614；同集1-NN为0.6685、0.6318；检索示例从train获取，作为独立对照配置</w:t>
            </w:r>
          </w:p>
        </w:tc>
      </w:tr>
    </w:tbl>
    <w:p>
      <w:r>
        <w:t>聚类采用标题0.72、正文0.86、Hamming≤16、8分带、包含度0.80及7天时间窗；train标定后以冻结配置评价，排除计数随结果保留。分层影响方向准确率评价本次抽样，语料分布对应重加权指标；其目标是事件对指定主体的影响，稿件语气另行存储。事件类型按官方类型与系统议题／风险词表映射计分，采用最稀有金标类分层、每类封顶100条，当前金标支持7个系统类别；映射版本随运行记录保存。事件类型train同分母488条，模型micro-F1=0.3890、macro-F1=0.3566，规则为0.3726、0.3338；两切分的抽样构成分别记录。</w:t>
      </w:r>
    </w:p>
    <w:p>
      <w:r>
        <w:t>证据裁决与数值支持结合原文定位、归一条件及人工复核评价；候选因果关系采用独立标注协议。流程契约验收、启发式检索候选命中、独立人工事实评价各自明确评价对象。后续质量覆盖与模板化披露区分的扩展见</w:t>
      </w:r>
      <w:hyperlink r:id="rId13">
        <w:r>
          <w:rPr>
            <w:color w:val="0563C1"/>
            <w:u w:val="single"/>
          </w:rPr>
          <w:t>技术报告的适用范围与改进方向</w:t>
        </w:r>
      </w:hyperlink>
      <w:r>
        <w:t>。</w:t>
      </w:r>
    </w:p>
    <w:p>
      <w:pPr>
        <w:pStyle w:val="Heading1"/>
      </w:pPr>
      <w:r>
        <w:t>演示材料核验</w:t>
      </w:r>
    </w:p>
    <w:p>
      <w:r>
        <w:t>30页答辩PPT与193.577秒演示视频原样纳入V1.0交付。PPT压缩结构可完整读取，视频完整解码通过；文件摘要与原始上传文件逐一匹配。抽样画面展示风险研判、证据与人工处置、研判助手、时间线、主张及披露比对、核验看板等核心流程。入口见</w:t>
      </w:r>
      <w:hyperlink r:id="rId14">
        <w:r>
          <w:rPr>
            <w:color w:val="0563C1"/>
            <w:u w:val="single"/>
          </w:rPr>
          <w:t>演示材料</w:t>
        </w:r>
      </w:hyperlink>
      <w:r>
        <w:t>，文件与Release校验清单统一对应。附件展示与业务专项实测分别呈现，测试指标保持原实验口径。</w:t>
      </w:r>
    </w:p>
    <w:p>
      <w:pPr>
        <w:pStyle w:val="Heading1"/>
      </w:pPr>
      <w:r>
        <w:t>已实现的质量保障</w:t>
      </w:r>
    </w:p>
    <w:p>
      <w:r>
        <w:t>测试夹具采用独立合成数据与冻结字段字典，复核、事项及通知写入全部重定向临时数据库，支持纯源码与干净环境重复验证。订阅权限按角色控制：管理员可查看secret_ref环境变量名称，密钥值独立管理；针对性权限回归及全量测试共同验证访问边界。</w:t>
      </w:r>
    </w:p>
    <w:p>
      <w:r>
        <w:t>依赖更新后完成安全审计、Node22构建、406项前端测试与新venv回归。浏览器环境具备经校验的Chromium资产及运行依赖，页面检查与截图提供可查阅证据。安全审计结果对应已记录依赖版本及审计时点，系统软件、驱动与渗透测试按专项协议开展。</w:t>
      </w:r>
    </w:p>
    <w:p>
      <w:r>
        <w:t>后端日志中16项条件性检查以skipped记录：7项对应Docker守护进程／SDK环境，9项对应授权gold taxonomy JSON文件映射。提交采用已完成干净部署验收的原生运行路径；Docker和原始分类文件检查按相应环境配置执行，条件性检查与通过项分别统计。</w:t>
      </w:r>
    </w:p>
    <w:p>
      <w:pPr>
        <w:pStyle w:val="Heading1"/>
      </w:pPr>
      <w:r>
        <w:t>分级并发与持续运行成果</w:t>
      </w:r>
    </w:p>
    <w:p>
      <w:r>
        <w:t>50个独立analyst账号使用各自Session和Cookie，登录在计时前完成；1秒思考时间，随机混合9类业务端点，约90%查询、10%真实通知已读写入。分级阶段为1用户30秒、5用户30秒、10用户60秒、25用户120秒、50用户1800秒。逐请求状态与延迟、错误率、RPS、P50／P95／P99及各端点指标完整留存。</w:t>
      </w:r>
    </w:p>
    <w:p>
      <w:r>
        <w:t>预先设定交互目标为错误率≤1%、P95≤2000ms。业务负载测量查询与写入链路，GPU及模型网关计算按独立实验统计。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/>
          <w:cantSplit/>
        </w:trPr>
        <w:tc>
          <w:tcPr>
            <w:tcW w:type="dxa" w:w="1419"/>
          </w:tcPr>
          <w:p>
            <w:r>
              <w:t>用户</w:t>
            </w:r>
          </w:p>
        </w:tc>
        <w:tc>
          <w:tcPr>
            <w:tcW w:type="dxa" w:w="1419"/>
          </w:tcPr>
          <w:p>
            <w:r>
              <w:t>实际秒数</w:t>
            </w:r>
          </w:p>
        </w:tc>
        <w:tc>
          <w:tcPr>
            <w:tcW w:type="dxa" w:w="1419"/>
          </w:tcPr>
          <w:p>
            <w:r>
              <w:t>请求</w:t>
            </w:r>
          </w:p>
        </w:tc>
        <w:tc>
          <w:tcPr>
            <w:tcW w:type="dxa" w:w="1419"/>
          </w:tcPr>
          <w:p>
            <w:r>
              <w:t>异常请求</w:t>
            </w:r>
          </w:p>
        </w:tc>
        <w:tc>
          <w:tcPr>
            <w:tcW w:type="dxa" w:w="1419"/>
          </w:tcPr>
          <w:p>
            <w:r>
              <w:t>RPS</w:t>
            </w:r>
          </w:p>
        </w:tc>
        <w:tc>
          <w:tcPr>
            <w:tcW w:type="dxa" w:w="1419"/>
          </w:tcPr>
          <w:p>
            <w:r>
              <w:t>P95毫秒</w:t>
            </w:r>
          </w:p>
        </w:tc>
        <w:tc>
          <w:tcPr>
            <w:tcW w:type="dxa" w:w="1419"/>
          </w:tcPr>
          <w:p>
            <w:r>
              <w:t>已验证范围</w:t>
            </w:r>
          </w:p>
        </w:tc>
      </w:tr>
      <w:tr>
        <w:trPr>
          <w:cantSplit/>
        </w:trPr>
        <w:tc>
          <w:tcPr>
            <w:tcW w:type="dxa" w:w="1419"/>
          </w:tcPr>
          <w:p>
            <w:r>
              <w:t>1</w:t>
            </w:r>
          </w:p>
        </w:tc>
        <w:tc>
          <w:tcPr>
            <w:tcW w:type="dxa" w:w="1419"/>
          </w:tcPr>
          <w:p>
            <w:r>
              <w:t>30.4</w:t>
            </w:r>
          </w:p>
        </w:tc>
        <w:tc>
          <w:tcPr>
            <w:tcW w:type="dxa" w:w="1419"/>
          </w:tcPr>
          <w:p>
            <w:r>
              <w:t>29</w:t>
            </w:r>
          </w:p>
        </w:tc>
        <w:tc>
          <w:tcPr>
            <w:tcW w:type="dxa" w:w="1419"/>
          </w:tcPr>
          <w:p>
            <w:r>
              <w:t>0</w:t>
            </w:r>
          </w:p>
        </w:tc>
        <w:tc>
          <w:tcPr>
            <w:tcW w:type="dxa" w:w="1419"/>
          </w:tcPr>
          <w:p>
            <w:r>
              <w:t>0.95</w:t>
            </w:r>
          </w:p>
        </w:tc>
        <w:tc>
          <w:tcPr>
            <w:tcW w:type="dxa" w:w="1419"/>
          </w:tcPr>
          <w:p>
            <w:r>
              <w:t>110.35</w:t>
            </w:r>
          </w:p>
        </w:tc>
        <w:tc>
          <w:tcPr>
            <w:tcW w:type="dxa" w:w="1419"/>
          </w:tcPr>
          <w:p>
            <w:r>
              <w:t>交互延迟目标范围</w:t>
            </w:r>
          </w:p>
        </w:tc>
      </w:tr>
      <w:tr>
        <w:trPr>
          <w:cantSplit/>
        </w:trPr>
        <w:tc>
          <w:tcPr>
            <w:tcW w:type="dxa" w:w="1419"/>
          </w:tcPr>
          <w:p>
            <w:r>
              <w:t>5</w:t>
            </w:r>
          </w:p>
        </w:tc>
        <w:tc>
          <w:tcPr>
            <w:tcW w:type="dxa" w:w="1419"/>
          </w:tcPr>
          <w:p>
            <w:r>
              <w:t>30.8</w:t>
            </w:r>
          </w:p>
        </w:tc>
        <w:tc>
          <w:tcPr>
            <w:tcW w:type="dxa" w:w="1419"/>
          </w:tcPr>
          <w:p>
            <w:r>
              <w:t>145</w:t>
            </w:r>
          </w:p>
        </w:tc>
        <w:tc>
          <w:tcPr>
            <w:tcW w:type="dxa" w:w="1419"/>
          </w:tcPr>
          <w:p>
            <w:r>
              <w:t>0</w:t>
            </w:r>
          </w:p>
        </w:tc>
        <w:tc>
          <w:tcPr>
            <w:tcW w:type="dxa" w:w="1419"/>
          </w:tcPr>
          <w:p>
            <w:r>
              <w:t>4.70</w:t>
            </w:r>
          </w:p>
        </w:tc>
        <w:tc>
          <w:tcPr>
            <w:tcW w:type="dxa" w:w="1419"/>
          </w:tcPr>
          <w:p>
            <w:r>
              <w:t>122.91</w:t>
            </w:r>
          </w:p>
        </w:tc>
        <w:tc>
          <w:tcPr>
            <w:tcW w:type="dxa" w:w="1419"/>
          </w:tcPr>
          <w:p>
            <w:r>
              <w:t>交互延迟目标范围</w:t>
            </w:r>
          </w:p>
        </w:tc>
      </w:tr>
      <w:tr>
        <w:trPr>
          <w:cantSplit/>
        </w:trPr>
        <w:tc>
          <w:tcPr>
            <w:tcW w:type="dxa" w:w="1419"/>
          </w:tcPr>
          <w:p>
            <w:r>
              <w:t>10</w:t>
            </w:r>
          </w:p>
        </w:tc>
        <w:tc>
          <w:tcPr>
            <w:tcW w:type="dxa" w:w="1419"/>
          </w:tcPr>
          <w:p>
            <w:r>
              <w:t>61.0</w:t>
            </w:r>
          </w:p>
        </w:tc>
        <w:tc>
          <w:tcPr>
            <w:tcW w:type="dxa" w:w="1419"/>
          </w:tcPr>
          <w:p>
            <w:r>
              <w:t>574</w:t>
            </w:r>
          </w:p>
        </w:tc>
        <w:tc>
          <w:tcPr>
            <w:tcW w:type="dxa" w:w="1419"/>
          </w:tcPr>
          <w:p>
            <w:r>
              <w:t>0</w:t>
            </w:r>
          </w:p>
        </w:tc>
        <w:tc>
          <w:tcPr>
            <w:tcW w:type="dxa" w:w="1419"/>
          </w:tcPr>
          <w:p>
            <w:r>
              <w:t>9.41</w:t>
            </w:r>
          </w:p>
        </w:tc>
        <w:tc>
          <w:tcPr>
            <w:tcW w:type="dxa" w:w="1419"/>
          </w:tcPr>
          <w:p>
            <w:r>
              <w:t>124.87</w:t>
            </w:r>
          </w:p>
        </w:tc>
        <w:tc>
          <w:tcPr>
            <w:tcW w:type="dxa" w:w="1419"/>
          </w:tcPr>
          <w:p>
            <w:r>
              <w:t>交互延迟目标范围</w:t>
            </w:r>
          </w:p>
        </w:tc>
      </w:tr>
      <w:tr>
        <w:trPr>
          <w:cantSplit/>
        </w:trPr>
        <w:tc>
          <w:tcPr>
            <w:tcW w:type="dxa" w:w="1419"/>
          </w:tcPr>
          <w:p>
            <w:r>
              <w:t>25</w:t>
            </w:r>
          </w:p>
        </w:tc>
        <w:tc>
          <w:tcPr>
            <w:tcW w:type="dxa" w:w="1419"/>
          </w:tcPr>
          <w:p>
            <w:r>
              <w:t>121.0</w:t>
            </w:r>
          </w:p>
        </w:tc>
        <w:tc>
          <w:tcPr>
            <w:tcW w:type="dxa" w:w="1419"/>
          </w:tcPr>
          <w:p>
            <w:r>
              <w:t>2736</w:t>
            </w:r>
          </w:p>
        </w:tc>
        <w:tc>
          <w:tcPr>
            <w:tcW w:type="dxa" w:w="1419"/>
          </w:tcPr>
          <w:p>
            <w:r>
              <w:t>0</w:t>
            </w:r>
          </w:p>
        </w:tc>
        <w:tc>
          <w:tcPr>
            <w:tcW w:type="dxa" w:w="1419"/>
          </w:tcPr>
          <w:p>
            <w:r>
              <w:t>22.61</w:t>
            </w:r>
          </w:p>
        </w:tc>
        <w:tc>
          <w:tcPr>
            <w:tcW w:type="dxa" w:w="1419"/>
          </w:tcPr>
          <w:p>
            <w:r>
              <w:t>259.02</w:t>
            </w:r>
          </w:p>
        </w:tc>
        <w:tc>
          <w:tcPr>
            <w:tcW w:type="dxa" w:w="1419"/>
          </w:tcPr>
          <w:p>
            <w:r>
              <w:t>交互延迟目标范围</w:t>
            </w:r>
          </w:p>
        </w:tc>
      </w:tr>
      <w:tr>
        <w:trPr>
          <w:cantSplit/>
        </w:trPr>
        <w:tc>
          <w:tcPr>
            <w:tcW w:type="dxa" w:w="1419"/>
          </w:tcPr>
          <w:p>
            <w:r>
              <w:t>50</w:t>
            </w:r>
          </w:p>
        </w:tc>
        <w:tc>
          <w:tcPr>
            <w:tcW w:type="dxa" w:w="1419"/>
          </w:tcPr>
          <w:p>
            <w:r>
              <w:t>1802.1</w:t>
            </w:r>
          </w:p>
        </w:tc>
        <w:tc>
          <w:tcPr>
            <w:tcW w:type="dxa" w:w="1419"/>
          </w:tcPr>
          <w:p>
            <w:r>
              <w:t>37479</w:t>
            </w:r>
          </w:p>
        </w:tc>
        <w:tc>
          <w:tcPr>
            <w:tcW w:type="dxa" w:w="1419"/>
          </w:tcPr>
          <w:p>
            <w:r>
              <w:t>0</w:t>
            </w:r>
          </w:p>
        </w:tc>
        <w:tc>
          <w:tcPr>
            <w:tcW w:type="dxa" w:w="1419"/>
          </w:tcPr>
          <w:p>
            <w:r>
              <w:t>20.80</w:t>
            </w:r>
          </w:p>
        </w:tc>
        <w:tc>
          <w:tcPr>
            <w:tcW w:type="dxa" w:w="1419"/>
          </w:tcPr>
          <w:p>
            <w:r>
              <w:t>3160.73</w:t>
            </w:r>
          </w:p>
        </w:tc>
        <w:tc>
          <w:tcPr>
            <w:tcW w:type="dxa" w:w="1419"/>
          </w:tcPr>
          <w:p>
            <w:r>
              <w:t>30分钟持续运行可靠性；延迟为2秒目标的1.58倍</w:t>
            </w:r>
          </w:p>
        </w:tc>
      </w:tr>
    </w:tbl>
    <w:p>
      <w:r>
        <w:t>分级合计40963次请求，异常请求0。25用户P95=259.02ms，验证本轮推荐交互规模；50用户阶段连续运行30分钟、37479次请求零异常，提供扩展容量的可靠性与性能基线。50用户P50=1160.06ms、P99=4370.84ms、最大7479.03ms；其P95=3160.73ms相对2000ms目标为1.58倍，响应目标验证与压力可靠性验证分别呈现。</w:t>
      </w:r>
    </w:p>
    <w:p>
      <w:r>
        <w:t>50用户端点P95：通知列表4229.00ms、通知已读3809.77ms、风险摘要3635.17ms。load-identities.json核对50个独立账号、50个成功登录操作者及50个已读记录身份。原始结果见evidence/load/load.json及逐请求日志。</w:t>
      </w:r>
    </w:p>
    <w:p>
      <w:r>
        <w:t>本次使用共享测试环境，结果体现该环境下的实际混合负载表现。30／40用户及专用服务器峰值容量按后续分级协议测量。扩展优化以CPU、SQL、通知同步／写锁及线程队列测量为依据，再按同输入、同脚本、同目标复验；GPU批处理性能独立见08。</w:t>
      </w:r>
    </w:p>
    <w:p>
      <w:pPr>
        <w:pStyle w:val="Heading1"/>
      </w:pPr>
      <w:r>
        <w:t>功能覆盖与扩展路线</w:t>
      </w:r>
    </w:p>
    <w:p>
      <w:r>
        <w:t>功能已覆盖检索、事件、证据、风险、事项、时间线、传播、重复、版本差异、评测、通知、导出、智能问答及离线模式。安全验证覆盖登录保护、角色隔离、输入校验、私网Webhook访问控制、引用范围和账号停用。协同实现完整状态流转及并发意见审计，本轮按单实例、同状态最后写入生效的语义验证。</w:t>
      </w:r>
    </w:p>
    <w:p>
      <w:r>
        <w:t>GPU已完成BGE-M3全量向量计算与平台回传，保持测试环境部署、机器裁决及冻结输入一致。外部LLM多路容量、300条独立人工裁定、最终盲测、手机专项适配与多节点协同按专项协议扩展，各项指标按对应数据集和环境独立评价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正式提交版本 V1.0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IssuerTrace · 比赛交付材料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DejaVu Sans" w:hAnsi="DejaVu Sans" w:eastAsia="Droid Sans Fallback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Droid Sans Fallback"/>
      <w:b/>
      <w:bCs/>
      <w:color w:val="2536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Droid Sans Fallback"/>
      <w:b/>
      <w:bCs/>
      <w:color w:val="2536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Droid Sans Fallback"/>
      <w:b/>
      <w:bCs/>
      <w:color w:val="25365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Droid Sans Fallback"/>
      <w:color w:val="25365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cccccrj/issuertrace-competition-submission/blob/v1.0/processor/benchmark.py" TargetMode="External"/><Relationship Id="rId12" Type="http://schemas.openxmlformats.org/officeDocument/2006/relationships/hyperlink" Target="https://github.com/cccccrj/issuertrace-competition-submission/blob/v1.0/docs/submission/04-%E6%A8%A1%E5%9E%8B%E4%B8%8E%E7%AE%97%E6%B3%95.md" TargetMode="External"/><Relationship Id="rId13" Type="http://schemas.openxmlformats.org/officeDocument/2006/relationships/hyperlink" Target="https://github.com/cccccrj/issuertrace-competition-submission/blob/v1.0/docs/submission/02-%E6%8A%80%E6%9C%AF%E6%8A%A5%E5%91%8A.md" TargetMode="External"/><Relationship Id="rId14" Type="http://schemas.openxmlformats.org/officeDocument/2006/relationships/hyperlink" Target="https://github.com/cccccrj/issuertrace-competition-submission/blob/v1.0/docs/submission/%E6%BC%94%E7%A4%BA%E6%9D%90%E6%96%99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Submission project contributors</dc:creator>
  <cp:keywords/>
  <dc:description>generated by python-docx</dc:description>
  <cp:lastModifiedBy>Submission report generator</cp:lastModifiedBy>
  <cp:revision>1</cp:revision>
  <dcterms:created xsi:type="dcterms:W3CDTF">2013-12-23T23:15:00Z</dcterms:created>
  <dcterms:modified xsi:type="dcterms:W3CDTF">2013-12-23T23:15:00Z</dcterms:modified>
  <cp:category/>
</cp:coreProperties>
</file>