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测试结果与典型案例</w:t>
      </w:r>
    </w:p>
    <w:p>
      <w:r>
        <w:t xml:space="preserve">案例的完整输入输出随 </w:t>
      </w:r>
      <w:hyperlink r:id="rId11">
        <w:r>
          <w:rPr>
            <w:color w:val="0563C1"/>
            <w:u w:val="single"/>
          </w:rPr>
          <w:t>evidence</w:t>
        </w:r>
      </w:hyperlink>
      <w:r>
        <w:t xml:space="preserve"> 保存，展示实际系统的解析、核验、引用与协同流程。系统四值判断和独立人工事实评价分别记录，支持评委按来源定位复查。</w:t>
      </w:r>
    </w:p>
    <w:p>
      <w:pPr>
        <w:pStyle w:val="Heading1"/>
      </w:pPr>
      <w:r>
        <w:t>1 从公告到事件、主张和证据</w:t>
      </w:r>
    </w:p>
    <w:p>
      <w:r>
        <w:t xml:space="preserve">输入：长鑫科技「关于召开2026年半年度业绩说明会的公告」，来源URL及event_id见 </w:t>
      </w:r>
      <w:hyperlink r:id="rId12">
        <w:r>
          <w:rPr>
            <w:color w:val="0563C1"/>
            <w:u w:val="single"/>
          </w:rPr>
          <w:t>case-event.json</w:t>
        </w:r>
      </w:hyperlink>
      <w:r>
        <w:t>。</w:t>
      </w:r>
    </w:p>
    <w:p>
      <w:r>
        <w:t>处理：正文解析／事件标签 → 区分公告发布日期2026-08-29与拟定会议日2026-09-07 → 抽取主张 → 同一披露段落检索与引用 → 风险排序 → 导出Word。</w:t>
      </w:r>
    </w:p>
    <w:p>
      <w:r>
        <w:t xml:space="preserve">输出：类型RESPONSE_CLARIFICATION、neutral／minor、risk_score=25、low；主张保留原文连续跨度，SUPPORTED，引用公告第1页。完整数据和 </w:t>
      </w:r>
      <w:hyperlink r:id="rId13">
        <w:r>
          <w:rPr>
            <w:color w:val="0563C1"/>
            <w:u w:val="single"/>
          </w:rPr>
          <w:t>实际导出DOCX</w:t>
        </w:r>
      </w:hyperlink>
      <w:r>
        <w:t>可交叉核对。</w:t>
      </w:r>
    </w:p>
    <w:p>
      <w:r>
        <w:t>评价：HTTP详情与导出成功、Word ZIP结构有效、证据与页面可定位，实现从公告到结构化事件、主张核验和报告导出的完整链路。案例指标评价本例流程，整体算法质量按独立评测集统计。</w:t>
      </w:r>
    </w:p>
    <w:p>
      <w:pPr>
        <w:pStyle w:val="Heading1"/>
      </w:pPr>
      <w:r>
        <w:t>2 风险助手：区分证据状态并提供来源追溯</w:t>
      </w:r>
    </w:p>
    <w:p>
      <w:r>
        <w:t>输入：药明康德风险事项 9cba9d7127b83a1b6492b6ec，问题「这条风险有哪些事实依据？请区分机器判断与待核验内容。」</w:t>
      </w:r>
    </w:p>
    <w:p>
      <w:r>
        <w:t xml:space="preserve">处理：读取风险档案 → 查看主张核验 → 查来源事件 → 组织带来源的回答。实时步骤与完整响应见 </w:t>
      </w:r>
      <w:hyperlink r:id="rId14">
        <w:r>
          <w:rPr>
            <w:color w:val="0563C1"/>
            <w:u w:val="single"/>
          </w:rPr>
          <w:t>assistant.json</w:t>
        </w:r>
      </w:hyperlink>
      <w:r>
        <w:t>。</w:t>
      </w:r>
    </w:p>
    <w:p>
      <w:r>
        <w:t>实际输出：available=true，6句回答，dropped=0，incomplete=false；分别解释机器风险分与可信度，将核心主张的UNVERIFIABLE核验状态清晰呈现，为补证和业务复核提供指引。首次SSE事件0.136秒，总计42.046秒，按单次公网案例记录。</w:t>
      </w:r>
    </w:p>
    <w:p>
      <w:r>
        <w:t>评价：引用标识均绑定本次返回的sources，具体对象可通过label/link定位；模型解释与人工复核分层展示。助手实现风险档案、核验状态与原始来源的关联查阅，支持复核人员逐句对照证据并确认业务结论。</w:t>
      </w:r>
    </w:p>
    <w:p>
      <w:pPr>
        <w:pStyle w:val="Heading1"/>
      </w:pPr>
      <w:r>
        <w:t>3 人工协同全流程（隔离数据库）</w:t>
      </w:r>
    </w:p>
    <w:p>
      <w:r>
        <w:t>输入：同一风险档案，由analyst和reviewer两个角色依次操作。</w:t>
      </w:r>
    </w:p>
    <w:p>
      <w:pPr>
        <w:spacing w:after="0"/>
      </w:pPr>
      <w:r>
        <w:rPr>
          <w:rFonts w:ascii="DejaVu Sans Mono" w:hAnsi="DejaVu Sans Mono"/>
          <w:sz w:val="16"/>
        </w:rPr>
        <w:t>pending → investigating（分析师认领、保留机器结论）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       → reporting（提出结论、交指定复核负责人）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       → returned（复核负责人说明理由；恢复原上报分析师）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       → reporting（分析师补证后再次上报）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       → archived（复核归档）</w:t>
      </w:r>
    </w:p>
    <w:p>
      <w:r>
        <w:t xml:space="preserve">输出与约束：viewer写入403；缺结论上报422；上报后analyst改判403；无理由退回422；归档再开启409。个人通知仅包含公开通知或本人收件，账号管理对analyst403。见 </w:t>
      </w:r>
      <w:hyperlink r:id="rId15">
        <w:r>
          <w:rPr>
            <w:color w:val="0563C1"/>
            <w:u w:val="single"/>
          </w:rPr>
          <w:t>65项验收</w:t>
        </w:r>
      </w:hyperlink>
      <w:r>
        <w:t>。</w:t>
      </w:r>
    </w:p>
    <w:p>
      <w:r>
        <w:t>另一个事项的10路同时保存全部返回200，新增10条带不同意见的审计历史，实现并发意见完整留痕。同状态多次保存采用最后一次写入生效，适用于本次单实例协同；排他认领、乐观锁与多节点事务可按扩展协议验证。</w:t>
      </w:r>
    </w:p>
    <w:p>
      <w:pPr>
        <w:pStyle w:val="Heading1"/>
      </w:pPr>
      <w:r>
        <w:t>4 安全防护与离线运行用例</w:t>
      </w:r>
    </w:p>
    <w:p>
      <w:r>
        <w:t>匿名读取和匿名助手401；非法分页422；不存在对象404；请求/.env没有泄漏环境值；私网metadata Webhook目标400；新订阅保持dry_run。无模型密钥的离线副本返回available=false。HTTP结果见隔离与公网acceptance.json，更多签名、账号停用、密码、越权和引用边界由后端单测覆盖。</w:t>
      </w:r>
    </w:p>
    <w:p>
      <w:pPr>
        <w:pStyle w:val="Heading1"/>
      </w:pPr>
      <w:r>
        <w:t>5 压测与可更新项</w:t>
      </w:r>
    </w:p>
    <w:p>
      <w:r>
        <w:t>真实浏览器页面证据：</w:t>
      </w:r>
      <w:hyperlink r:id="rId16">
        <w:r>
          <w:rPr>
            <w:color w:val="0563C1"/>
            <w:u w:val="single"/>
          </w:rPr>
          <w:t>风险事项库</w:t>
        </w:r>
      </w:hyperlink>
      <w:r>
        <w:t>、</w:t>
      </w:r>
      <w:hyperlink r:id="rId17">
        <w:r>
          <w:rPr>
            <w:color w:val="0563C1"/>
            <w:u w:val="single"/>
          </w:rPr>
          <w:t>事件库</w:t>
        </w:r>
      </w:hyperlink>
      <w:r>
        <w:t>、</w:t>
      </w:r>
      <w:hyperlink r:id="rId18">
        <w:r>
          <w:rPr>
            <w:color w:val="0563C1"/>
            <w:u w:val="single"/>
          </w:rPr>
          <w:t>深色主张核验</w:t>
        </w:r>
      </w:hyperlink>
      <w:r>
        <w:t>。三种视口的完整检查日志在evidence/ui；全量截图作为同仓库Release的补充证据包提供。</w:t>
      </w:r>
    </w:p>
    <w:p>
      <w:r>
        <w:t xml:space="preserve">压力样本包含事件、风险、主张、事项、时间线、证据搜索、通知与已读写入。压力测试实测结果与评价指标统一见 </w:t>
      </w:r>
      <w:hyperlink r:id="rId19">
        <w:r>
          <w:rPr>
            <w:color w:val="0563C1"/>
            <w:u w:val="single"/>
          </w:rPr>
          <w:t>05测试报告</w:t>
        </w:r>
      </w:hyperlink>
      <w:r>
        <w:t>。GPU已按04固定协议完成三轮完整计算，实测及回传案例见08；演示视频展示风险事项、证据与人工处置、研判助手、时间线、主张与披露比对及核验看板等流程；约3分14秒，入口见</w:t>
      </w:r>
      <w:hyperlink r:id="rId20">
        <w:r>
          <w:rPr>
            <w:color w:val="0563C1"/>
            <w:u w:val="single"/>
          </w:rPr>
          <w:t>演示材料</w:t>
        </w:r>
      </w:hyperlink>
      <w:r>
        <w:t>。</w:t>
      </w:r>
    </w:p>
    <w:p>
      <w:pPr>
        <w:pStyle w:val="Heading1"/>
      </w:pPr>
      <w:r>
        <w:t>GPU批处理与平台回传案例</w:t>
      </w:r>
    </w:p>
    <w:p>
      <w:r>
        <w:t>输入：冻结93209段落和3922条主张，只包含编号、公司和获授权文本，不带账号或密钥。处理：SHA256／段落指纹核对 → BGE-M3 FP16编码与L2归一 → 按公司计算top-k20 → 回传编号／分数 → 独立目录导入 → 只读快照关联与固定检索标签复核。输出：三轮3922条主张均完整覆盖，重复输出摘要一致，编码、近邻、文件写入及GPU采样分别记录，见evidence/gpu-timing/。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IssuerTrace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ccrj/issuertrace-competition-submission/tree/v1.0/docs/submission/evidence" TargetMode="External"/><Relationship Id="rId12" Type="http://schemas.openxmlformats.org/officeDocument/2006/relationships/hyperlink" Target="https://github.com/cccccrj/issuertrace-competition-submission/blob/v1.0/docs/submission/evidence/isolated/case-event.json" TargetMode="External"/><Relationship Id="rId13" Type="http://schemas.openxmlformats.org/officeDocument/2006/relationships/hyperlink" Target="https://github.com/cccccrj/issuertrace-competition-submission/blob/v1.0/docs/submission/evidence/isolated/case-event.docx" TargetMode="External"/><Relationship Id="rId14" Type="http://schemas.openxmlformats.org/officeDocument/2006/relationships/hyperlink" Target="https://github.com/cccccrj/issuertrace-competition-submission/blob/v1.0/docs/submission/evidence/production/assistant.json" TargetMode="External"/><Relationship Id="rId15" Type="http://schemas.openxmlformats.org/officeDocument/2006/relationships/hyperlink" Target="https://github.com/cccccrj/issuertrace-competition-submission/blob/v1.0/docs/submission/evidence/isolated/acceptance.json" TargetMode="External"/><Relationship Id="rId16" Type="http://schemas.openxmlformats.org/officeDocument/2006/relationships/hyperlink" Target="https://github.com/cccccrj/issuertrace-competition-submission/blob/v1.0/docs/submission/evidence/ui/light_risks.png" TargetMode="External"/><Relationship Id="rId17" Type="http://schemas.openxmlformats.org/officeDocument/2006/relationships/hyperlink" Target="https://github.com/cccccrj/issuertrace-competition-submission/blob/v1.0/docs/submission/evidence/ui/light_events.png" TargetMode="External"/><Relationship Id="rId18" Type="http://schemas.openxmlformats.org/officeDocument/2006/relationships/hyperlink" Target="https://github.com/cccccrj/issuertrace-competition-submission/blob/v1.0/docs/submission/evidence/ui/dark_claims.png" TargetMode="External"/><Relationship Id="rId19" Type="http://schemas.openxmlformats.org/officeDocument/2006/relationships/hyperlink" Target="https://github.com/cccccrj/issuertrace-competition-submission/blob/v1.0/docs/submission/05-%E6%B5%8B%E8%AF%95%E6%8A%A5%E5%91%8A.md" TargetMode="External"/><Relationship Id="rId20" Type="http://schemas.openxmlformats.org/officeDocument/2006/relationships/hyperlink" Target="https://github.com/cccccrj/issuertrace-competition-submission/blob/v1.0/docs/submission/%E6%BC%94%E7%A4%BA%E6%9D%90%E6%96%99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