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提交版本冻结与后续更新</w:t>
      </w:r>
    </w:p>
    <w:p>
      <w:pPr>
        <w:pStyle w:val="Heading1"/>
      </w:pPr>
      <w:r>
        <w:t>本次提交</w:t>
      </w:r>
    </w:p>
    <w:p>
      <w:r>
        <w:t>唯一正式提交版本为v1.0，仓库仅保留main分支与v1.0标签，统一对应完整源码、README、账号说明、9份正式报告（Markdown／DOCX／PDF）与原始机器证据。Release提供完整处理后数据运行包、报告包、GPU和界面证据包、答辩PPT、演示视频及校验清单。材料入口见</w:t>
      </w:r>
      <w:hyperlink r:id="rId11">
        <w:r>
          <w:rPr>
            <w:color w:val="0563C1"/>
            <w:u w:val="single"/>
          </w:rPr>
          <w:t>交付索引</w:t>
        </w:r>
      </w:hyperlink>
      <w:r>
        <w:t>。</w:t>
      </w:r>
    </w:p>
    <w:p>
      <w:r>
        <w:t>各项业务、GPU与算法实验保留实际源码快照、环境、时间和原始结果；交付编号统一用于材料组织，不表示重新测量。发布验证见Release中的RELEASE-VALIDATION.json。</w:t>
      </w:r>
    </w:p>
    <w:p>
      <w:r>
        <w:t>发布时在干净源码提交上执行python scripts/submission_package.py --version v1.0，独立版本目录防止覆盖旧包；用python scripts/submission_verify_release.py artifacts/release/v1.0核对资产摘要、运行包逐文件内容、27份报告与三轮GPU清单。SUBMISSION-MANIFEST.json区分最终交付源码、GPU实测代码快照和测试环境应用基线。</w:t>
      </w:r>
    </w:p>
    <w:p>
      <w:r>
        <w:t>运行包提供完成发布清理的分析快照、评测库、离线向量近邻和前端dist。公网原型保持既有线上基线，提交源码包含独立测试夹具、交付工具、正式文档及依赖安全更新，实现线上运行与提交验证环境隔离。</w:t>
      </w:r>
    </w:p>
    <w:p>
      <w:pPr>
        <w:pStyle w:val="Heading1"/>
      </w:pPr>
      <w:r>
        <w:t>GPU已完成实验与后续扩展</w:t>
      </w:r>
    </w:p>
    <w:p>
      <w:r>
        <w:t>已按04的协议完成4090D机器信息、输入哈希、参数、预热、3次完整计时、峰值显存、回传验收和日志记录，成果见05与08报告，统一纳入v1.0交付。本轮固定输入，不调整算法阈值或评价集，新近邻仅用于独立验收，冻结机器裁决和既有向量产物保持一致。</w:t>
      </w:r>
    </w:p>
    <w:p>
      <w:r>
        <w:t>本轮使用用户提供的单卡4090D独立服务器，GPU依赖单独管理，计算阶段隔离同机其他模型负载。更多显存容量、新模型、batch／长度和设备对比按同一证据口径扩展。实际双卡并行需提供实现与日志；设备总卡数与实际使用卡数分别报告。</w:t>
      </w:r>
    </w:p>
    <w:p>
      <w:pPr>
        <w:pStyle w:val="Heading1"/>
      </w:pPr>
      <w:r>
        <w:t>视频与评委权限</w:t>
      </w:r>
    </w:p>
    <w:p>
      <w:r>
        <w:t>演示视频IssuerTrace-V1.0-demo.mp4时长193.577秒，约3分14秒，符合3—5分钟要求；答辩PPT为IssuerTrace-V1.0-presentation.pptx，共30页。两个文件原样交付，仅统一文件名，结构、完整解码、摘要及抽样画面已核验。文件入口见</w:t>
      </w:r>
      <w:hyperlink r:id="rId12">
        <w:r>
          <w:rPr>
            <w:color w:val="0563C1"/>
            <w:u w:val="single"/>
          </w:rPr>
          <w:t>演示材料</w:t>
        </w:r>
      </w:hyperlink>
      <w:r>
        <w:t>，摘要见</w:t>
      </w:r>
      <w:hyperlink r:id="rId13">
        <w:r>
          <w:rPr>
            <w:color w:val="0563C1"/>
            <w:u w:val="single"/>
          </w:rPr>
          <w:t>media-manifest.json</w:t>
        </w:r>
      </w:hyperlink>
      <w:r>
        <w:t>，Release附件统一纳入SHA256SUMS。</w:t>
      </w:r>
    </w:p>
    <w:p>
      <w:r>
        <w:t>线上评审凭据与源码分开交付；材料访问按比赛指定渠道落实。公开前核对PUBLICATION.md中的许可及数据授权条件，对外部署前更改本地演示密码。</w:t>
      </w:r>
    </w:p>
    <w:p>
      <w:pPr>
        <w:pStyle w:val="Heading1"/>
      </w:pPr>
      <w:r>
        <w:t>维护原则</w:t>
      </w:r>
    </w:p>
    <w:p>
      <w:r>
        <w:t>各项成果注明数据集、分母、参数和版本，保留原始证据及环境条件记录。50身份业务压测、10路同身份并发写入、跨角色协同、模型请求响应和GPU计算分别统计，体现各链路的已验证能力与适用范围。源码与运行包按版本匹配，发布后核对Release资产和SHA256SUM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docs/submission/00-%E4%BA%A4%E4%BB%98%E7%B4%A2%E5%BC%95.md" TargetMode="External"/><Relationship Id="rId12" Type="http://schemas.openxmlformats.org/officeDocument/2006/relationships/hyperlink" Target="https://github.com/cccccrj/issuertrace-competition-submission/blob/v1.0/docs/submission/%E6%BC%94%E7%A4%BA%E6%9D%90%E6%96%99.md" TargetMode="External"/><Relationship Id="rId13" Type="http://schemas.openxmlformats.org/officeDocument/2006/relationships/hyperlink" Target="https://github.com/cccccrj/issuertrace-competition-submission/blob/v1.0/docs/submission/media-manifes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