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IssuerTrace GPU向量计算专项测试报告</w:t>
      </w:r>
    </w:p>
    <w:p>
      <w:r>
        <w:t>正式交付版本：v1.0。实验时间：2026-10-09T12:53:19.725606+00:00至2026-10-09T12:56:19.386922+00:00。GPU代码快照：4685ccbd5da4207f79af2977eaacdff6986adc1a。</w:t>
      </w:r>
    </w:p>
    <w:p>
      <w:pPr>
        <w:pStyle w:val="Heading1"/>
      </w:pPr>
      <w:r>
        <w:t>一、目标与运行架构</w:t>
      </w:r>
    </w:p>
    <w:p>
      <w:r>
        <w:t>在独立4090D服务器复测冻结输入上的BGE-M3编码与同公司top-k近邻计算，补齐计算时间、吞吐、显存和回传接入证据。平台业务API继续使用原测试环境部署；向量计算是离线批处理，预计算产物回传平台，不要求业务页面实时加载GPU模型。</w:t>
      </w:r>
    </w:p>
    <w:p>
      <w:r>
        <w:t>批处理通过原scripts/gpu/embed_neighbors.py的ModelEncoder和topk_torch执行，新增基准工具负责完整输入核对、预热、CUDA同步、分段计时、采样与验收，不修改原编码与候选排序实现。</w:t>
      </w:r>
    </w:p>
    <w:p>
      <w:pPr>
        <w:pStyle w:val="Heading1"/>
      </w:pPr>
      <w:r>
        <w:t>二、设备、模型与环境</w:t>
      </w:r>
    </w:p>
    <w:p>
      <w:r>
        <w:t>设备：NVIDIA GeForce RTX 4090 D, 570.124.04, 24564 MiB, 425.00 W；实际使用1张卡，cuda:0，计算能力[8, 9]。AMD EPYC9754宿主，容器18核／60GiB配额；宿主与cgroup原始信息在benchmark.json中分别记录。</w:t>
      </w:r>
    </w:p>
    <w:p>
      <w:r>
        <w:t>Python=3.10.15，torch=2.8.0+cu128，CUDA=12.8；依赖版本：{'sentence-transformers': '4.1.0', 'transformers': '4.55.2', 'tokenizers': '0.21.4', 'numpy': '2.2.6', 'huggingface-hub': '0.36.0'}。完整环境锁见gpu-environment.lock.txt。</w:t>
      </w:r>
    </w:p>
    <w:p>
      <w:r>
        <w:t>采用预训练BGE-M3的本地Xorbits镜像，输出1024维，CLS池化与L2归一；本轮使用安全张量格式权重，推理为FP16。镜像原pytorch_model.bin的SHA256与官方BAAI/bge-m3元数据所列文件一致；实际加载的safetensors及配置单独记录文件摘要。官方revision和元数据见model-provenance.json。</w:t>
      </w:r>
    </w:p>
    <w:p>
      <w:r>
        <w:t>实际加载model.safetensors：993b2248881724788dcab8c644a91dfd63584b6e5604ff2037cb5541e1e38e7e，2271064456字节。全部模型文件摘要在benchmark.json；授权权重保留于GPU部署目录，不随仓库分发。</w:t>
      </w:r>
    </w:p>
    <w:p>
      <w:r>
        <w:t>GPU实验采用独立虚拟环境，通过只读公共PyTorch/CUDA依赖与独立安装的sentence-transformers组织运行；计算阶段采用负载隔离，保证计时条件一致。pip check通过，实际生效版本及复现锁均记录。</w:t>
      </w:r>
    </w:p>
    <w:p>
      <w:pPr>
        <w:pStyle w:val="Heading1"/>
      </w:pPr>
      <w:r>
        <w:t>三、冻结输入与实验参数</w:t>
      </w:r>
    </w:p>
    <w:p>
      <w:r>
        <w:t>完整输入：93209段披露证据、3922条主张；两家公司分别编码和计算近邻。输入SHA256与冻结提交的export及既有向量清单一致；段落指纹：e131aea74bede795b702cc29eb548745fc98690a213ed3c1b88b529077f202f0。</w:t>
      </w:r>
    </w:p>
    <w:p>
      <w:r>
        <w:t>paragraphs.jsonl SHA256：94497cac311765d5ac647819f732459022d2539a3a18d75c263f1716c856bcc6。queries.jsonl SHA256：0dc7ecc864ab7cb0d524766a6b82afd72410eb56e15bde958cdda4a4f012da6c。原始正文留在受控.private目录，Git中仅保存摘要及段落／主张ID和分数。</w:t>
      </w:r>
    </w:p>
    <w:p>
      <w:r>
        <w:t>batch_size=64、max_length=512、top_k=20、FP16、归一化、seed=42、关闭TF32。先用真实输入预热一批段落、一批查询及近邻，再执行3次完整计算，无limit、无fake-encoder。原始编码脚本与基准脚本SHA256均在benchmark.json。</w:t>
      </w:r>
    </w:p>
    <w:p>
      <w:r>
        <w:t>计时前后torch.cuda.synchronize；编码耗时包含tokenization与实际模型执行，近邻耗时包含GPU矩阵运算、top-k及CPU结果准备。全流程包含结果校验和文件写入，模型加载与预热单独记录并排除。每250ms用nvidia-smi采样驻留显存、利用率、功率和温度；torch张量分配与缓存峰值另列，避免混淆指标。</w:t>
      </w:r>
    </w:p>
    <w:p>
      <w:pPr>
        <w:pStyle w:val="Heading1"/>
      </w:pPr>
      <w:r>
        <w:t>四、完整GPU实测结果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987"/>
          </w:tcPr>
          <w:p>
            <w:r>
              <w:t>重复</w:t>
            </w:r>
          </w:p>
        </w:tc>
        <w:tc>
          <w:tcPr>
            <w:tcW w:type="dxa" w:w="1987"/>
          </w:tcPr>
          <w:p>
            <w:r>
              <w:t>段落＋查询编码秒</w:t>
            </w:r>
          </w:p>
        </w:tc>
        <w:tc>
          <w:tcPr>
            <w:tcW w:type="dxa" w:w="1987"/>
          </w:tcPr>
          <w:p>
            <w:r>
              <w:t>近邻秒</w:t>
            </w:r>
          </w:p>
        </w:tc>
        <w:tc>
          <w:tcPr>
            <w:tcW w:type="dxa" w:w="1987"/>
          </w:tcPr>
          <w:p>
            <w:r>
              <w:t>全流程秒</w:t>
            </w:r>
          </w:p>
        </w:tc>
        <w:tc>
          <w:tcPr>
            <w:tcW w:type="dxa" w:w="1987"/>
          </w:tcPr>
          <w:p>
            <w:r>
              <w:t>编码文本/秒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57.213</w:t>
            </w:r>
          </w:p>
        </w:tc>
        <w:tc>
          <w:tcPr>
            <w:tcW w:type="dxa" w:w="1987"/>
          </w:tcPr>
          <w:p>
            <w:r>
              <w:t>0.122</w:t>
            </w:r>
          </w:p>
        </w:tc>
        <w:tc>
          <w:tcPr>
            <w:tcW w:type="dxa" w:w="1987"/>
          </w:tcPr>
          <w:p>
            <w:r>
              <w:t>57.646</w:t>
            </w:r>
          </w:p>
        </w:tc>
        <w:tc>
          <w:tcPr>
            <w:tcW w:type="dxa" w:w="1987"/>
          </w:tcPr>
          <w:p>
            <w:r>
              <w:t>1697.70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57.511</w:t>
            </w:r>
          </w:p>
        </w:tc>
        <w:tc>
          <w:tcPr>
            <w:tcW w:type="dxa" w:w="1987"/>
          </w:tcPr>
          <w:p>
            <w:r>
              <w:t>0.367</w:t>
            </w:r>
          </w:p>
        </w:tc>
        <w:tc>
          <w:tcPr>
            <w:tcW w:type="dxa" w:w="1987"/>
          </w:tcPr>
          <w:p>
            <w:r>
              <w:t>58.131</w:t>
            </w:r>
          </w:p>
        </w:tc>
        <w:tc>
          <w:tcPr>
            <w:tcW w:type="dxa" w:w="1987"/>
          </w:tcPr>
          <w:p>
            <w:r>
              <w:t>1688.90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57.354</w:t>
            </w:r>
          </w:p>
        </w:tc>
        <w:tc>
          <w:tcPr>
            <w:tcW w:type="dxa" w:w="1987"/>
          </w:tcPr>
          <w:p>
            <w:r>
              <w:t>0.688</w:t>
            </w:r>
          </w:p>
        </w:tc>
        <w:tc>
          <w:tcPr>
            <w:tcW w:type="dxa" w:w="1987"/>
          </w:tcPr>
          <w:p>
            <w:r>
              <w:t>58.306</w:t>
            </w:r>
          </w:p>
        </w:tc>
        <w:tc>
          <w:tcPr>
            <w:tcW w:type="dxa" w:w="1987"/>
          </w:tcPr>
          <w:p>
            <w:r>
              <w:t>1693.54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</w:tcPr>
          <w:p>
            <w:r>
              <w:t>重复</w:t>
            </w:r>
          </w:p>
        </w:tc>
        <w:tc>
          <w:tcPr>
            <w:tcW w:type="dxa" w:w="2484"/>
          </w:tcPr>
          <w:p>
            <w:r>
              <w:t>驻留显存峰值MiB</w:t>
            </w:r>
          </w:p>
        </w:tc>
        <w:tc>
          <w:tcPr>
            <w:tcW w:type="dxa" w:w="2484"/>
          </w:tcPr>
          <w:p>
            <w:r>
              <w:t>张量分配峰值MiB</w:t>
            </w:r>
          </w:p>
        </w:tc>
        <w:tc>
          <w:tcPr>
            <w:tcW w:type="dxa" w:w="2484"/>
          </w:tcPr>
          <w:p>
            <w:r>
              <w:t>GPU利用率峰值%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3493.0</w:t>
            </w:r>
          </w:p>
        </w:tc>
        <w:tc>
          <w:tcPr>
            <w:tcW w:type="dxa" w:w="2484"/>
          </w:tcPr>
          <w:p>
            <w:r>
              <w:t>1897.407</w:t>
            </w:r>
          </w:p>
        </w:tc>
        <w:tc>
          <w:tcPr>
            <w:tcW w:type="dxa" w:w="2484"/>
          </w:tcPr>
          <w:p>
            <w:r>
              <w:t>100.0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3493.0</w:t>
            </w:r>
          </w:p>
        </w:tc>
        <w:tc>
          <w:tcPr>
            <w:tcW w:type="dxa" w:w="2484"/>
          </w:tcPr>
          <w:p>
            <w:r>
              <w:t>1897.407</w:t>
            </w:r>
          </w:p>
        </w:tc>
        <w:tc>
          <w:tcPr>
            <w:tcW w:type="dxa" w:w="2484"/>
          </w:tcPr>
          <w:p>
            <w:r>
              <w:t>100.0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3493.0</w:t>
            </w:r>
          </w:p>
        </w:tc>
        <w:tc>
          <w:tcPr>
            <w:tcW w:type="dxa" w:w="2484"/>
          </w:tcPr>
          <w:p>
            <w:r>
              <w:t>1897.407</w:t>
            </w:r>
          </w:p>
        </w:tc>
        <w:tc>
          <w:tcPr>
            <w:tcW w:type="dxa" w:w="2484"/>
          </w:tcPr>
          <w:p>
            <w:r>
              <w:t>100.0</w:t>
            </w:r>
          </w:p>
        </w:tc>
      </w:tr>
    </w:tbl>
    <w:p>
      <w:r>
        <w:t>全流程平均58.028秒，样本标准差0.342秒，中位数58.131秒，P95=58.289秒。编码均值57.360秒，近邻均值0.393秒；分位数采用小样本线性插值，完整原始数据见benchmark.json。</w:t>
      </w:r>
    </w:p>
    <w:p>
      <w:r>
        <w:t>全部3轮完整计算通过；每轮3922条主张均获得同公司范围内20条候选，分数有限且按原实现排序。FP16归一和点积采用0.005数值容差，保留原始分数、不裁剪或重排。重复输出哈希一致=True；各轮neighbors及GPU采样分别保存。</w:t>
      </w:r>
    </w:p>
    <w:p>
      <w:pPr>
        <w:pStyle w:val="Heading1"/>
      </w:pPr>
      <w:r>
        <w:t>五、平台接入与效果复核</w:t>
      </w:r>
    </w:p>
    <w:p>
      <w:r>
        <w:t>通过原dense_index.install接口核对输入摘要、段落指纹及输出摘要，将GPU回传产物安装到独立.private目录；从只读快照加载全部3922条主张近邻，编号关联和覆盖检查通过。既有运行包与线上冻结近邻、机器裁决和阈值保持原样。</w:t>
      </w:r>
    </w:p>
    <w:p>
      <w:r>
        <w:t>固定启发式检索标签复核1175条去重主张：BM25 recall@shown=0.8826，Dense=0.6689，Hybrid=0.8757，Fallback=0.8936。这些候选命中指标按04的标签与评价设计独立统计，人工事实评价采用另设裁定协议。完整分组、候选预算和方案选择见application-acceptance.json。</w:t>
      </w:r>
    </w:p>
    <w:p>
      <w:r>
        <w:t>GPU验收工具与既有向量导入／检索契约共35项CPU回归通过，见cpu-contract-tests.log；实际CUDA计算独立以本报告三轮结果验证。</w:t>
      </w:r>
    </w:p>
    <w:p>
      <w:pPr>
        <w:pStyle w:val="Heading1"/>
      </w:pPr>
      <w:r>
        <w:t>六、复现与交付</w:t>
      </w:r>
    </w:p>
    <w:p>
      <w:pPr>
        <w:spacing w:after="0"/>
      </w:pPr>
      <w:r>
        <w:rPr>
          <w:rFonts w:ascii="DejaVu Sans Mono" w:hAnsi="DejaVu Sans Mono"/>
          <w:sz w:val="16"/>
        </w:rPr>
        <w:t># 平台：Python3.12，按授权快照导出，不导出账号和密钥</w:t>
      </w:r>
    </w:p>
    <w:p>
      <w:pPr>
        <w:spacing w:after="0"/>
      </w:pPr>
      <w:r>
        <w:rPr>
          <w:rFonts w:ascii="DejaVu Sans Mono" w:hAnsi="DejaVu Sans Mono"/>
          <w:sz w:val="16"/>
        </w:rPr>
        <w:t>python -m processor.dense_index export --out &lt;受控输入目录&gt;</w:t>
      </w:r>
    </w:p>
    <w:p>
      <w:pPr>
        <w:spacing w:after="0"/>
      </w:pPr>
      <w:r>
        <w:rPr>
          <w:rFonts w:ascii="DejaVu Sans Mono" w:hAnsi="DejaVu Sans Mono"/>
          <w:sz w:val="16"/>
        </w:rPr>
        <w:t># GPU：独立环境，安装scripts/gpu/requirements-submission.txt，准备授权模型</w:t>
      </w:r>
    </w:p>
    <w:p>
      <w:pPr>
        <w:spacing w:after="0"/>
      </w:pPr>
      <w:r>
        <w:rPr>
          <w:rFonts w:ascii="DejaVu Sans Mono" w:hAnsi="DejaVu Sans Mono"/>
          <w:sz w:val="16"/>
        </w:rPr>
        <w:t>python scripts/gpu/submission_benchmark.py --bundle &lt;输入目录&gt; --model &lt;模型目录&gt; --reference-manifest &lt;冻结data/state/dense/manifest.json&gt; --out &lt;结果目录&gt; --source-commit &lt;40位提交&gt; --repeats 3 --batch-size 64 --max-length 512 --top-k 20</w:t>
      </w:r>
    </w:p>
    <w:p>
      <w:pPr>
        <w:spacing w:after="0"/>
      </w:pPr>
      <w:r>
        <w:rPr>
          <w:rFonts w:ascii="DejaVu Sans Mono" w:hAnsi="DejaVu Sans Mono"/>
          <w:sz w:val="16"/>
        </w:rPr>
        <w:t># 平台：重新生成固定标签并在新建隔离目录验收回传（不替换生产）</w:t>
      </w:r>
    </w:p>
    <w:p>
      <w:pPr>
        <w:spacing w:after="0"/>
      </w:pPr>
      <w:r>
        <w:rPr>
          <w:rFonts w:ascii="DejaVu Sans Mono" w:hAnsi="DejaVu Sans Mono"/>
          <w:sz w:val="16"/>
        </w:rPr>
        <w:t>python -m processor.retrieval_eval build</w:t>
      </w:r>
    </w:p>
    <w:p>
      <w:pPr>
        <w:spacing w:after="0"/>
      </w:pPr>
      <w:r>
        <w:rPr>
          <w:rFonts w:ascii="DejaVu Sans Mono" w:hAnsi="DejaVu Sans Mono"/>
          <w:sz w:val="16"/>
        </w:rPr>
        <w:t>python scripts/gpu/submission_acceptance.py --bundle &lt;输入目录&gt; --run &lt;结果目录/run-1&gt; --out &lt;验收目录&gt;</w:t>
      </w:r>
    </w:p>
    <w:p>
      <w:r>
        <w:t>实际云端采用PYTHONPATH指定只读公共GPU依赖路径，HF_HUB_OFFLINE=1、OMP_NUM_THREADS=8；全新GPU环境按锁安装可独立复现，不要求保留另一项目。输入受数据授权约束，传输仅限获授权的部署环境；模型供应商密钥和服务器SSH口令独立管理。</w:t>
      </w:r>
    </w:p>
    <w:p>
      <w:pPr>
        <w:pStyle w:val="Heading1"/>
      </w:pPr>
      <w:r>
        <w:t>七、结果口径与扩展方向</w:t>
      </w:r>
    </w:p>
    <w:p>
      <w:r>
        <w:t>历史V100161.6秒与本次4090D结果按设备及运行版本分别归档。本轮固定输入哈希、模型资产摘要和算法参数，形成可重放的单卡计算基线；严格跨设备加速比、双卡并行及更多配置按同一模型资产和环境的对照协议扩展。</w:t>
      </w:r>
    </w:p>
    <w:p>
      <w:r>
        <w:t>本轮完成向量计算性能与平台回传验证；业务API延迟、外部LLM生成容量和训练实验按各自链路评价。不同batch／长度、长期GPU容量和更多公司可按07协议扩展；已验证业务容量与性能基线详见05。</w:t>
      </w:r>
    </w:p>
    <w:p>
      <w:r>
        <w:t>技术来源：</w:t>
      </w:r>
      <w:hyperlink r:id="rId11">
        <w:r>
          <w:rPr>
            <w:color w:val="0563C1"/>
            <w:u w:val="single"/>
          </w:rPr>
          <w:t>官方BGE-M3模型说明</w:t>
        </w:r>
      </w:hyperlink>
      <w: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IssuerTrace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uggingface.co/BAAI/bge-m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