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eastAsia="Microsoft YaHei"/>
          <w:b/>
          <w:sz w:val="32"/>
        </w:rPr>
        <w:t xml:space="preserve">长鑫科技集团股份有限公司公告将于2026年9月7日召开2026年半年度业绩说明会，就半年度经营成果、财务状况与投资者进行交流。</w:t>
      </w:r>
    </w:p>
    <w:p>
      <w:pPr>
        <w:spacing w:after="60"/>
      </w:pPr>
      <w:r>
        <w:rPr>
          <w:rFonts w:ascii="Calibri" w:eastAsia="Microsoft YaHei"/>
          <w:sz w:val="18"/>
          <w:color w:val="666666"/>
        </w:rPr>
        <w:t xml:space="preserve">长鑫科技 · 发布于 2026-08-29 · 计划/截止 2026-09-07 · 来源 巨潮资讯网上市公司公告</w:t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一、事件摘要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长鑫科技集团股份有限公司公告将于2026年9月7日召开2026年半年度业绩说明会，就半年度经营成果、财务状况与投资者进行交流。</w:t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二、事件主体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长鑫科技集团股份有限公司</w:t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三、影响对象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（本条尚无数据）</w:t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四、影响方向与程度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中性·轻微（风险分 25.0，等级 一般关注）</w:t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五、可信度与信源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该事件未触发预警，因此没有预警层计算的可信度。（本条尚无数据）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独立信源 1 家，同源报道 1 篇（2026-08-29 起）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主张裁决：支持 1 条</w:t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六、证据来源</w:t>
      </w:r>
    </w:p>
    <w:tbl>
      <w:tblPr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b/>
                <w:sz w:val="18"/>
              </w:rPr>
              <w:t xml:space="preserve">主张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b/>
                <w:sz w:val="18"/>
              </w:rPr>
              <w:t xml:space="preserve">裁决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b/>
                <w:sz w:val="18"/>
              </w:rPr>
              <w:t xml:space="preserve">出处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b/>
                <w:sz w:val="18"/>
              </w:rPr>
              <w:t xml:space="preserve">页码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sz w:val="18"/>
              </w:rPr>
              <w:t xml:space="preserve">公司计划于2026 年9 月7 日（星期一）15:00-16:00
举行2026 年半年度业绩说明会，就投资者关心的问题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sz w:val="18"/>
              </w:rPr>
              <w:t xml:space="preserve">支持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sz w:val="18"/>
              </w:rPr>
              <w:t xml:space="preserve">(前言)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rFonts w:ascii="Calibri" w:eastAsia="Microsoft YaHei"/>
                <w:sz w:val="18"/>
              </w:rPr>
              <w:t xml:space="preserve">1</w:t>
            </w:r>
          </w:p>
        </w:tc>
      </w:tr>
    </w:tbl>
    <w:p>
      <w:pPr>
        <w:spacing w:after="0"/>
      </w:pPr>
      <w:r>
        <w:rPr>
          <w:rFonts w:ascii="Calibri" w:eastAsia="Microsoft YaHei"/>
          <w:sz w:val="21"/>
        </w:rPr>
        <w:t xml:space="preserve"/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七、事件时间线与阶段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2026-08-29（发布时间）· 披露阶段 上市后，系数 1.0 · 阶段修正后风险 25.0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本轮新增：否 · 主张 1 条，其中新事实 1 条</w:t>
      </w:r>
    </w:p>
    <w:p>
      <w:pPr>
        <w:spacing w:after="120"/>
      </w:pPr>
      <w:r>
        <w:rPr>
          <w:rFonts w:ascii="Calibri" w:eastAsia="Microsoft YaHei"/>
          <w:b/>
          <w:sz w:val="26"/>
        </w:rPr>
        <w:t xml:space="preserve">八、预警理由与建议动作</w:t>
      </w:r>
    </w:p>
    <w:p>
      <w:pPr>
        <w:spacing w:after="60"/>
      </w:pPr>
      <w:r>
        <w:rPr>
          <w:rFonts w:ascii="Calibri" w:eastAsia="Microsoft YaHei"/>
          <w:sz w:val="21"/>
        </w:rPr>
        <w:t xml:space="preserve">建议动作：archive</w:t>
      </w:r>
    </w:p>
    <w:p>
      <w:pPr>
        <w:spacing w:after="60"/>
      </w:pPr>
      <w:r>
        <w:rPr>
          <w:rFonts w:ascii="Calibri" w:eastAsia="Microsoft YaHei"/>
          <w:sz w:val="18"/>
          <w:color w:val="666666"/>
        </w:rPr>
        <w:t xml:space="preserve">本报告由平台按存储结论生成，未作任何人工改写；缺数据的条目直接标注，不以叙述填补。</w:t>
      </w:r>
    </w:p>
  </w:body>
</w:document>
</file>