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06665">
      <w:pPr>
        <w:pStyle w:val="5"/>
        <w:spacing w:before="0" w:after="120"/>
        <w:jc w:val="center"/>
      </w:pPr>
      <w:r>
        <w:rPr>
          <w:b/>
          <w:bCs/>
          <w:sz w:val="32"/>
          <w:szCs w:val="32"/>
        </w:rPr>
        <w:t>基于季节性预测与混合整数规划的乘用车补货促销联合优化——以朗逸为例</w:t>
      </w:r>
    </w:p>
    <w:p w14:paraId="65EB3F2D">
      <w:pPr>
        <w:ind w:firstLine="482" w:firstLineChars="200"/>
      </w:pPr>
      <w:r>
        <w:rPr>
          <w:b/>
          <w:bCs/>
        </w:rPr>
        <w:t>摘要：</w:t>
      </w:r>
      <w:r>
        <w:t>本文以中国乘用车市场为背景，基于2015年1月至2023年9月分车型月度销量数据，以上汽大众朗逸为对象，构建“需求预测—促销标定—补货促销联合优化”的决策框架。首先通过滚动回测比较去年同期法、多年同月均值法、近3月均值法三种预测方法，选取误差最小的多年同月均值法；其次利用历史月份相对同月基线的偏离幅度标定促销需求增幅；最后建立以利润最大化为目标的混合整数规划模型，纳入库存平衡、持有成本、总补货上限等约束，并对促销力度进行敏感性分析。结果表明：多年同月均值法回测MAPE为36.7%，优于去年同期法（42.1%）与近3月均值法（50.0%）；促销需求增幅的历史标定值为25.6%；在2023年10—12月规划期内，最优方案为11月、12月开展促销，预计实现利润18.62亿元，较不促销基线提升4.72%；促销需求增幅盈亏平衡点约为17.6%。研究为经销商补货与促销的协同决策提供了可复用的数据驱动方法。</w:t>
      </w:r>
    </w:p>
    <w:p w14:paraId="239D6ECB">
      <w:pPr>
        <w:ind w:firstLine="482" w:firstLineChars="200"/>
      </w:pPr>
      <w:r>
        <w:rPr>
          <w:b/>
          <w:bCs/>
        </w:rPr>
        <w:t>关键词：</w:t>
      </w:r>
      <w:r>
        <w:t>销量预测；混合整数规划；补货优化；促销决策；敏感性分析</w:t>
      </w:r>
    </w:p>
    <w:p w14:paraId="20EE3756">
      <w:pPr>
        <w:pStyle w:val="2"/>
        <w:spacing w:before="240" w:after="120"/>
      </w:pPr>
      <w:r>
        <w:t>1 引言</w:t>
      </w:r>
    </w:p>
    <w:p w14:paraId="37C328DD">
      <w:pPr>
        <w:pStyle w:val="3"/>
        <w:spacing w:before="120" w:after="60"/>
      </w:pPr>
      <w:r>
        <w:t>1.1 研究背景与意义</w:t>
      </w:r>
    </w:p>
    <w:p w14:paraId="116706F4">
      <w:pPr>
        <w:ind w:firstLine="480" w:firstLineChars="200"/>
      </w:pPr>
      <w:r>
        <w:t>中国汽车市场竞争日趋激烈，车型月度销量波动显著，库存积压与缺货并存是经销商运营的核心难题。以朗逸为例，作为上汽大众的主力A级轿车，其月度销量在2015—2023年间于3,303辆（2020年2月）至62,644辆（2019年12月）之间大幅波动，季节性与突发性扰动并存。补货量与促销决策直接影响资金占用与盈利水平：备货不足将损失旺季销售机会，备货过多则占用资金并产生库存成本；促销虽能拉动销量，但会压缩单车利润。传统决策依赖经验判断，缺乏对销量季节性、促销弹性与库存成本的系统量化。本文利用公开的分车型月度销量数据，构建数据驱动的补货促销联合优化框架，对提升汽车经销运营决策的科学性具有现实意义。</w:t>
      </w:r>
    </w:p>
    <w:p w14:paraId="39F0379B">
      <w:pPr>
        <w:pStyle w:val="3"/>
        <w:spacing w:before="120" w:after="60"/>
      </w:pPr>
      <w:r>
        <w:t>1.2 国内外研究现状</w:t>
      </w:r>
    </w:p>
    <w:p w14:paraId="29EC71C3">
      <w:pPr>
        <w:ind w:firstLine="480" w:firstLineChars="200"/>
      </w:pPr>
      <w:r>
        <w:t>在需求预测方面，朴素法、移动平均与指数平滑是经典基准，SARIMA与机器学习方法进一步刻画了趋势与季节性（Hyndman等[2]系统总结了预测原理与实践）。在库存优化方面，报童模型解决单周期随机需求下的订货量决策，多周期库存模型引入持有成本、缺货成本与服务水平约束（Silver等[3]；王道平等[4]）。在促销决策方面，促销对销量的拉动效应可通过销量相对基线的偏离进行估计，价格弹性与需求转移是核心机制。在运筹优化方面，混合整数规划被广泛用于供应链生产—库存—配送协同决策，开源求解器（如PuLP/CBC）降低了应用门槛。现有研究多聚焦预测或库存的单一环节，将预测方法选择、促销参数标定与多周期补货促销联合优化整合的实践较少，本文在这一方向上进行了尝试。</w:t>
      </w:r>
    </w:p>
    <w:p w14:paraId="234C9FBE">
      <w:pPr>
        <w:pStyle w:val="3"/>
        <w:spacing w:before="120" w:after="60"/>
      </w:pPr>
      <w:r>
        <w:t>1.3 本文研究内容与结构</w:t>
      </w:r>
    </w:p>
    <w:p w14:paraId="2B283BB2">
      <w:pPr>
        <w:ind w:firstLine="480" w:firstLineChars="200"/>
      </w:pPr>
      <w:r>
        <w:t>本文以朗逸为研究对象，完成“数据清洗—利润测算—预测回测—促销标定—补货促销联合优化—敏感性分析”的完整闭环。第2节介绍数据来源与研究方法；第3节给出实证结果；第4节进行模型检验；第5节总结结论并提出经营建议。</w:t>
      </w:r>
    </w:p>
    <w:p w14:paraId="30B4D5D9">
      <w:pPr>
        <w:pStyle w:val="2"/>
        <w:spacing w:before="240" w:after="120"/>
      </w:pPr>
      <w:r>
        <w:t>2 数据与方法</w:t>
      </w:r>
    </w:p>
    <w:p w14:paraId="6E5E0B90">
      <w:pPr>
        <w:pStyle w:val="3"/>
        <w:spacing w:before="120" w:after="60"/>
      </w:pPr>
      <w:r>
        <w:t>2.1 数据来源与指标</w:t>
      </w:r>
    </w:p>
    <w:p w14:paraId="79A911DB">
      <w:pPr>
        <w:ind w:firstLine="480" w:firstLineChars="200"/>
      </w:pPr>
      <w:r>
        <w:t>数据来源于《中国汽车分车型每月销售量》统计表，覆盖2015年1月至2023年9月，共49,344条记录、1,341款车型，字段包括年份、月份、排名、车型、厂商、销量（辆）与售价区间（万元）。本文聚焦朗逸，共104个月度样本。售价按区间中值处理，朗逸售价区间为9.40—15.19万元，中值为12.295万元。数据质量检查显示：朗逸在2022年4月缺失（其余月份完整），无重复记录，缺失月与当月疫情封控相关，对预测影响有限。</w:t>
      </w:r>
    </w:p>
    <w:p w14:paraId="6CC1292C">
      <w:pPr>
        <w:pStyle w:val="3"/>
        <w:bidi w:val="0"/>
      </w:pPr>
      <w:r>
        <w:t>2.2 研究方法</w:t>
      </w:r>
    </w:p>
    <w:p w14:paraId="24616DC7">
      <w:pPr>
        <w:pStyle w:val="4"/>
        <w:spacing w:before="60" w:after="40"/>
      </w:pPr>
      <w:r>
        <w:t>2.2.1 单车利润测算</w:t>
      </w:r>
    </w:p>
    <w:p w14:paraId="4E2CB2BB">
      <w:pPr>
        <w:ind w:firstLine="480" w:firstLineChars="200"/>
      </w:pPr>
      <w:r>
        <w:t>设单车正常利润为售价中值与利润率的乘积。利润率取12%，则正常利润为：</w:t>
      </w:r>
    </w:p>
    <w:p w14:paraId="305AB580">
      <w:pPr>
        <w:spacing w:before="60" w:after="60"/>
        <w:jc w:val="center"/>
      </w:pPr>
      <w:r>
        <w:t>p = 12.295 × 10,000 × 12% ≈ 14,754（元/辆）</w:t>
      </w:r>
    </w:p>
    <w:p w14:paraId="2C9AC3E9">
      <w:pPr>
        <w:ind w:firstLine="480" w:firstLineChars="200"/>
      </w:pPr>
      <w:r>
        <w:t>促销场景下单车利润按正常的85%计，约12,541元/辆。上述参数属于业务假设，需结合实际财务报表校准。</w:t>
      </w:r>
    </w:p>
    <w:p w14:paraId="1B924FAF">
      <w:pPr>
        <w:pStyle w:val="4"/>
        <w:spacing w:before="60" w:after="40"/>
      </w:pPr>
      <w:r>
        <w:t>2.2.2 需求预测与滚动回测</w:t>
      </w:r>
    </w:p>
    <w:p w14:paraId="186E7E20">
      <w:pPr>
        <w:ind w:firstLine="480" w:firstLineChars="200"/>
      </w:pPr>
      <w:r>
        <w:t>本文比较三种预测方法：（1）去年同期法，用去年同月销量作为预测值；（2）多年同月均值法，用其他年份同月销量的均值作为预测值；（3）近3月均值法，用最近3个月销量均值作为预测值。回测设计为：对2018—2022年逐月，仅使用该月之前的历史数据做“事前预测”，与实际销量比较，计算平均绝对误差（MAE）与平均绝对百分比误差（MAPE），按MAPE最小原则选择预测方法，避免“偷看未来”造成的高估。</w:t>
      </w:r>
    </w:p>
    <w:p w14:paraId="6DA36A9D">
      <w:pPr>
        <w:pStyle w:val="4"/>
        <w:spacing w:before="60" w:after="40"/>
      </w:pPr>
      <w:r>
        <w:t>2.2.3 促销需求增幅标定</w:t>
      </w:r>
    </w:p>
    <w:p w14:paraId="3FBD7D60">
      <w:pPr>
        <w:ind w:firstLine="480" w:firstLineChars="200"/>
      </w:pPr>
      <w:r>
        <w:t>设促销月份的需求为正常预测的θ倍。标定方法：对每个历史月份(y, m)，以其他年份同月销量均值作为基线b，计算偏离率δ = d/b − 1；将δ ≥ 15%的月份视为促销样本，取样本中位数作为θ−1的估计。该方法属于间接标定，样本可能混杂政策刺激、疫情后回补等非促销因素，结果需结合敏感性分析使用。</w:t>
      </w:r>
    </w:p>
    <w:p w14:paraId="70B4CDEA">
      <w:pPr>
        <w:pStyle w:val="4"/>
        <w:spacing w:before="60" w:after="40"/>
      </w:pPr>
      <w:r>
        <w:t>2.2.4 补货促销优化模型</w:t>
      </w:r>
    </w:p>
    <w:p w14:paraId="41CA4D09">
      <w:pPr>
        <w:ind w:firstLine="480" w:firstLineChars="200"/>
      </w:pPr>
      <w:r>
        <w:t>规划期T = {1, 2, 3}，对应2023年10月、11月、12月。模型参数：预测需求D_t，正常单车利润p = 14,754元，促销单车利润p′ = 12,541元，促销需求增幅θ，持有成本h = 200元/辆/月，总补货上限C = 1.2×ΣD_t，单月到货上限L（可选）。决策变量：x_t为第t月到货量，z_t∈{0,1}为是否促销，s_t为销量，w_t为按促销价售出的数量（线性化w_t = z_t·s_t），I_t为月末库存。目标函数为：</w:t>
      </w:r>
    </w:p>
    <w:p w14:paraId="06E016B8">
      <w:pPr>
        <w:spacing w:before="60" w:after="60"/>
        <w:jc w:val="center"/>
      </w:pPr>
      <w:r>
        <w:t>max  Σ_t [ p·s_t − (p − p′)·w_t − h·I_t ]</w:t>
      </w:r>
    </w:p>
    <w:p w14:paraId="7B5BF38C">
      <w:pPr>
        <w:ind w:firstLine="480" w:firstLineChars="200"/>
      </w:pPr>
      <w:r>
        <w:t>约束条件包括：</w:t>
      </w:r>
    </w:p>
    <w:p w14:paraId="2041C78E">
      <w:pPr>
        <w:spacing w:before="60" w:after="60"/>
        <w:jc w:val="center"/>
      </w:pPr>
      <w:r>
        <w:t>I_t = I_{t−1} + x_t − s_t（库存平衡，I_0 = 0）</w:t>
      </w:r>
    </w:p>
    <w:p w14:paraId="0635DE79">
      <w:pPr>
        <w:spacing w:before="60" w:after="60"/>
        <w:jc w:val="center"/>
      </w:pPr>
      <w:r>
        <w:t>s_t ≤ I_{t−1} + x_t（可售库存约束）</w:t>
      </w:r>
    </w:p>
    <w:p w14:paraId="02D33882">
      <w:pPr>
        <w:spacing w:before="60" w:after="60"/>
        <w:jc w:val="center"/>
      </w:pPr>
      <w:r>
        <w:t>s_t ≤ D_t·[1 + (θ − 1)·z_t]（需求约束）</w:t>
      </w:r>
    </w:p>
    <w:p w14:paraId="462BC615">
      <w:pPr>
        <w:spacing w:before="60" w:after="60"/>
        <w:jc w:val="center"/>
      </w:pPr>
      <w:r>
        <w:t>w_t ≤ s_t，w_t ≤ M·z_t，w_t ≥ s_t − M·(1 − z_t)（促销销量线性化，M为足够大的常数）</w:t>
      </w:r>
    </w:p>
    <w:p w14:paraId="08F5FF7C">
      <w:pPr>
        <w:spacing w:before="60" w:after="60"/>
        <w:jc w:val="center"/>
      </w:pPr>
      <w:r>
        <w:t>I_t ≤ 仓库容量；x_t ≤ L（可选）；Σ_t x_t ≤ C（总补货上限）</w:t>
      </w:r>
    </w:p>
    <w:p w14:paraId="596B48BC">
      <w:pPr>
        <w:ind w:firstLine="480" w:firstLineChars="200"/>
      </w:pPr>
      <w:r>
        <w:t>该模型为混合整数线性规划（MILP），采用Python的PuLP库调用CBC求解器求解。</w:t>
      </w:r>
    </w:p>
    <w:p w14:paraId="4FD91FE7">
      <w:pPr>
        <w:pStyle w:val="4"/>
        <w:spacing w:before="60" w:after="40"/>
      </w:pPr>
      <w:r>
        <w:t>2.2.5 敏感性分析设计</w:t>
      </w:r>
    </w:p>
    <w:p w14:paraId="10B6D8E7">
      <w:pPr>
        <w:ind w:firstLine="480" w:firstLineChars="200"/>
      </w:pPr>
      <w:r>
        <w:t>将促销需求增幅θ在1.10—1.40之间变化，观察最优促销组合与利润提升的变化。理论盈亏平衡点为θ* = p/p′ ≈ 1.176，即促销需求增幅须超过约17.6%才可能有利可图。</w:t>
      </w:r>
    </w:p>
    <w:p w14:paraId="3F6096A3">
      <w:pPr>
        <w:pStyle w:val="2"/>
        <w:spacing w:before="240" w:after="120"/>
      </w:pPr>
      <w:r>
        <w:t>3 实证结果</w:t>
      </w:r>
    </w:p>
    <w:p w14:paraId="0A036645">
      <w:pPr>
        <w:pStyle w:val="3"/>
        <w:spacing w:before="120" w:after="60"/>
      </w:pPr>
      <w:r>
        <w:t>3.1 数据概览与季节性特征</w:t>
      </w:r>
    </w:p>
    <w:p w14:paraId="3D0E8ECB">
      <w:pPr>
        <w:ind w:firstLine="480" w:firstLineChars="200"/>
      </w:pPr>
      <w:r>
        <w:t>朗逸104个月的平均月销量为35,909辆，标准差9,687辆，销量走势如图1所示；2019年12月达历史峰值62,644辆，2020年2月（疫情初期）跌至最低3,303辆，2022年5月、11月受疫情扰动亦明显走低。按完整年份计算各月平均占全年比重（季节指数），结果如表1、图2所示：11月为旺季（10.6%），1月次之（10.3%），2月为淡季（5.8%）。</w:t>
      </w:r>
    </w:p>
    <w:tbl>
      <w:tblPr>
        <w:tblStyle w:val="6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3"/>
        <w:gridCol w:w="693"/>
        <w:gridCol w:w="693"/>
        <w:gridCol w:w="693"/>
      </w:tblGrid>
      <w:tr w14:paraId="17285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692" w:type="dxa"/>
            <w:vAlign w:val="center"/>
          </w:tcPr>
          <w:p w14:paraId="34D7901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月份</w:t>
            </w:r>
          </w:p>
        </w:tc>
        <w:tc>
          <w:tcPr>
            <w:tcW w:w="692" w:type="dxa"/>
            <w:vAlign w:val="center"/>
          </w:tcPr>
          <w:p w14:paraId="2FFC0B9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1月</w:t>
            </w:r>
          </w:p>
        </w:tc>
        <w:tc>
          <w:tcPr>
            <w:tcW w:w="692" w:type="dxa"/>
            <w:vAlign w:val="center"/>
          </w:tcPr>
          <w:p w14:paraId="4B4D417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2月</w:t>
            </w:r>
          </w:p>
        </w:tc>
        <w:tc>
          <w:tcPr>
            <w:tcW w:w="692" w:type="dxa"/>
            <w:vAlign w:val="center"/>
          </w:tcPr>
          <w:p w14:paraId="3A556606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3月</w:t>
            </w:r>
          </w:p>
        </w:tc>
        <w:tc>
          <w:tcPr>
            <w:tcW w:w="692" w:type="dxa"/>
            <w:vAlign w:val="center"/>
          </w:tcPr>
          <w:p w14:paraId="6A0A6E3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4月</w:t>
            </w:r>
          </w:p>
        </w:tc>
        <w:tc>
          <w:tcPr>
            <w:tcW w:w="692" w:type="dxa"/>
            <w:vAlign w:val="center"/>
          </w:tcPr>
          <w:p w14:paraId="69AEA95C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5月</w:t>
            </w:r>
          </w:p>
        </w:tc>
        <w:tc>
          <w:tcPr>
            <w:tcW w:w="692" w:type="dxa"/>
            <w:vAlign w:val="center"/>
          </w:tcPr>
          <w:p w14:paraId="01C033E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6月</w:t>
            </w:r>
          </w:p>
        </w:tc>
        <w:tc>
          <w:tcPr>
            <w:tcW w:w="692" w:type="dxa"/>
            <w:vAlign w:val="center"/>
          </w:tcPr>
          <w:p w14:paraId="1253415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7月</w:t>
            </w:r>
          </w:p>
        </w:tc>
        <w:tc>
          <w:tcPr>
            <w:tcW w:w="692" w:type="dxa"/>
            <w:vAlign w:val="center"/>
          </w:tcPr>
          <w:p w14:paraId="44BF5D6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8月</w:t>
            </w:r>
          </w:p>
        </w:tc>
        <w:tc>
          <w:tcPr>
            <w:tcW w:w="692" w:type="dxa"/>
            <w:vAlign w:val="center"/>
          </w:tcPr>
          <w:p w14:paraId="3E43B0A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9月</w:t>
            </w:r>
          </w:p>
        </w:tc>
        <w:tc>
          <w:tcPr>
            <w:tcW w:w="692" w:type="dxa"/>
            <w:vAlign w:val="center"/>
          </w:tcPr>
          <w:p w14:paraId="1E2DE3BD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10月</w:t>
            </w:r>
          </w:p>
        </w:tc>
        <w:tc>
          <w:tcPr>
            <w:tcW w:w="692" w:type="dxa"/>
            <w:vAlign w:val="center"/>
          </w:tcPr>
          <w:p w14:paraId="4BDF2C5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11月</w:t>
            </w:r>
          </w:p>
        </w:tc>
        <w:tc>
          <w:tcPr>
            <w:tcW w:w="692" w:type="dxa"/>
            <w:vAlign w:val="center"/>
          </w:tcPr>
          <w:p w14:paraId="032E075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12月</w:t>
            </w:r>
          </w:p>
        </w:tc>
      </w:tr>
      <w:tr w14:paraId="31E8A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 w14:paraId="4FBF2C8A">
            <w:pPr>
              <w:jc w:val="left"/>
            </w:pPr>
            <w:r>
              <w:rPr>
                <w:sz w:val="21"/>
                <w:szCs w:val="21"/>
              </w:rPr>
              <w:t>占比</w:t>
            </w:r>
          </w:p>
        </w:tc>
        <w:tc>
          <w:tcPr>
            <w:tcW w:w="692" w:type="dxa"/>
            <w:vAlign w:val="center"/>
          </w:tcPr>
          <w:p w14:paraId="53174749">
            <w:pPr>
              <w:jc w:val="center"/>
            </w:pPr>
            <w:r>
              <w:rPr>
                <w:sz w:val="21"/>
                <w:szCs w:val="21"/>
              </w:rPr>
              <w:t>10.3%</w:t>
            </w:r>
          </w:p>
        </w:tc>
        <w:tc>
          <w:tcPr>
            <w:tcW w:w="692" w:type="dxa"/>
            <w:vAlign w:val="center"/>
          </w:tcPr>
          <w:p w14:paraId="2FB76CA5">
            <w:pPr>
              <w:jc w:val="center"/>
            </w:pPr>
            <w:r>
              <w:rPr>
                <w:sz w:val="21"/>
                <w:szCs w:val="21"/>
              </w:rPr>
              <w:t>5.8%</w:t>
            </w:r>
          </w:p>
        </w:tc>
        <w:tc>
          <w:tcPr>
            <w:tcW w:w="692" w:type="dxa"/>
            <w:vAlign w:val="center"/>
          </w:tcPr>
          <w:p w14:paraId="605DCDB7">
            <w:pPr>
              <w:jc w:val="center"/>
            </w:pPr>
            <w:r>
              <w:rPr>
                <w:sz w:val="21"/>
                <w:szCs w:val="21"/>
              </w:rPr>
              <w:t>9.4%</w:t>
            </w:r>
          </w:p>
        </w:tc>
        <w:tc>
          <w:tcPr>
            <w:tcW w:w="692" w:type="dxa"/>
            <w:vAlign w:val="center"/>
          </w:tcPr>
          <w:p w14:paraId="15590268">
            <w:pPr>
              <w:jc w:val="center"/>
            </w:pPr>
            <w:r>
              <w:rPr>
                <w:sz w:val="21"/>
                <w:szCs w:val="21"/>
              </w:rPr>
              <w:t>7.0%</w:t>
            </w:r>
          </w:p>
        </w:tc>
        <w:tc>
          <w:tcPr>
            <w:tcW w:w="692" w:type="dxa"/>
            <w:vAlign w:val="center"/>
          </w:tcPr>
          <w:p w14:paraId="0A2D8C5F">
            <w:pPr>
              <w:jc w:val="center"/>
            </w:pPr>
            <w:r>
              <w:rPr>
                <w:sz w:val="21"/>
                <w:szCs w:val="21"/>
              </w:rPr>
              <w:t>8.0%</w:t>
            </w:r>
          </w:p>
        </w:tc>
        <w:tc>
          <w:tcPr>
            <w:tcW w:w="692" w:type="dxa"/>
            <w:vAlign w:val="center"/>
          </w:tcPr>
          <w:p w14:paraId="2D881F5F">
            <w:pPr>
              <w:jc w:val="center"/>
            </w:pPr>
            <w:r>
              <w:rPr>
                <w:sz w:val="21"/>
                <w:szCs w:val="21"/>
              </w:rPr>
              <w:t>7.1%</w:t>
            </w:r>
          </w:p>
        </w:tc>
        <w:tc>
          <w:tcPr>
            <w:tcW w:w="692" w:type="dxa"/>
            <w:vAlign w:val="center"/>
          </w:tcPr>
          <w:p w14:paraId="3C28F486">
            <w:pPr>
              <w:jc w:val="center"/>
            </w:pPr>
            <w:r>
              <w:rPr>
                <w:sz w:val="21"/>
                <w:szCs w:val="21"/>
              </w:rPr>
              <w:t>6.8%</w:t>
            </w:r>
          </w:p>
        </w:tc>
        <w:tc>
          <w:tcPr>
            <w:tcW w:w="692" w:type="dxa"/>
            <w:vAlign w:val="center"/>
          </w:tcPr>
          <w:p w14:paraId="67897365">
            <w:pPr>
              <w:jc w:val="center"/>
            </w:pPr>
            <w:r>
              <w:rPr>
                <w:sz w:val="21"/>
                <w:szCs w:val="21"/>
              </w:rPr>
              <w:t>8.2%</w:t>
            </w:r>
          </w:p>
        </w:tc>
        <w:tc>
          <w:tcPr>
            <w:tcW w:w="692" w:type="dxa"/>
            <w:vAlign w:val="center"/>
          </w:tcPr>
          <w:p w14:paraId="46C93A39">
            <w:pPr>
              <w:jc w:val="center"/>
            </w:pPr>
            <w:r>
              <w:rPr>
                <w:sz w:val="21"/>
                <w:szCs w:val="21"/>
              </w:rPr>
              <w:t>9.3%</w:t>
            </w:r>
          </w:p>
        </w:tc>
        <w:tc>
          <w:tcPr>
            <w:tcW w:w="692" w:type="dxa"/>
            <w:vAlign w:val="center"/>
          </w:tcPr>
          <w:p w14:paraId="61807792">
            <w:pPr>
              <w:jc w:val="center"/>
            </w:pPr>
            <w:r>
              <w:rPr>
                <w:sz w:val="21"/>
                <w:szCs w:val="21"/>
              </w:rPr>
              <w:t>8.3%</w:t>
            </w:r>
          </w:p>
        </w:tc>
        <w:tc>
          <w:tcPr>
            <w:tcW w:w="692" w:type="dxa"/>
            <w:vAlign w:val="center"/>
          </w:tcPr>
          <w:p w14:paraId="7DE7AB65">
            <w:pPr>
              <w:jc w:val="center"/>
            </w:pPr>
            <w:r>
              <w:rPr>
                <w:sz w:val="21"/>
                <w:szCs w:val="21"/>
              </w:rPr>
              <w:t>10.6%</w:t>
            </w:r>
          </w:p>
        </w:tc>
        <w:tc>
          <w:tcPr>
            <w:tcW w:w="692" w:type="dxa"/>
            <w:vAlign w:val="center"/>
          </w:tcPr>
          <w:p w14:paraId="330B49CE">
            <w:pPr>
              <w:jc w:val="center"/>
            </w:pPr>
            <w:r>
              <w:rPr>
                <w:sz w:val="21"/>
                <w:szCs w:val="21"/>
              </w:rPr>
              <w:t>9.3%</w:t>
            </w:r>
          </w:p>
        </w:tc>
      </w:tr>
    </w:tbl>
    <w:p w14:paraId="3E76F5BA">
      <w:pPr>
        <w:spacing w:before="40" w:after="80"/>
        <w:jc w:val="center"/>
      </w:pPr>
      <w:r>
        <w:rPr>
          <w:b/>
          <w:bCs/>
          <w:sz w:val="21"/>
          <w:szCs w:val="21"/>
        </w:rPr>
        <w:t>表1　朗逸季节指数（各月平均占全年比重）</w:t>
      </w:r>
    </w:p>
    <w:p w14:paraId="1BEFD5E7">
      <w:pPr>
        <w:jc w:val="center"/>
      </w:pPr>
      <w:r>
        <w:drawing>
          <wp:inline distT="0" distB="0" distL="0" distR="0">
            <wp:extent cx="5486400" cy="2316480"/>
            <wp:effectExtent l="0" t="0" r="0" b="0"/>
            <wp:docPr id="1" nam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45BE">
      <w:pPr>
        <w:spacing w:before="40" w:after="80"/>
        <w:jc w:val="center"/>
      </w:pPr>
      <w:r>
        <w:rPr>
          <w:b/>
          <w:bCs/>
          <w:sz w:val="21"/>
          <w:szCs w:val="21"/>
        </w:rPr>
        <w:t>图1　朗逸月度销量走势（2015.01—2023.09）</w:t>
      </w:r>
      <w:bookmarkStart w:id="0" w:name="_GoBack"/>
      <w:bookmarkEnd w:id="0"/>
    </w:p>
    <w:p w14:paraId="0BBD51C8">
      <w:pPr>
        <w:jc w:val="center"/>
      </w:pPr>
      <w:r>
        <w:drawing>
          <wp:inline distT="0" distB="0" distL="0" distR="0">
            <wp:extent cx="4937760" cy="2345055"/>
            <wp:effectExtent l="0" t="0" r="0" b="0"/>
            <wp:docPr id="2" nam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4944">
      <w:pPr>
        <w:spacing w:before="40" w:after="80"/>
        <w:jc w:val="center"/>
      </w:pPr>
      <w:r>
        <w:rPr>
          <w:b/>
          <w:bCs/>
          <w:sz w:val="21"/>
          <w:szCs w:val="21"/>
        </w:rPr>
        <w:t>图2　朗逸季节指数</w:t>
      </w:r>
    </w:p>
    <w:p w14:paraId="75A65610">
      <w:pPr>
        <w:pStyle w:val="3"/>
        <w:spacing w:before="120" w:after="60"/>
      </w:pPr>
      <w:r>
        <w:t>3.2 预测方法回测与选择</w:t>
      </w:r>
    </w:p>
    <w:p w14:paraId="0CF55668">
      <w:pPr>
        <w:ind w:firstLine="480" w:firstLineChars="200"/>
      </w:pPr>
      <w:r>
        <w:t>2018—2022年滚动回测结果如表2、图3所示：多年同月均值法的MAPE最低（36.7%，MAE 7,253辆），优于去年同期法（42.1%）与近3月均值法（50.0%），故后续采用多年同月均值法。2023年10—12月预测需求分别为35,866、44,283、40,379辆。值得注意的是，去年同期法给出的11月预测仅28,867辆，较多年同月均值预测低约35%，原因是2022年11月销量受疫情扰动被系统性压低，直接套用去年数据会低估旺季需求。</w:t>
      </w:r>
    </w:p>
    <w:tbl>
      <w:tblPr>
        <w:tblStyle w:val="6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43C70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50" w:type="dxa"/>
            <w:vAlign w:val="center"/>
          </w:tcPr>
          <w:p w14:paraId="423985D6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预测方法</w:t>
            </w:r>
          </w:p>
        </w:tc>
        <w:tc>
          <w:tcPr>
            <w:tcW w:w="2250" w:type="dxa"/>
            <w:vAlign w:val="center"/>
          </w:tcPr>
          <w:p w14:paraId="6AA6FDC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MAE（辆）</w:t>
            </w:r>
          </w:p>
        </w:tc>
        <w:tc>
          <w:tcPr>
            <w:tcW w:w="2250" w:type="dxa"/>
            <w:vAlign w:val="center"/>
          </w:tcPr>
          <w:p w14:paraId="3A73D0F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MAPE</w:t>
            </w:r>
          </w:p>
        </w:tc>
        <w:tc>
          <w:tcPr>
            <w:tcW w:w="2250" w:type="dxa"/>
            <w:vAlign w:val="center"/>
          </w:tcPr>
          <w:p w14:paraId="47E4492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样本数</w:t>
            </w:r>
          </w:p>
        </w:tc>
      </w:tr>
      <w:tr w14:paraId="44B2AD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7AD23F1A">
            <w:pPr>
              <w:jc w:val="left"/>
            </w:pPr>
            <w:r>
              <w:rPr>
                <w:sz w:val="21"/>
                <w:szCs w:val="21"/>
              </w:rPr>
              <w:t>去年同期法</w:t>
            </w:r>
          </w:p>
        </w:tc>
        <w:tc>
          <w:tcPr>
            <w:tcW w:w="2250" w:type="dxa"/>
            <w:vAlign w:val="center"/>
          </w:tcPr>
          <w:p w14:paraId="4A019FF0">
            <w:pPr>
              <w:jc w:val="center"/>
            </w:pPr>
            <w:r>
              <w:rPr>
                <w:sz w:val="21"/>
                <w:szCs w:val="21"/>
              </w:rPr>
              <w:t>9,313</w:t>
            </w:r>
          </w:p>
        </w:tc>
        <w:tc>
          <w:tcPr>
            <w:tcW w:w="2250" w:type="dxa"/>
            <w:vAlign w:val="center"/>
          </w:tcPr>
          <w:p w14:paraId="36A6F097">
            <w:pPr>
              <w:jc w:val="center"/>
            </w:pPr>
            <w:r>
              <w:rPr>
                <w:sz w:val="21"/>
                <w:szCs w:val="21"/>
              </w:rPr>
              <w:t>42.1%</w:t>
            </w:r>
          </w:p>
        </w:tc>
        <w:tc>
          <w:tcPr>
            <w:tcW w:w="2250" w:type="dxa"/>
            <w:vAlign w:val="center"/>
          </w:tcPr>
          <w:p w14:paraId="2534624D">
            <w:pPr>
              <w:jc w:val="center"/>
            </w:pPr>
            <w:r>
              <w:rPr>
                <w:sz w:val="21"/>
                <w:szCs w:val="21"/>
              </w:rPr>
              <w:t>59</w:t>
            </w:r>
          </w:p>
        </w:tc>
      </w:tr>
      <w:tr w14:paraId="1D6BE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5F968E05">
            <w:pPr>
              <w:jc w:val="left"/>
            </w:pPr>
            <w:r>
              <w:rPr>
                <w:sz w:val="21"/>
                <w:szCs w:val="21"/>
              </w:rPr>
              <w:t>多年同月均值法</w:t>
            </w:r>
          </w:p>
        </w:tc>
        <w:tc>
          <w:tcPr>
            <w:tcW w:w="2250" w:type="dxa"/>
            <w:vAlign w:val="center"/>
          </w:tcPr>
          <w:p w14:paraId="263CFDAD">
            <w:pPr>
              <w:jc w:val="center"/>
            </w:pPr>
            <w:r>
              <w:rPr>
                <w:sz w:val="21"/>
                <w:szCs w:val="21"/>
              </w:rPr>
              <w:t>7,253</w:t>
            </w:r>
          </w:p>
        </w:tc>
        <w:tc>
          <w:tcPr>
            <w:tcW w:w="2250" w:type="dxa"/>
            <w:vAlign w:val="center"/>
          </w:tcPr>
          <w:p w14:paraId="621B7ADF">
            <w:pPr>
              <w:jc w:val="center"/>
            </w:pPr>
            <w:r>
              <w:rPr>
                <w:sz w:val="21"/>
                <w:szCs w:val="21"/>
              </w:rPr>
              <w:t>36.7%</w:t>
            </w:r>
          </w:p>
        </w:tc>
        <w:tc>
          <w:tcPr>
            <w:tcW w:w="2250" w:type="dxa"/>
            <w:vAlign w:val="center"/>
          </w:tcPr>
          <w:p w14:paraId="288EC1F0">
            <w:pPr>
              <w:jc w:val="center"/>
            </w:pPr>
            <w:r>
              <w:rPr>
                <w:sz w:val="21"/>
                <w:szCs w:val="21"/>
              </w:rPr>
              <w:t>59</w:t>
            </w:r>
          </w:p>
        </w:tc>
      </w:tr>
      <w:tr w14:paraId="5BB08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134BCB69">
            <w:pPr>
              <w:jc w:val="left"/>
            </w:pPr>
            <w:r>
              <w:rPr>
                <w:sz w:val="21"/>
                <w:szCs w:val="21"/>
              </w:rPr>
              <w:t>近3月均值法</w:t>
            </w:r>
          </w:p>
        </w:tc>
        <w:tc>
          <w:tcPr>
            <w:tcW w:w="2250" w:type="dxa"/>
            <w:vAlign w:val="center"/>
          </w:tcPr>
          <w:p w14:paraId="0D7EFFA7">
            <w:pPr>
              <w:jc w:val="center"/>
            </w:pPr>
            <w:r>
              <w:rPr>
                <w:sz w:val="21"/>
                <w:szCs w:val="21"/>
              </w:rPr>
              <w:t>9,037</w:t>
            </w:r>
          </w:p>
        </w:tc>
        <w:tc>
          <w:tcPr>
            <w:tcW w:w="2250" w:type="dxa"/>
            <w:vAlign w:val="center"/>
          </w:tcPr>
          <w:p w14:paraId="2787777B">
            <w:pPr>
              <w:jc w:val="center"/>
            </w:pPr>
            <w:r>
              <w:rPr>
                <w:sz w:val="21"/>
                <w:szCs w:val="21"/>
              </w:rPr>
              <w:t>50.0%</w:t>
            </w:r>
          </w:p>
        </w:tc>
        <w:tc>
          <w:tcPr>
            <w:tcW w:w="2250" w:type="dxa"/>
            <w:vAlign w:val="center"/>
          </w:tcPr>
          <w:p w14:paraId="10719204">
            <w:pPr>
              <w:jc w:val="center"/>
            </w:pPr>
            <w:r>
              <w:rPr>
                <w:sz w:val="21"/>
                <w:szCs w:val="21"/>
              </w:rPr>
              <w:t>59</w:t>
            </w:r>
          </w:p>
        </w:tc>
      </w:tr>
    </w:tbl>
    <w:p w14:paraId="7D8BE083">
      <w:pPr>
        <w:spacing w:before="40" w:after="80"/>
        <w:jc w:val="center"/>
      </w:pPr>
      <w:r>
        <w:rPr>
          <w:b/>
          <w:bCs/>
          <w:sz w:val="21"/>
          <w:szCs w:val="21"/>
        </w:rPr>
        <w:t>表2　预测方法滚动回测结果（2018—2022）</w:t>
      </w:r>
    </w:p>
    <w:p w14:paraId="74D11CC3">
      <w:pPr>
        <w:jc w:val="center"/>
      </w:pPr>
      <w:r>
        <w:drawing>
          <wp:inline distT="0" distB="0" distL="0" distR="0">
            <wp:extent cx="4937760" cy="2345055"/>
            <wp:effectExtent l="0" t="0" r="0" b="0"/>
            <wp:docPr id="3" nam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019A">
      <w:pPr>
        <w:spacing w:before="40" w:after="80"/>
        <w:jc w:val="center"/>
      </w:pPr>
      <w:r>
        <w:rPr>
          <w:b/>
          <w:bCs/>
          <w:sz w:val="21"/>
          <w:szCs w:val="21"/>
        </w:rPr>
        <w:t>图3　预测方法回测MAPE对比</w:t>
      </w:r>
    </w:p>
    <w:p w14:paraId="759DDE93">
      <w:pPr>
        <w:pStyle w:val="3"/>
        <w:spacing w:before="120" w:after="60"/>
      </w:pPr>
      <w:r>
        <w:t>3.3 促销需求增幅标定结果</w:t>
      </w:r>
    </w:p>
    <w:p w14:paraId="5BB976D4">
      <w:pPr>
        <w:ind w:firstLine="480" w:firstLineChars="200"/>
      </w:pPr>
      <w:r>
        <w:t>以偏离同月基线15%以上为标准，共识别29个促销样本月份，偏离幅度的中位数为25.6%，区间为+15.2%～+68.4%。这表明“促销需求增幅约25%”的假设具有历史数据支撑，但样本区间较宽（如2022年8月达+54.9%），促销效果存在较大不确定性，决策时应结合敏感性分析。</w:t>
      </w:r>
    </w:p>
    <w:p w14:paraId="1360475D">
      <w:pPr>
        <w:pStyle w:val="3"/>
        <w:spacing w:before="120" w:after="60"/>
      </w:pPr>
      <w:r>
        <w:t>3.4 补货促销优化方案</w:t>
      </w:r>
    </w:p>
    <w:p w14:paraId="0856F092">
      <w:pPr>
        <w:ind w:firstLine="480" w:firstLineChars="200"/>
      </w:pPr>
      <w:r>
        <w:t>总补货上限为144,633辆（1.2×预测总需求120,528辆），不促销基线利润为17.78亿元。最优方案为11月、12月开展促销，10月不促销，逐月补货与销量如表3所示：10月补货35,866辆，11月补货55,599辆，12月补货50,697辆，合计142,162辆，预计总利润18.62亿元，较基线提升4.72%。在无单月到货上限时，模型选择当月到当月卖（月末库存为0），这与持有成本为正时“按需即期到货”的经济直觉一致；跨月库存机制将在第4.2节检验。</w:t>
      </w:r>
    </w:p>
    <w:tbl>
      <w:tblPr>
        <w:tblStyle w:val="6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1"/>
        <w:gridCol w:w="1115"/>
        <w:gridCol w:w="1105"/>
        <w:gridCol w:w="1105"/>
        <w:gridCol w:w="1115"/>
        <w:gridCol w:w="1115"/>
        <w:gridCol w:w="1105"/>
        <w:gridCol w:w="1229"/>
      </w:tblGrid>
      <w:tr w14:paraId="2C441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75944BBB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月份</w:t>
            </w:r>
          </w:p>
        </w:tc>
        <w:tc>
          <w:tcPr>
            <w:tcW w:w="1125" w:type="dxa"/>
            <w:vAlign w:val="center"/>
          </w:tcPr>
          <w:p w14:paraId="4DEBD76B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预测需求（辆）</w:t>
            </w:r>
          </w:p>
        </w:tc>
        <w:tc>
          <w:tcPr>
            <w:tcW w:w="1125" w:type="dxa"/>
            <w:vAlign w:val="center"/>
          </w:tcPr>
          <w:p w14:paraId="1E59844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促销</w:t>
            </w:r>
          </w:p>
        </w:tc>
        <w:tc>
          <w:tcPr>
            <w:tcW w:w="1125" w:type="dxa"/>
            <w:vAlign w:val="center"/>
          </w:tcPr>
          <w:p w14:paraId="371AF18A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期初库存</w:t>
            </w:r>
          </w:p>
        </w:tc>
        <w:tc>
          <w:tcPr>
            <w:tcW w:w="1125" w:type="dxa"/>
            <w:vAlign w:val="center"/>
          </w:tcPr>
          <w:p w14:paraId="383A401D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补货量</w:t>
            </w:r>
          </w:p>
        </w:tc>
        <w:tc>
          <w:tcPr>
            <w:tcW w:w="1125" w:type="dxa"/>
            <w:vAlign w:val="center"/>
          </w:tcPr>
          <w:p w14:paraId="505C3D2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销量</w:t>
            </w:r>
          </w:p>
        </w:tc>
        <w:tc>
          <w:tcPr>
            <w:tcW w:w="1125" w:type="dxa"/>
            <w:vAlign w:val="center"/>
          </w:tcPr>
          <w:p w14:paraId="14AC54A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期末库存</w:t>
            </w:r>
          </w:p>
        </w:tc>
        <w:tc>
          <w:tcPr>
            <w:tcW w:w="1125" w:type="dxa"/>
            <w:vAlign w:val="center"/>
          </w:tcPr>
          <w:p w14:paraId="7C22794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本月利润（元）</w:t>
            </w:r>
          </w:p>
        </w:tc>
      </w:tr>
      <w:tr w14:paraId="65F9E3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4EF21247">
            <w:pPr>
              <w:jc w:val="left"/>
            </w:pPr>
            <w:r>
              <w:rPr>
                <w:sz w:val="21"/>
                <w:szCs w:val="21"/>
              </w:rPr>
              <w:t>2023-10</w:t>
            </w:r>
          </w:p>
        </w:tc>
        <w:tc>
          <w:tcPr>
            <w:tcW w:w="1125" w:type="dxa"/>
            <w:vAlign w:val="center"/>
          </w:tcPr>
          <w:p w14:paraId="5D8CF9B8">
            <w:pPr>
              <w:jc w:val="center"/>
            </w:pPr>
            <w:r>
              <w:rPr>
                <w:sz w:val="21"/>
                <w:szCs w:val="21"/>
              </w:rPr>
              <w:t>35,866</w:t>
            </w:r>
          </w:p>
        </w:tc>
        <w:tc>
          <w:tcPr>
            <w:tcW w:w="1125" w:type="dxa"/>
            <w:vAlign w:val="center"/>
          </w:tcPr>
          <w:p w14:paraId="021A3D70">
            <w:pPr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center"/>
          </w:tcPr>
          <w:p w14:paraId="0730E53E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25" w:type="dxa"/>
            <w:vAlign w:val="center"/>
          </w:tcPr>
          <w:p w14:paraId="45DBD696">
            <w:pPr>
              <w:jc w:val="center"/>
            </w:pPr>
            <w:r>
              <w:rPr>
                <w:sz w:val="21"/>
                <w:szCs w:val="21"/>
              </w:rPr>
              <w:t>35,866</w:t>
            </w:r>
          </w:p>
        </w:tc>
        <w:tc>
          <w:tcPr>
            <w:tcW w:w="1125" w:type="dxa"/>
            <w:vAlign w:val="center"/>
          </w:tcPr>
          <w:p w14:paraId="47B01A1E">
            <w:pPr>
              <w:jc w:val="center"/>
            </w:pPr>
            <w:r>
              <w:rPr>
                <w:sz w:val="21"/>
                <w:szCs w:val="21"/>
              </w:rPr>
              <w:t>35,866</w:t>
            </w:r>
          </w:p>
        </w:tc>
        <w:tc>
          <w:tcPr>
            <w:tcW w:w="1125" w:type="dxa"/>
            <w:vAlign w:val="center"/>
          </w:tcPr>
          <w:p w14:paraId="2128DB91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25" w:type="dxa"/>
            <w:vAlign w:val="center"/>
          </w:tcPr>
          <w:p w14:paraId="0027A706">
            <w:pPr>
              <w:jc w:val="center"/>
            </w:pPr>
            <w:r>
              <w:rPr>
                <w:sz w:val="21"/>
                <w:szCs w:val="21"/>
              </w:rPr>
              <w:t>529,166,964</w:t>
            </w:r>
          </w:p>
        </w:tc>
      </w:tr>
      <w:tr w14:paraId="16C68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3A1E3B76">
            <w:pPr>
              <w:jc w:val="left"/>
            </w:pPr>
            <w:r>
              <w:rPr>
                <w:sz w:val="21"/>
                <w:szCs w:val="21"/>
              </w:rPr>
              <w:t>2023-11</w:t>
            </w:r>
          </w:p>
        </w:tc>
        <w:tc>
          <w:tcPr>
            <w:tcW w:w="1125" w:type="dxa"/>
            <w:vAlign w:val="center"/>
          </w:tcPr>
          <w:p w14:paraId="2024F822">
            <w:pPr>
              <w:jc w:val="center"/>
            </w:pPr>
            <w:r>
              <w:rPr>
                <w:sz w:val="21"/>
                <w:szCs w:val="21"/>
              </w:rPr>
              <w:t>44,283</w:t>
            </w:r>
          </w:p>
        </w:tc>
        <w:tc>
          <w:tcPr>
            <w:tcW w:w="1125" w:type="dxa"/>
            <w:vAlign w:val="center"/>
          </w:tcPr>
          <w:p w14:paraId="1E4756B7">
            <w:pPr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center"/>
          </w:tcPr>
          <w:p w14:paraId="617ADE51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25" w:type="dxa"/>
            <w:vAlign w:val="center"/>
          </w:tcPr>
          <w:p w14:paraId="7112B761">
            <w:pPr>
              <w:jc w:val="center"/>
            </w:pPr>
            <w:r>
              <w:rPr>
                <w:sz w:val="21"/>
                <w:szCs w:val="21"/>
              </w:rPr>
              <w:t>55,599</w:t>
            </w:r>
          </w:p>
        </w:tc>
        <w:tc>
          <w:tcPr>
            <w:tcW w:w="1125" w:type="dxa"/>
            <w:vAlign w:val="center"/>
          </w:tcPr>
          <w:p w14:paraId="2CA3C883">
            <w:pPr>
              <w:jc w:val="center"/>
            </w:pPr>
            <w:r>
              <w:rPr>
                <w:sz w:val="21"/>
                <w:szCs w:val="21"/>
              </w:rPr>
              <w:t>55,599</w:t>
            </w:r>
          </w:p>
        </w:tc>
        <w:tc>
          <w:tcPr>
            <w:tcW w:w="1125" w:type="dxa"/>
            <w:vAlign w:val="center"/>
          </w:tcPr>
          <w:p w14:paraId="6C977EEA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25" w:type="dxa"/>
            <w:vAlign w:val="center"/>
          </w:tcPr>
          <w:p w14:paraId="623807C3">
            <w:pPr>
              <w:jc w:val="center"/>
            </w:pPr>
            <w:r>
              <w:rPr>
                <w:sz w:val="21"/>
                <w:szCs w:val="21"/>
              </w:rPr>
              <w:t>697,267,059</w:t>
            </w:r>
          </w:p>
        </w:tc>
      </w:tr>
      <w:tr w14:paraId="72DBB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4EF6BA64">
            <w:pPr>
              <w:jc w:val="left"/>
            </w:pPr>
            <w:r>
              <w:rPr>
                <w:sz w:val="21"/>
                <w:szCs w:val="21"/>
              </w:rPr>
              <w:t>2023-12</w:t>
            </w:r>
          </w:p>
        </w:tc>
        <w:tc>
          <w:tcPr>
            <w:tcW w:w="1125" w:type="dxa"/>
            <w:vAlign w:val="center"/>
          </w:tcPr>
          <w:p w14:paraId="08AFA2CF">
            <w:pPr>
              <w:jc w:val="center"/>
            </w:pPr>
            <w:r>
              <w:rPr>
                <w:sz w:val="21"/>
                <w:szCs w:val="21"/>
              </w:rPr>
              <w:t>40,379</w:t>
            </w:r>
          </w:p>
        </w:tc>
        <w:tc>
          <w:tcPr>
            <w:tcW w:w="1125" w:type="dxa"/>
            <w:vAlign w:val="center"/>
          </w:tcPr>
          <w:p w14:paraId="7113C037">
            <w:pPr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center"/>
          </w:tcPr>
          <w:p w14:paraId="17FAB3FD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25" w:type="dxa"/>
            <w:vAlign w:val="center"/>
          </w:tcPr>
          <w:p w14:paraId="10AC13F8">
            <w:pPr>
              <w:jc w:val="center"/>
            </w:pPr>
            <w:r>
              <w:rPr>
                <w:sz w:val="21"/>
                <w:szCs w:val="21"/>
              </w:rPr>
              <w:t>50,697</w:t>
            </w:r>
          </w:p>
        </w:tc>
        <w:tc>
          <w:tcPr>
            <w:tcW w:w="1125" w:type="dxa"/>
            <w:vAlign w:val="center"/>
          </w:tcPr>
          <w:p w14:paraId="0E3A7676">
            <w:pPr>
              <w:jc w:val="center"/>
            </w:pPr>
            <w:r>
              <w:rPr>
                <w:sz w:val="21"/>
                <w:szCs w:val="21"/>
              </w:rPr>
              <w:t>50,697</w:t>
            </w:r>
          </w:p>
        </w:tc>
        <w:tc>
          <w:tcPr>
            <w:tcW w:w="1125" w:type="dxa"/>
            <w:vAlign w:val="center"/>
          </w:tcPr>
          <w:p w14:paraId="5F486D7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25" w:type="dxa"/>
            <w:vAlign w:val="center"/>
          </w:tcPr>
          <w:p w14:paraId="4DEA25F5">
            <w:pPr>
              <w:jc w:val="center"/>
            </w:pPr>
            <w:r>
              <w:rPr>
                <w:sz w:val="21"/>
                <w:szCs w:val="21"/>
              </w:rPr>
              <w:t>635,791,077</w:t>
            </w:r>
          </w:p>
        </w:tc>
      </w:tr>
      <w:tr w14:paraId="05615B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69960701">
            <w:pPr>
              <w:jc w:val="left"/>
            </w:pPr>
            <w:r>
              <w:rPr>
                <w:sz w:val="21"/>
                <w:szCs w:val="21"/>
              </w:rPr>
              <w:t>合计</w:t>
            </w:r>
          </w:p>
        </w:tc>
        <w:tc>
          <w:tcPr>
            <w:tcW w:w="1125" w:type="dxa"/>
            <w:vAlign w:val="center"/>
          </w:tcPr>
          <w:p w14:paraId="085E3310">
            <w:pPr>
              <w:jc w:val="center"/>
            </w:pPr>
            <w:r>
              <w:rPr>
                <w:sz w:val="21"/>
                <w:szCs w:val="21"/>
              </w:rPr>
              <w:t>120,528</w:t>
            </w:r>
          </w:p>
        </w:tc>
        <w:tc>
          <w:tcPr>
            <w:tcW w:w="1125" w:type="dxa"/>
            <w:vAlign w:val="center"/>
          </w:tcPr>
          <w:p w14:paraId="55EC3C11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25" w:type="dxa"/>
            <w:vAlign w:val="center"/>
          </w:tcPr>
          <w:p w14:paraId="38B8C51E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25" w:type="dxa"/>
            <w:vAlign w:val="center"/>
          </w:tcPr>
          <w:p w14:paraId="3AC04EB2">
            <w:pPr>
              <w:jc w:val="center"/>
            </w:pPr>
            <w:r>
              <w:rPr>
                <w:sz w:val="21"/>
                <w:szCs w:val="21"/>
              </w:rPr>
              <w:t>142,162</w:t>
            </w:r>
          </w:p>
        </w:tc>
        <w:tc>
          <w:tcPr>
            <w:tcW w:w="1125" w:type="dxa"/>
            <w:vAlign w:val="center"/>
          </w:tcPr>
          <w:p w14:paraId="1221F269">
            <w:pPr>
              <w:jc w:val="center"/>
            </w:pPr>
            <w:r>
              <w:rPr>
                <w:sz w:val="21"/>
                <w:szCs w:val="21"/>
              </w:rPr>
              <w:t>142,162</w:t>
            </w:r>
          </w:p>
        </w:tc>
        <w:tc>
          <w:tcPr>
            <w:tcW w:w="1125" w:type="dxa"/>
            <w:vAlign w:val="center"/>
          </w:tcPr>
          <w:p w14:paraId="77916633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25" w:type="dxa"/>
            <w:vAlign w:val="center"/>
          </w:tcPr>
          <w:p w14:paraId="272929BC">
            <w:pPr>
              <w:jc w:val="center"/>
            </w:pPr>
            <w:r>
              <w:rPr>
                <w:sz w:val="21"/>
                <w:szCs w:val="21"/>
              </w:rPr>
              <w:t>1,862,225,100</w:t>
            </w:r>
          </w:p>
        </w:tc>
      </w:tr>
    </w:tbl>
    <w:p w14:paraId="3A0B527F">
      <w:pPr>
        <w:spacing w:before="40" w:after="80"/>
        <w:jc w:val="center"/>
      </w:pPr>
      <w:r>
        <w:rPr>
          <w:b/>
          <w:bCs/>
          <w:sz w:val="21"/>
          <w:szCs w:val="21"/>
        </w:rPr>
        <w:t>表3　2023年10—12月朗逸补货促销优化方案</w:t>
      </w:r>
    </w:p>
    <w:p w14:paraId="2977E309">
      <w:pPr>
        <w:pStyle w:val="3"/>
        <w:spacing w:before="120" w:after="60"/>
      </w:pPr>
      <w:r>
        <w:t>3.5 促销力度敏感性分析</w:t>
      </w:r>
    </w:p>
    <w:p w14:paraId="6A8EA40E">
      <w:pPr>
        <w:ind w:firstLine="480" w:firstLineChars="200"/>
      </w:pPr>
      <w:r>
        <w:t>表4与图4给出促销需求增幅从+10%到+40%的敏感性结果。增幅低于盈亏平衡点（17.6%）时促销不划算；+18%～+20%时三个月份全部促销，利润提升0.30%～2.00%；+25%时最优为11月、12月促销（+4.39%）；+30%时转为10月、11月促销（+6.98%）；+40%时最优为10月、12月促销（+7.51%）。促销月份随增幅变化说明模型在“把有限的补货容量配置到高回报月份”上进行了精细权衡。</w:t>
      </w:r>
    </w:p>
    <w:tbl>
      <w:tblPr>
        <w:tblStyle w:val="6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1EFDD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730A8E7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需求增幅</w:t>
            </w:r>
          </w:p>
        </w:tc>
        <w:tc>
          <w:tcPr>
            <w:tcW w:w="2250" w:type="dxa"/>
            <w:vAlign w:val="center"/>
          </w:tcPr>
          <w:p w14:paraId="6A9882B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最优促销月份</w:t>
            </w:r>
          </w:p>
        </w:tc>
        <w:tc>
          <w:tcPr>
            <w:tcW w:w="2250" w:type="dxa"/>
            <w:vAlign w:val="center"/>
          </w:tcPr>
          <w:p w14:paraId="645CACF9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优化利润（元）</w:t>
            </w:r>
          </w:p>
        </w:tc>
        <w:tc>
          <w:tcPr>
            <w:tcW w:w="2250" w:type="dxa"/>
            <w:vAlign w:val="center"/>
          </w:tcPr>
          <w:p w14:paraId="6F0821B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相对基线</w:t>
            </w:r>
          </w:p>
        </w:tc>
      </w:tr>
      <w:tr w14:paraId="78A05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20442740">
            <w:pPr>
              <w:jc w:val="left"/>
            </w:pPr>
            <w:r>
              <w:rPr>
                <w:sz w:val="21"/>
                <w:szCs w:val="21"/>
              </w:rPr>
              <w:t>+10%</w:t>
            </w:r>
          </w:p>
        </w:tc>
        <w:tc>
          <w:tcPr>
            <w:tcW w:w="2250" w:type="dxa"/>
            <w:vAlign w:val="center"/>
          </w:tcPr>
          <w:p w14:paraId="13778AEE">
            <w:pPr>
              <w:jc w:val="center"/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2250" w:type="dxa"/>
            <w:vAlign w:val="center"/>
          </w:tcPr>
          <w:p w14:paraId="24C8C045">
            <w:pPr>
              <w:jc w:val="center"/>
            </w:pPr>
            <w:r>
              <w:rPr>
                <w:sz w:val="21"/>
                <w:szCs w:val="21"/>
              </w:rPr>
              <w:t>1,778,270,112</w:t>
            </w:r>
          </w:p>
        </w:tc>
        <w:tc>
          <w:tcPr>
            <w:tcW w:w="2250" w:type="dxa"/>
            <w:vAlign w:val="center"/>
          </w:tcPr>
          <w:p w14:paraId="4E92B55F">
            <w:pPr>
              <w:jc w:val="center"/>
            </w:pPr>
            <w:r>
              <w:rPr>
                <w:sz w:val="21"/>
                <w:szCs w:val="21"/>
              </w:rPr>
              <w:t>+0.00%</w:t>
            </w:r>
          </w:p>
        </w:tc>
      </w:tr>
      <w:tr w14:paraId="30DCC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64802F3B">
            <w:pPr>
              <w:jc w:val="left"/>
            </w:pPr>
            <w:r>
              <w:rPr>
                <w:sz w:val="21"/>
                <w:szCs w:val="21"/>
              </w:rPr>
              <w:t>+15%</w:t>
            </w:r>
          </w:p>
        </w:tc>
        <w:tc>
          <w:tcPr>
            <w:tcW w:w="2250" w:type="dxa"/>
            <w:vAlign w:val="center"/>
          </w:tcPr>
          <w:p w14:paraId="7123ADF6">
            <w:pPr>
              <w:jc w:val="center"/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2250" w:type="dxa"/>
            <w:vAlign w:val="center"/>
          </w:tcPr>
          <w:p w14:paraId="7F06F642">
            <w:pPr>
              <w:jc w:val="center"/>
            </w:pPr>
            <w:r>
              <w:rPr>
                <w:sz w:val="21"/>
                <w:szCs w:val="21"/>
              </w:rPr>
              <w:t>1,778,270,112</w:t>
            </w:r>
          </w:p>
        </w:tc>
        <w:tc>
          <w:tcPr>
            <w:tcW w:w="2250" w:type="dxa"/>
            <w:vAlign w:val="center"/>
          </w:tcPr>
          <w:p w14:paraId="08A01174">
            <w:pPr>
              <w:jc w:val="center"/>
            </w:pPr>
            <w:r>
              <w:rPr>
                <w:sz w:val="21"/>
                <w:szCs w:val="21"/>
              </w:rPr>
              <w:t>+0.00%</w:t>
            </w:r>
          </w:p>
        </w:tc>
      </w:tr>
      <w:tr w14:paraId="19B98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4509C619">
            <w:pPr>
              <w:jc w:val="left"/>
            </w:pPr>
            <w:r>
              <w:rPr>
                <w:sz w:val="21"/>
                <w:szCs w:val="21"/>
              </w:rPr>
              <w:t>+18%</w:t>
            </w:r>
          </w:p>
        </w:tc>
        <w:tc>
          <w:tcPr>
            <w:tcW w:w="2250" w:type="dxa"/>
            <w:vAlign w:val="center"/>
          </w:tcPr>
          <w:p w14:paraId="1CD196E7">
            <w:pPr>
              <w:jc w:val="center"/>
            </w:pPr>
            <w:r>
              <w:rPr>
                <w:sz w:val="21"/>
                <w:szCs w:val="21"/>
              </w:rPr>
              <w:t>10、11、12月</w:t>
            </w:r>
          </w:p>
        </w:tc>
        <w:tc>
          <w:tcPr>
            <w:tcW w:w="2250" w:type="dxa"/>
            <w:vAlign w:val="center"/>
          </w:tcPr>
          <w:p w14:paraId="0AF1DCD4">
            <w:pPr>
              <w:jc w:val="center"/>
            </w:pPr>
            <w:r>
              <w:rPr>
                <w:sz w:val="21"/>
                <w:szCs w:val="21"/>
              </w:rPr>
              <w:t>1,783,606,102</w:t>
            </w:r>
          </w:p>
        </w:tc>
        <w:tc>
          <w:tcPr>
            <w:tcW w:w="2250" w:type="dxa"/>
            <w:vAlign w:val="center"/>
          </w:tcPr>
          <w:p w14:paraId="0FF45ED5">
            <w:pPr>
              <w:jc w:val="center"/>
            </w:pPr>
            <w:r>
              <w:rPr>
                <w:sz w:val="21"/>
                <w:szCs w:val="21"/>
              </w:rPr>
              <w:t>+0.30%</w:t>
            </w:r>
          </w:p>
        </w:tc>
      </w:tr>
      <w:tr w14:paraId="3B53F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330D50FA">
            <w:pPr>
              <w:jc w:val="left"/>
            </w:pPr>
            <w:r>
              <w:rPr>
                <w:sz w:val="21"/>
                <w:szCs w:val="21"/>
              </w:rPr>
              <w:t>+20%</w:t>
            </w:r>
          </w:p>
        </w:tc>
        <w:tc>
          <w:tcPr>
            <w:tcW w:w="2250" w:type="dxa"/>
            <w:vAlign w:val="center"/>
          </w:tcPr>
          <w:p w14:paraId="1C6856A6">
            <w:pPr>
              <w:jc w:val="center"/>
            </w:pPr>
            <w:r>
              <w:rPr>
                <w:sz w:val="21"/>
                <w:szCs w:val="21"/>
              </w:rPr>
              <w:t>10、11、12月</w:t>
            </w:r>
          </w:p>
        </w:tc>
        <w:tc>
          <w:tcPr>
            <w:tcW w:w="2250" w:type="dxa"/>
            <w:vAlign w:val="center"/>
          </w:tcPr>
          <w:p w14:paraId="3227AF74">
            <w:pPr>
              <w:jc w:val="center"/>
            </w:pPr>
            <w:r>
              <w:rPr>
                <w:sz w:val="21"/>
                <w:szCs w:val="21"/>
              </w:rPr>
              <w:t>1,813,829,912</w:t>
            </w:r>
          </w:p>
        </w:tc>
        <w:tc>
          <w:tcPr>
            <w:tcW w:w="2250" w:type="dxa"/>
            <w:vAlign w:val="center"/>
          </w:tcPr>
          <w:p w14:paraId="08A4CB59">
            <w:pPr>
              <w:jc w:val="center"/>
            </w:pPr>
            <w:r>
              <w:rPr>
                <w:sz w:val="21"/>
                <w:szCs w:val="21"/>
              </w:rPr>
              <w:t>+2.00%</w:t>
            </w:r>
          </w:p>
        </w:tc>
      </w:tr>
      <w:tr w14:paraId="3FCFF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3F846040">
            <w:pPr>
              <w:jc w:val="left"/>
            </w:pPr>
            <w:r>
              <w:rPr>
                <w:sz w:val="21"/>
                <w:szCs w:val="21"/>
              </w:rPr>
              <w:t>+25%</w:t>
            </w:r>
          </w:p>
        </w:tc>
        <w:tc>
          <w:tcPr>
            <w:tcW w:w="2250" w:type="dxa"/>
            <w:vAlign w:val="center"/>
          </w:tcPr>
          <w:p w14:paraId="23B1F629">
            <w:pPr>
              <w:jc w:val="center"/>
            </w:pPr>
            <w:r>
              <w:rPr>
                <w:sz w:val="21"/>
                <w:szCs w:val="21"/>
              </w:rPr>
              <w:t>11、12月</w:t>
            </w:r>
          </w:p>
        </w:tc>
        <w:tc>
          <w:tcPr>
            <w:tcW w:w="2250" w:type="dxa"/>
            <w:vAlign w:val="center"/>
          </w:tcPr>
          <w:p w14:paraId="17C63032">
            <w:pPr>
              <w:jc w:val="center"/>
            </w:pPr>
            <w:r>
              <w:rPr>
                <w:sz w:val="21"/>
                <w:szCs w:val="21"/>
              </w:rPr>
              <w:t>1,856,330,830</w:t>
            </w:r>
          </w:p>
        </w:tc>
        <w:tc>
          <w:tcPr>
            <w:tcW w:w="2250" w:type="dxa"/>
            <w:vAlign w:val="center"/>
          </w:tcPr>
          <w:p w14:paraId="3D9DFC00">
            <w:pPr>
              <w:jc w:val="center"/>
            </w:pPr>
            <w:r>
              <w:rPr>
                <w:sz w:val="21"/>
                <w:szCs w:val="21"/>
              </w:rPr>
              <w:t>+4.39%</w:t>
            </w:r>
          </w:p>
        </w:tc>
      </w:tr>
      <w:tr w14:paraId="27399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72676905">
            <w:pPr>
              <w:jc w:val="left"/>
            </w:pPr>
            <w:r>
              <w:rPr>
                <w:sz w:val="21"/>
                <w:szCs w:val="21"/>
              </w:rPr>
              <w:t>+30%</w:t>
            </w:r>
          </w:p>
        </w:tc>
        <w:tc>
          <w:tcPr>
            <w:tcW w:w="2250" w:type="dxa"/>
            <w:vAlign w:val="center"/>
          </w:tcPr>
          <w:p w14:paraId="30A21403">
            <w:pPr>
              <w:jc w:val="center"/>
            </w:pPr>
            <w:r>
              <w:rPr>
                <w:sz w:val="21"/>
                <w:szCs w:val="21"/>
              </w:rPr>
              <w:t>10、11月</w:t>
            </w:r>
          </w:p>
        </w:tc>
        <w:tc>
          <w:tcPr>
            <w:tcW w:w="2250" w:type="dxa"/>
            <w:vAlign w:val="center"/>
          </w:tcPr>
          <w:p w14:paraId="1D05E550">
            <w:pPr>
              <w:jc w:val="center"/>
            </w:pPr>
            <w:r>
              <w:rPr>
                <w:sz w:val="21"/>
                <w:szCs w:val="21"/>
              </w:rPr>
              <w:t>1,902,436,179</w:t>
            </w:r>
          </w:p>
        </w:tc>
        <w:tc>
          <w:tcPr>
            <w:tcW w:w="2250" w:type="dxa"/>
            <w:vAlign w:val="center"/>
          </w:tcPr>
          <w:p w14:paraId="797436B8">
            <w:pPr>
              <w:jc w:val="center"/>
            </w:pPr>
            <w:r>
              <w:rPr>
                <w:sz w:val="21"/>
                <w:szCs w:val="21"/>
              </w:rPr>
              <w:t>+6.98%</w:t>
            </w:r>
          </w:p>
        </w:tc>
      </w:tr>
      <w:tr w14:paraId="5E1C4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3BA20E3D">
            <w:pPr>
              <w:jc w:val="left"/>
            </w:pPr>
            <w:r>
              <w:rPr>
                <w:sz w:val="21"/>
                <w:szCs w:val="21"/>
              </w:rPr>
              <w:t>+40%</w:t>
            </w:r>
          </w:p>
        </w:tc>
        <w:tc>
          <w:tcPr>
            <w:tcW w:w="2250" w:type="dxa"/>
            <w:vAlign w:val="center"/>
          </w:tcPr>
          <w:p w14:paraId="43B46864">
            <w:pPr>
              <w:jc w:val="center"/>
            </w:pPr>
            <w:r>
              <w:rPr>
                <w:sz w:val="21"/>
                <w:szCs w:val="21"/>
              </w:rPr>
              <w:t>10、12月</w:t>
            </w:r>
          </w:p>
        </w:tc>
        <w:tc>
          <w:tcPr>
            <w:tcW w:w="2250" w:type="dxa"/>
            <w:vAlign w:val="center"/>
          </w:tcPr>
          <w:p w14:paraId="371B3179">
            <w:pPr>
              <w:jc w:val="center"/>
            </w:pPr>
            <w:r>
              <w:rPr>
                <w:sz w:val="21"/>
                <w:szCs w:val="21"/>
              </w:rPr>
              <w:t>1,911,840,732</w:t>
            </w:r>
          </w:p>
        </w:tc>
        <w:tc>
          <w:tcPr>
            <w:tcW w:w="2250" w:type="dxa"/>
            <w:vAlign w:val="center"/>
          </w:tcPr>
          <w:p w14:paraId="3C4E6D12">
            <w:pPr>
              <w:jc w:val="center"/>
            </w:pPr>
            <w:r>
              <w:rPr>
                <w:sz w:val="21"/>
                <w:szCs w:val="21"/>
              </w:rPr>
              <w:t>+7.51%</w:t>
            </w:r>
          </w:p>
        </w:tc>
      </w:tr>
    </w:tbl>
    <w:p w14:paraId="5E662841">
      <w:pPr>
        <w:spacing w:before="40" w:after="80"/>
        <w:jc w:val="center"/>
      </w:pPr>
      <w:r>
        <w:rPr>
          <w:b/>
          <w:bCs/>
          <w:sz w:val="21"/>
          <w:szCs w:val="21"/>
        </w:rPr>
        <w:t>表4　促销需求增幅敏感性分析</w:t>
      </w:r>
    </w:p>
    <w:p w14:paraId="724BA0B5">
      <w:pPr>
        <w:jc w:val="center"/>
      </w:pPr>
      <w:r>
        <w:drawing>
          <wp:inline distT="0" distB="0" distL="0" distR="0">
            <wp:extent cx="4937760" cy="2345055"/>
            <wp:effectExtent l="0" t="0" r="0" b="0"/>
            <wp:docPr id="4" nam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4408">
      <w:pPr>
        <w:spacing w:before="40" w:after="80"/>
        <w:jc w:val="center"/>
      </w:pPr>
      <w:r>
        <w:rPr>
          <w:b/>
          <w:bCs/>
          <w:sz w:val="21"/>
          <w:szCs w:val="21"/>
        </w:rPr>
        <w:t>图4　促销需求增幅敏感性（相对不促销基线的利润提升）</w:t>
      </w:r>
    </w:p>
    <w:p w14:paraId="0418FB0C">
      <w:pPr>
        <w:pStyle w:val="2"/>
        <w:spacing w:before="240" w:after="120"/>
      </w:pPr>
      <w:r>
        <w:t>4 模型检验</w:t>
      </w:r>
    </w:p>
    <w:p w14:paraId="25C959C0">
      <w:pPr>
        <w:pStyle w:val="3"/>
        <w:spacing w:before="120" w:after="60"/>
      </w:pPr>
      <w:r>
        <w:t>4.1 预测口径稳健性</w:t>
      </w:r>
    </w:p>
    <w:p w14:paraId="5CE0706D">
      <w:pPr>
        <w:ind w:firstLine="480" w:firstLineChars="200"/>
      </w:pPr>
      <w:r>
        <w:t>表5给出四种预测口径在统一标定增幅（25.6%）下的最优方案。三种替代口径下促销均有利可图，利润提升幅度为4.48%～4.72%，但最优促销月份不同（去年同期法为10、12月，多年均值法与近3月均值法为11、12月，近3月实际平移为10、11月）。这说明“促销值得做、利润提升4%～5%”的定性结论稳健，而“促销哪个月”对预测口径敏感，采用回测误差最小的多年同月均值法作为基准口径是合理的。</w:t>
      </w:r>
    </w:p>
    <w:tbl>
      <w:tblPr>
        <w:tblStyle w:val="6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800"/>
        <w:gridCol w:w="1800"/>
        <w:gridCol w:w="1800"/>
      </w:tblGrid>
      <w:tr w14:paraId="6B49F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E7706D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预测口径</w:t>
            </w:r>
          </w:p>
        </w:tc>
        <w:tc>
          <w:tcPr>
            <w:tcW w:w="1800" w:type="dxa"/>
            <w:vAlign w:val="center"/>
          </w:tcPr>
          <w:p w14:paraId="7C38AFC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预测需求（10/11/12月，辆）</w:t>
            </w:r>
          </w:p>
        </w:tc>
        <w:tc>
          <w:tcPr>
            <w:tcW w:w="1800" w:type="dxa"/>
            <w:vAlign w:val="center"/>
          </w:tcPr>
          <w:p w14:paraId="4B64A6A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最优促销月份</w:t>
            </w:r>
          </w:p>
        </w:tc>
        <w:tc>
          <w:tcPr>
            <w:tcW w:w="1800" w:type="dxa"/>
            <w:vAlign w:val="center"/>
          </w:tcPr>
          <w:p w14:paraId="2608FD4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方案利润（元）</w:t>
            </w:r>
          </w:p>
        </w:tc>
        <w:tc>
          <w:tcPr>
            <w:tcW w:w="1800" w:type="dxa"/>
            <w:vAlign w:val="center"/>
          </w:tcPr>
          <w:p w14:paraId="7BB08A6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相对基线</w:t>
            </w:r>
          </w:p>
        </w:tc>
      </w:tr>
      <w:tr w14:paraId="79C17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01E6FE7">
            <w:pPr>
              <w:jc w:val="left"/>
            </w:pPr>
            <w:r>
              <w:rPr>
                <w:sz w:val="21"/>
                <w:szCs w:val="21"/>
              </w:rPr>
              <w:t>去年同期法</w:t>
            </w:r>
          </w:p>
        </w:tc>
        <w:tc>
          <w:tcPr>
            <w:tcW w:w="1800" w:type="dxa"/>
            <w:vAlign w:val="center"/>
          </w:tcPr>
          <w:p w14:paraId="0E45D40A">
            <w:pPr>
              <w:jc w:val="center"/>
            </w:pPr>
            <w:r>
              <w:rPr>
                <w:sz w:val="21"/>
                <w:szCs w:val="21"/>
              </w:rPr>
              <w:t>31,317 / 28,867 / 33,887</w:t>
            </w:r>
          </w:p>
        </w:tc>
        <w:tc>
          <w:tcPr>
            <w:tcW w:w="1800" w:type="dxa"/>
            <w:vAlign w:val="center"/>
          </w:tcPr>
          <w:p w14:paraId="02343474">
            <w:pPr>
              <w:jc w:val="center"/>
            </w:pPr>
            <w:r>
              <w:rPr>
                <w:sz w:val="21"/>
                <w:szCs w:val="21"/>
              </w:rPr>
              <w:t>10、12月</w:t>
            </w:r>
          </w:p>
        </w:tc>
        <w:tc>
          <w:tcPr>
            <w:tcW w:w="1800" w:type="dxa"/>
            <w:vAlign w:val="center"/>
          </w:tcPr>
          <w:p w14:paraId="47CB6DFC">
            <w:pPr>
              <w:jc w:val="center"/>
            </w:pPr>
            <w:r>
              <w:rPr>
                <w:sz w:val="21"/>
                <w:szCs w:val="21"/>
              </w:rPr>
              <w:t>1,452,585,224</w:t>
            </w:r>
          </w:p>
        </w:tc>
        <w:tc>
          <w:tcPr>
            <w:tcW w:w="1800" w:type="dxa"/>
            <w:vAlign w:val="center"/>
          </w:tcPr>
          <w:p w14:paraId="511988AD">
            <w:pPr>
              <w:jc w:val="center"/>
            </w:pPr>
            <w:r>
              <w:rPr>
                <w:sz w:val="21"/>
                <w:szCs w:val="21"/>
              </w:rPr>
              <w:t>+4.66%</w:t>
            </w:r>
          </w:p>
        </w:tc>
      </w:tr>
      <w:tr w14:paraId="491E4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B92A454">
            <w:pPr>
              <w:jc w:val="left"/>
            </w:pPr>
            <w:r>
              <w:rPr>
                <w:sz w:val="21"/>
                <w:szCs w:val="21"/>
              </w:rPr>
              <w:t>多年同月均值法</w:t>
            </w:r>
          </w:p>
        </w:tc>
        <w:tc>
          <w:tcPr>
            <w:tcW w:w="1800" w:type="dxa"/>
            <w:vAlign w:val="center"/>
          </w:tcPr>
          <w:p w14:paraId="586DC719">
            <w:pPr>
              <w:jc w:val="center"/>
            </w:pPr>
            <w:r>
              <w:rPr>
                <w:sz w:val="21"/>
                <w:szCs w:val="21"/>
              </w:rPr>
              <w:t>35,866 / 44,283 / 40,379</w:t>
            </w:r>
          </w:p>
        </w:tc>
        <w:tc>
          <w:tcPr>
            <w:tcW w:w="1800" w:type="dxa"/>
            <w:vAlign w:val="center"/>
          </w:tcPr>
          <w:p w14:paraId="6EAD5881">
            <w:pPr>
              <w:jc w:val="center"/>
            </w:pPr>
            <w:r>
              <w:rPr>
                <w:sz w:val="21"/>
                <w:szCs w:val="21"/>
              </w:rPr>
              <w:t>11、12月</w:t>
            </w:r>
          </w:p>
        </w:tc>
        <w:tc>
          <w:tcPr>
            <w:tcW w:w="1800" w:type="dxa"/>
            <w:vAlign w:val="center"/>
          </w:tcPr>
          <w:p w14:paraId="604FB519">
            <w:pPr>
              <w:jc w:val="center"/>
            </w:pPr>
            <w:r>
              <w:rPr>
                <w:sz w:val="21"/>
                <w:szCs w:val="21"/>
              </w:rPr>
              <w:t>1,862,225,100</w:t>
            </w:r>
          </w:p>
        </w:tc>
        <w:tc>
          <w:tcPr>
            <w:tcW w:w="1800" w:type="dxa"/>
            <w:vAlign w:val="center"/>
          </w:tcPr>
          <w:p w14:paraId="40066F14">
            <w:pPr>
              <w:jc w:val="center"/>
            </w:pPr>
            <w:r>
              <w:rPr>
                <w:sz w:val="21"/>
                <w:szCs w:val="21"/>
              </w:rPr>
              <w:t>+4.72%</w:t>
            </w:r>
          </w:p>
        </w:tc>
      </w:tr>
      <w:tr w14:paraId="36788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EB84C46">
            <w:pPr>
              <w:jc w:val="left"/>
            </w:pPr>
            <w:r>
              <w:rPr>
                <w:sz w:val="21"/>
                <w:szCs w:val="21"/>
              </w:rPr>
              <w:t>近3月均值法</w:t>
            </w:r>
          </w:p>
        </w:tc>
        <w:tc>
          <w:tcPr>
            <w:tcW w:w="1800" w:type="dxa"/>
            <w:vAlign w:val="center"/>
          </w:tcPr>
          <w:p w14:paraId="1C18DEC7">
            <w:pPr>
              <w:jc w:val="center"/>
            </w:pPr>
            <w:r>
              <w:rPr>
                <w:sz w:val="21"/>
                <w:szCs w:val="21"/>
              </w:rPr>
              <w:t>31,631 / 31,631 / 31,631</w:t>
            </w:r>
          </w:p>
        </w:tc>
        <w:tc>
          <w:tcPr>
            <w:tcW w:w="1800" w:type="dxa"/>
            <w:vAlign w:val="center"/>
          </w:tcPr>
          <w:p w14:paraId="0B6FE28F">
            <w:pPr>
              <w:jc w:val="center"/>
            </w:pPr>
            <w:r>
              <w:rPr>
                <w:sz w:val="21"/>
                <w:szCs w:val="21"/>
              </w:rPr>
              <w:t>11、12月</w:t>
            </w:r>
          </w:p>
        </w:tc>
        <w:tc>
          <w:tcPr>
            <w:tcW w:w="1800" w:type="dxa"/>
            <w:vAlign w:val="center"/>
          </w:tcPr>
          <w:p w14:paraId="5443165D">
            <w:pPr>
              <w:jc w:val="center"/>
            </w:pPr>
            <w:r>
              <w:rPr>
                <w:sz w:val="21"/>
                <w:szCs w:val="21"/>
              </w:rPr>
              <w:t>1,462,790,322</w:t>
            </w:r>
          </w:p>
        </w:tc>
        <w:tc>
          <w:tcPr>
            <w:tcW w:w="1800" w:type="dxa"/>
            <w:vAlign w:val="center"/>
          </w:tcPr>
          <w:p w14:paraId="7FEADEEB">
            <w:pPr>
              <w:jc w:val="center"/>
            </w:pPr>
            <w:r>
              <w:rPr>
                <w:sz w:val="21"/>
                <w:szCs w:val="21"/>
              </w:rPr>
              <w:t>+4.48%</w:t>
            </w:r>
          </w:p>
        </w:tc>
      </w:tr>
      <w:tr w14:paraId="1032B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8EDD8E9">
            <w:pPr>
              <w:jc w:val="left"/>
            </w:pPr>
            <w:r>
              <w:rPr>
                <w:sz w:val="21"/>
                <w:szCs w:val="21"/>
              </w:rPr>
              <w:t>近3月实际平移</w:t>
            </w:r>
          </w:p>
        </w:tc>
        <w:tc>
          <w:tcPr>
            <w:tcW w:w="1800" w:type="dxa"/>
            <w:vAlign w:val="center"/>
          </w:tcPr>
          <w:p w14:paraId="551602EA">
            <w:pPr>
              <w:jc w:val="center"/>
            </w:pPr>
            <w:r>
              <w:rPr>
                <w:sz w:val="21"/>
                <w:szCs w:val="21"/>
              </w:rPr>
              <w:t>32,105 / 33,891 / 28,898</w:t>
            </w:r>
          </w:p>
        </w:tc>
        <w:tc>
          <w:tcPr>
            <w:tcW w:w="1800" w:type="dxa"/>
            <w:vAlign w:val="center"/>
          </w:tcPr>
          <w:p w14:paraId="16F068B0">
            <w:pPr>
              <w:jc w:val="center"/>
            </w:pPr>
            <w:r>
              <w:rPr>
                <w:sz w:val="21"/>
                <w:szCs w:val="21"/>
              </w:rPr>
              <w:t>10、11月</w:t>
            </w:r>
          </w:p>
        </w:tc>
        <w:tc>
          <w:tcPr>
            <w:tcW w:w="1800" w:type="dxa"/>
            <w:vAlign w:val="center"/>
          </w:tcPr>
          <w:p w14:paraId="4837B96B">
            <w:pPr>
              <w:jc w:val="center"/>
            </w:pPr>
            <w:r>
              <w:rPr>
                <w:sz w:val="21"/>
                <w:szCs w:val="21"/>
              </w:rPr>
              <w:t>1,465,508,352</w:t>
            </w:r>
          </w:p>
        </w:tc>
        <w:tc>
          <w:tcPr>
            <w:tcW w:w="1800" w:type="dxa"/>
            <w:vAlign w:val="center"/>
          </w:tcPr>
          <w:p w14:paraId="49DA8CA3">
            <w:pPr>
              <w:jc w:val="center"/>
            </w:pPr>
            <w:r>
              <w:rPr>
                <w:sz w:val="21"/>
                <w:szCs w:val="21"/>
              </w:rPr>
              <w:t>+4.67%</w:t>
            </w:r>
          </w:p>
        </w:tc>
      </w:tr>
    </w:tbl>
    <w:p w14:paraId="428EBC05">
      <w:pPr>
        <w:spacing w:before="40" w:after="80"/>
        <w:jc w:val="center"/>
      </w:pPr>
      <w:r>
        <w:rPr>
          <w:b/>
          <w:bCs/>
          <w:sz w:val="21"/>
          <w:szCs w:val="21"/>
        </w:rPr>
        <w:t>表5　不同预测口径下最优方案对比（促销增幅25.6%）</w:t>
      </w:r>
    </w:p>
    <w:p w14:paraId="66A84BB9">
      <w:pPr>
        <w:pStyle w:val="3"/>
        <w:spacing w:before="120" w:after="60"/>
      </w:pPr>
      <w:r>
        <w:t>4.2 库存结转机制检验</w:t>
      </w:r>
    </w:p>
    <w:p w14:paraId="045BFF9B">
      <w:pPr>
        <w:ind w:firstLine="480" w:firstLineChars="200"/>
      </w:pPr>
      <w:r>
        <w:t>为验证跨月库存机制，构造小规模算例：预测需求为5、5、15辆，单月到货上限9辆，持有成本1元/辆/月。模型最优解为逐月到货7、9、9辆，销量5、5、15辆，月末库存2、6、0辆（表6），即通过前两月提前备货满足第三月高峰需求。对照“当月到当月卖”受上限约束只能卖出19辆、利润280,326元，提前备货方案卖出25辆、利润368,842元，说明模型能够在月度供货约束下自动生成“提前备货”策略；而在无月度到货上限时，提前备货只会增加持有成本，最优为当月到当月卖，机制符合经济直觉。</w:t>
      </w:r>
    </w:p>
    <w:tbl>
      <w:tblPr>
        <w:tblStyle w:val="6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0D256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78C0BE2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月份</w:t>
            </w:r>
          </w:p>
        </w:tc>
        <w:tc>
          <w:tcPr>
            <w:tcW w:w="2250" w:type="dxa"/>
            <w:vAlign w:val="center"/>
          </w:tcPr>
          <w:p w14:paraId="496ED048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到货量（辆）</w:t>
            </w:r>
          </w:p>
        </w:tc>
        <w:tc>
          <w:tcPr>
            <w:tcW w:w="2250" w:type="dxa"/>
            <w:vAlign w:val="center"/>
          </w:tcPr>
          <w:p w14:paraId="30BB499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销量（辆）</w:t>
            </w:r>
          </w:p>
        </w:tc>
        <w:tc>
          <w:tcPr>
            <w:tcW w:w="2250" w:type="dxa"/>
            <w:vAlign w:val="center"/>
          </w:tcPr>
          <w:p w14:paraId="2578507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月末库存（辆）</w:t>
            </w:r>
          </w:p>
        </w:tc>
      </w:tr>
      <w:tr w14:paraId="2BBA7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34762600">
            <w:pPr>
              <w:jc w:val="left"/>
            </w:pPr>
            <w:r>
              <w:rPr>
                <w:sz w:val="21"/>
                <w:szCs w:val="21"/>
              </w:rPr>
              <w:t>第1月</w:t>
            </w:r>
          </w:p>
        </w:tc>
        <w:tc>
          <w:tcPr>
            <w:tcW w:w="2250" w:type="dxa"/>
            <w:vAlign w:val="center"/>
          </w:tcPr>
          <w:p w14:paraId="46177F55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250" w:type="dxa"/>
            <w:vAlign w:val="center"/>
          </w:tcPr>
          <w:p w14:paraId="32D188AA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250" w:type="dxa"/>
            <w:vAlign w:val="center"/>
          </w:tcPr>
          <w:p w14:paraId="0D668A1D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</w:tr>
      <w:tr w14:paraId="42401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7FA0146A">
            <w:pPr>
              <w:jc w:val="left"/>
            </w:pPr>
            <w:r>
              <w:rPr>
                <w:sz w:val="21"/>
                <w:szCs w:val="21"/>
              </w:rPr>
              <w:t>第2月</w:t>
            </w:r>
          </w:p>
        </w:tc>
        <w:tc>
          <w:tcPr>
            <w:tcW w:w="2250" w:type="dxa"/>
            <w:vAlign w:val="center"/>
          </w:tcPr>
          <w:p w14:paraId="6423712A">
            <w:pPr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2250" w:type="dxa"/>
            <w:vAlign w:val="center"/>
          </w:tcPr>
          <w:p w14:paraId="5555DE65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250" w:type="dxa"/>
            <w:vAlign w:val="center"/>
          </w:tcPr>
          <w:p w14:paraId="09831DC3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</w:tr>
      <w:tr w14:paraId="32621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314083D8">
            <w:pPr>
              <w:jc w:val="left"/>
            </w:pPr>
            <w:r>
              <w:rPr>
                <w:sz w:val="21"/>
                <w:szCs w:val="21"/>
              </w:rPr>
              <w:t>第3月</w:t>
            </w:r>
          </w:p>
        </w:tc>
        <w:tc>
          <w:tcPr>
            <w:tcW w:w="2250" w:type="dxa"/>
            <w:vAlign w:val="center"/>
          </w:tcPr>
          <w:p w14:paraId="7CFC1FFE">
            <w:pPr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2250" w:type="dxa"/>
            <w:vAlign w:val="center"/>
          </w:tcPr>
          <w:p w14:paraId="0FB00D97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2250" w:type="dxa"/>
            <w:vAlign w:val="center"/>
          </w:tcPr>
          <w:p w14:paraId="16296FB2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14:paraId="16598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0" w:type="dxa"/>
            <w:vAlign w:val="center"/>
          </w:tcPr>
          <w:p w14:paraId="3D812F98">
            <w:pPr>
              <w:jc w:val="left"/>
            </w:pPr>
            <w:r>
              <w:rPr>
                <w:sz w:val="21"/>
                <w:szCs w:val="21"/>
              </w:rPr>
              <w:t>合计</w:t>
            </w:r>
          </w:p>
        </w:tc>
        <w:tc>
          <w:tcPr>
            <w:tcW w:w="2250" w:type="dxa"/>
            <w:vAlign w:val="center"/>
          </w:tcPr>
          <w:p w14:paraId="4B10E2F6">
            <w:pPr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2250" w:type="dxa"/>
            <w:vAlign w:val="center"/>
          </w:tcPr>
          <w:p w14:paraId="6A761B1E">
            <w:pPr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2250" w:type="dxa"/>
            <w:vAlign w:val="center"/>
          </w:tcPr>
          <w:p w14:paraId="5DAF84A2">
            <w:pPr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</w:tbl>
    <w:p w14:paraId="1E1CC1CE">
      <w:pPr>
        <w:spacing w:before="40" w:after="80"/>
        <w:jc w:val="center"/>
      </w:pPr>
      <w:r>
        <w:rPr>
          <w:b/>
          <w:bCs/>
          <w:sz w:val="21"/>
          <w:szCs w:val="21"/>
        </w:rPr>
        <w:t>表6　跨月库存机制检验算例</w:t>
      </w:r>
    </w:p>
    <w:p w14:paraId="6ACF2B3B">
      <w:pPr>
        <w:pStyle w:val="3"/>
        <w:spacing w:before="120" w:after="60"/>
      </w:pPr>
      <w:r>
        <w:t>4.3 利润口径一致性检验</w:t>
      </w:r>
    </w:p>
    <w:p w14:paraId="17663BAF">
      <w:pPr>
        <w:ind w:firstLine="480" w:firstLineChars="200"/>
      </w:pPr>
      <w:r>
        <w:t>将逐月“本月利润”（销量×单车利润−持有成本×期末库存）加总，结果与模型目标函数值完全一致（1,862,225,100元），验证了目标函数与报表口径的一致性；单车利润取整为整数后，打印方案与目标值之间不存在显示误差。</w:t>
      </w:r>
    </w:p>
    <w:p w14:paraId="67AA9FFF">
      <w:pPr>
        <w:pStyle w:val="2"/>
        <w:spacing w:before="240" w:after="120"/>
      </w:pPr>
      <w:r>
        <w:t>5 结论与建议</w:t>
      </w:r>
    </w:p>
    <w:p w14:paraId="0A375F8A">
      <w:pPr>
        <w:pStyle w:val="3"/>
        <w:spacing w:before="120" w:after="60"/>
      </w:pPr>
      <w:r>
        <w:t>5.1 主要结论</w:t>
      </w:r>
    </w:p>
    <w:p w14:paraId="36EE6F23">
      <w:pPr>
        <w:ind w:firstLine="480" w:firstLineChars="200"/>
      </w:pPr>
      <w:r>
        <w:t>（1）滚动回测表明，多年同月均值法（MAPE 36.7%）优于去年同期法（42.1%）与近3月均值法（50.0%），尤其能避免疫情扰动年份对去年同期法的系统性低估。</w:t>
      </w:r>
    </w:p>
    <w:p w14:paraId="3378685C">
      <w:pPr>
        <w:ind w:firstLine="480" w:firstLineChars="200"/>
      </w:pPr>
      <w:r>
        <w:t>（2）历史数据显示，朗逸促销需求增幅的中位数为25.6%（区间+15.2%～+68.4%），为促销参数提供了数据依据，但促销效果存在较大不确定性。</w:t>
      </w:r>
    </w:p>
    <w:p w14:paraId="76CF8B0F">
      <w:pPr>
        <w:ind w:firstLine="480" w:firstLineChars="200"/>
      </w:pPr>
      <w:r>
        <w:t>（3）2023年10—12月最优方案为11月、12月促销：补货35,866、55,599、50,697辆，预计利润18.62亿元，较不促销基线提升4.72%。</w:t>
      </w:r>
    </w:p>
    <w:p w14:paraId="3CF50276">
      <w:pPr>
        <w:ind w:firstLine="480" w:firstLineChars="200"/>
      </w:pPr>
      <w:r>
        <w:t>（4）促销需求增幅盈亏平衡点约为17.6%，促销仅在增幅超过该值时经济上可行，决策前应设置效果监测。</w:t>
      </w:r>
    </w:p>
    <w:p w14:paraId="2E6EE24D">
      <w:pPr>
        <w:ind w:firstLine="480" w:firstLineChars="200"/>
      </w:pPr>
      <w:r>
        <w:t>（5）跨月库存模型在月度到货约束下可自动生成提前备货方案，机制经小规模算例验证正确。</w:t>
      </w:r>
    </w:p>
    <w:p w14:paraId="330A166D">
      <w:pPr>
        <w:pStyle w:val="3"/>
        <w:spacing w:before="120" w:after="60"/>
      </w:pPr>
      <w:r>
        <w:t>5.2 经营建议</w:t>
      </w:r>
    </w:p>
    <w:p w14:paraId="2E75657D">
      <w:pPr>
        <w:ind w:firstLine="480" w:firstLineChars="200"/>
      </w:pPr>
      <w:r>
        <w:t>（1）旺季前置备货：11月、1月为朗逸传统旺季，建议在旺季前根据多年同月均值安排补货，避免依赖单一年份数据。</w:t>
      </w:r>
    </w:p>
    <w:p w14:paraId="0A2E3407">
      <w:pPr>
        <w:ind w:firstLine="480" w:firstLineChars="200"/>
      </w:pPr>
      <w:r>
        <w:t>（2）促销资源聚焦旺季：本案例中11月、12月促销优于10月；执行中应监测促销实际转化率，需求增幅低于17.6%时及时收缩促销力度。</w:t>
      </w:r>
    </w:p>
    <w:p w14:paraId="64E8406B">
      <w:pPr>
        <w:ind w:firstLine="480" w:firstLineChars="200"/>
      </w:pPr>
      <w:r>
        <w:t>（3）供货受限时提前备货：若工厂月度供货能力有限，应提前1—2个月锁定产能，以库存缓冲旺季需求。</w:t>
      </w:r>
    </w:p>
    <w:p w14:paraId="7D22BD1F">
      <w:pPr>
        <w:ind w:firstLine="480" w:firstLineChars="200"/>
      </w:pPr>
      <w:r>
        <w:t>（4）数据驱动替代经验决策：建议企业积累真实促销记录，用实际促销数据替代间接标定，进一步提高模型可信度。</w:t>
      </w:r>
    </w:p>
    <w:p w14:paraId="41D24AF8">
      <w:pPr>
        <w:pStyle w:val="3"/>
        <w:spacing w:before="120" w:after="60"/>
      </w:pPr>
      <w:r>
        <w:t>5.3 研究局限与展望</w:t>
      </w:r>
    </w:p>
    <w:p w14:paraId="0C6A7246">
      <w:pPr>
        <w:ind w:firstLine="480" w:firstLineChars="200"/>
      </w:pPr>
      <w:r>
        <w:t>本文存在以下局限：①点预测未考虑需求不确定性，后续可引入报童模型或随机规划，以服务水平与缺货损失刻画风险；②仅分析朗逸单一车型，可扩展为多车型组合优化；③未纳入竞品价格、购置税政策、芯片供给等外生变量；④利润率为假设值，需企业财务数据校准；⑤促销样本为间接识别，存在噪音。未来可在上述方向进一步完善。</w:t>
      </w:r>
    </w:p>
    <w:p w14:paraId="1E318FA3">
      <w:pPr>
        <w:pStyle w:val="2"/>
        <w:spacing w:before="240" w:after="120"/>
      </w:pPr>
      <w:r>
        <w:t>参考文献</w:t>
      </w:r>
    </w:p>
    <w:p w14:paraId="505B2DCA">
      <w:r>
        <w:rPr>
          <w:sz w:val="21"/>
          <w:szCs w:val="21"/>
        </w:rPr>
        <w:t>[1] 姜启源, 谢金星, 叶俊. 数学模型[M]. 5版. 北京: 高等教育出版社, 2018.</w:t>
      </w:r>
    </w:p>
    <w:p w14:paraId="07D50F52">
      <w:r>
        <w:rPr>
          <w:sz w:val="21"/>
          <w:szCs w:val="21"/>
        </w:rPr>
        <w:t>[2] Hyndman R J, Athanasopoulos G. Forecasting: Principles and Practice[M]. 3rd ed. Melbourne: OTexts, 2021.</w:t>
      </w:r>
    </w:p>
    <w:p w14:paraId="23E84116">
      <w:r>
        <w:rPr>
          <w:sz w:val="21"/>
          <w:szCs w:val="21"/>
        </w:rPr>
        <w:t>[3] Silver E A, Pyke D F, Thomas D J. Inventory and Production Management in Supply Chains[M]. 4th ed. Boca Raton: CRC Press, 2016.</w:t>
      </w:r>
    </w:p>
    <w:p w14:paraId="7E3C4EAA">
      <w:r>
        <w:rPr>
          <w:sz w:val="21"/>
          <w:szCs w:val="21"/>
        </w:rPr>
        <w:t>[4] 王道平, 侯美玲. 供应链库存控制与优化[M]. 北京: 北京大学出版社, 2018.</w:t>
      </w:r>
    </w:p>
    <w:p w14:paraId="6E395C37">
      <w:r>
        <w:rPr>
          <w:sz w:val="21"/>
          <w:szCs w:val="21"/>
        </w:rPr>
        <w:t>[5] 中国汽车工业协会. 中国汽车工业产销快讯[EB/OL]. 2022—2023.</w:t>
      </w:r>
    </w:p>
    <w:p w14:paraId="499953E6">
      <w:r>
        <w:rPr>
          <w:sz w:val="21"/>
          <w:szCs w:val="21"/>
        </w:rPr>
        <w:t>[6] 乘用车市场信息联席会（CPCA）. 乘用车市场月度分析报告[EB/OL]. 2023.</w:t>
      </w:r>
    </w:p>
    <w:p w14:paraId="668B3E92">
      <w:pPr>
        <w:pStyle w:val="2"/>
        <w:spacing w:before="240" w:after="120"/>
      </w:pPr>
      <w:r>
        <w:t>附录　图表清单</w:t>
      </w:r>
    </w:p>
    <w:tbl>
      <w:tblPr>
        <w:tblStyle w:val="6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24877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33C25514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3000" w:type="dxa"/>
            <w:vAlign w:val="center"/>
          </w:tcPr>
          <w:p w14:paraId="4954B296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3000" w:type="dxa"/>
            <w:vAlign w:val="center"/>
          </w:tcPr>
          <w:p w14:paraId="538CE24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位置</w:t>
            </w:r>
          </w:p>
        </w:tc>
      </w:tr>
      <w:tr w14:paraId="26F4A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49CE16BB">
            <w:pPr>
              <w:jc w:val="left"/>
            </w:pPr>
            <w:r>
              <w:rPr>
                <w:sz w:val="21"/>
                <w:szCs w:val="21"/>
              </w:rPr>
              <w:t>表1</w:t>
            </w:r>
          </w:p>
        </w:tc>
        <w:tc>
          <w:tcPr>
            <w:tcW w:w="3000" w:type="dxa"/>
            <w:vAlign w:val="center"/>
          </w:tcPr>
          <w:p w14:paraId="112E9289">
            <w:pPr>
              <w:jc w:val="center"/>
            </w:pPr>
            <w:r>
              <w:rPr>
                <w:sz w:val="21"/>
                <w:szCs w:val="21"/>
              </w:rPr>
              <w:t>朗逸季节指数</w:t>
            </w:r>
          </w:p>
        </w:tc>
        <w:tc>
          <w:tcPr>
            <w:tcW w:w="3000" w:type="dxa"/>
            <w:vAlign w:val="center"/>
          </w:tcPr>
          <w:p w14:paraId="7FAAD27A">
            <w:pPr>
              <w:jc w:val="center"/>
            </w:pPr>
            <w:r>
              <w:rPr>
                <w:sz w:val="21"/>
                <w:szCs w:val="21"/>
              </w:rPr>
              <w:t>3.1</w:t>
            </w:r>
          </w:p>
        </w:tc>
      </w:tr>
      <w:tr w14:paraId="6C498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1016C0BE">
            <w:pPr>
              <w:jc w:val="left"/>
            </w:pPr>
            <w:r>
              <w:rPr>
                <w:sz w:val="21"/>
                <w:szCs w:val="21"/>
              </w:rPr>
              <w:t>表2</w:t>
            </w:r>
          </w:p>
        </w:tc>
        <w:tc>
          <w:tcPr>
            <w:tcW w:w="3000" w:type="dxa"/>
            <w:vAlign w:val="center"/>
          </w:tcPr>
          <w:p w14:paraId="02A40614">
            <w:pPr>
              <w:jc w:val="center"/>
            </w:pPr>
            <w:r>
              <w:rPr>
                <w:sz w:val="21"/>
                <w:szCs w:val="21"/>
              </w:rPr>
              <w:t>预测方法滚动回测结果</w:t>
            </w:r>
          </w:p>
        </w:tc>
        <w:tc>
          <w:tcPr>
            <w:tcW w:w="3000" w:type="dxa"/>
            <w:vAlign w:val="center"/>
          </w:tcPr>
          <w:p w14:paraId="0C759390">
            <w:pPr>
              <w:jc w:val="center"/>
            </w:pPr>
            <w:r>
              <w:rPr>
                <w:sz w:val="21"/>
                <w:szCs w:val="21"/>
              </w:rPr>
              <w:t>3.2</w:t>
            </w:r>
          </w:p>
        </w:tc>
      </w:tr>
      <w:tr w14:paraId="7FE2A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07E6CF26">
            <w:pPr>
              <w:jc w:val="left"/>
            </w:pPr>
            <w:r>
              <w:rPr>
                <w:sz w:val="21"/>
                <w:szCs w:val="21"/>
              </w:rPr>
              <w:t>表3</w:t>
            </w:r>
          </w:p>
        </w:tc>
        <w:tc>
          <w:tcPr>
            <w:tcW w:w="3000" w:type="dxa"/>
            <w:vAlign w:val="center"/>
          </w:tcPr>
          <w:p w14:paraId="7556D9AB">
            <w:pPr>
              <w:jc w:val="center"/>
            </w:pPr>
            <w:r>
              <w:rPr>
                <w:sz w:val="21"/>
                <w:szCs w:val="21"/>
              </w:rPr>
              <w:t>2023年10—12月补货促销优化方案</w:t>
            </w:r>
          </w:p>
        </w:tc>
        <w:tc>
          <w:tcPr>
            <w:tcW w:w="3000" w:type="dxa"/>
            <w:vAlign w:val="center"/>
          </w:tcPr>
          <w:p w14:paraId="757C4DBC">
            <w:pPr>
              <w:jc w:val="center"/>
            </w:pPr>
            <w:r>
              <w:rPr>
                <w:sz w:val="21"/>
                <w:szCs w:val="21"/>
              </w:rPr>
              <w:t>3.4</w:t>
            </w:r>
          </w:p>
        </w:tc>
      </w:tr>
      <w:tr w14:paraId="0F900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60D24A35">
            <w:pPr>
              <w:jc w:val="left"/>
            </w:pPr>
            <w:r>
              <w:rPr>
                <w:sz w:val="21"/>
                <w:szCs w:val="21"/>
              </w:rPr>
              <w:t>表4</w:t>
            </w:r>
          </w:p>
        </w:tc>
        <w:tc>
          <w:tcPr>
            <w:tcW w:w="3000" w:type="dxa"/>
            <w:vAlign w:val="center"/>
          </w:tcPr>
          <w:p w14:paraId="599EEE54">
            <w:pPr>
              <w:jc w:val="center"/>
            </w:pPr>
            <w:r>
              <w:rPr>
                <w:sz w:val="21"/>
                <w:szCs w:val="21"/>
              </w:rPr>
              <w:t>促销需求增幅敏感性分析</w:t>
            </w:r>
          </w:p>
        </w:tc>
        <w:tc>
          <w:tcPr>
            <w:tcW w:w="3000" w:type="dxa"/>
            <w:vAlign w:val="center"/>
          </w:tcPr>
          <w:p w14:paraId="7B707E43">
            <w:pPr>
              <w:jc w:val="center"/>
            </w:pPr>
            <w:r>
              <w:rPr>
                <w:sz w:val="21"/>
                <w:szCs w:val="21"/>
              </w:rPr>
              <w:t>3.5</w:t>
            </w:r>
          </w:p>
        </w:tc>
      </w:tr>
      <w:tr w14:paraId="7D345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7EFE1A25">
            <w:pPr>
              <w:jc w:val="left"/>
            </w:pPr>
            <w:r>
              <w:rPr>
                <w:sz w:val="21"/>
                <w:szCs w:val="21"/>
              </w:rPr>
              <w:t>表5</w:t>
            </w:r>
          </w:p>
        </w:tc>
        <w:tc>
          <w:tcPr>
            <w:tcW w:w="3000" w:type="dxa"/>
            <w:vAlign w:val="center"/>
          </w:tcPr>
          <w:p w14:paraId="0EC119CA">
            <w:pPr>
              <w:jc w:val="center"/>
            </w:pPr>
            <w:r>
              <w:rPr>
                <w:sz w:val="21"/>
                <w:szCs w:val="21"/>
              </w:rPr>
              <w:t>不同预测口径下最优方案对比</w:t>
            </w:r>
          </w:p>
        </w:tc>
        <w:tc>
          <w:tcPr>
            <w:tcW w:w="3000" w:type="dxa"/>
            <w:vAlign w:val="center"/>
          </w:tcPr>
          <w:p w14:paraId="26D90F2B">
            <w:pPr>
              <w:jc w:val="center"/>
            </w:pPr>
            <w:r>
              <w:rPr>
                <w:sz w:val="21"/>
                <w:szCs w:val="21"/>
              </w:rPr>
              <w:t>4.1</w:t>
            </w:r>
          </w:p>
        </w:tc>
      </w:tr>
      <w:tr w14:paraId="3E705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16873B0C">
            <w:pPr>
              <w:jc w:val="left"/>
            </w:pPr>
            <w:r>
              <w:rPr>
                <w:sz w:val="21"/>
                <w:szCs w:val="21"/>
              </w:rPr>
              <w:t>表6</w:t>
            </w:r>
          </w:p>
        </w:tc>
        <w:tc>
          <w:tcPr>
            <w:tcW w:w="3000" w:type="dxa"/>
            <w:vAlign w:val="center"/>
          </w:tcPr>
          <w:p w14:paraId="279E9F32">
            <w:pPr>
              <w:jc w:val="center"/>
            </w:pPr>
            <w:r>
              <w:rPr>
                <w:sz w:val="21"/>
                <w:szCs w:val="21"/>
              </w:rPr>
              <w:t>跨月库存机制检验算例</w:t>
            </w:r>
          </w:p>
        </w:tc>
        <w:tc>
          <w:tcPr>
            <w:tcW w:w="3000" w:type="dxa"/>
            <w:vAlign w:val="center"/>
          </w:tcPr>
          <w:p w14:paraId="03483920">
            <w:pPr>
              <w:jc w:val="center"/>
            </w:pPr>
            <w:r>
              <w:rPr>
                <w:sz w:val="21"/>
                <w:szCs w:val="21"/>
              </w:rPr>
              <w:t>4.2</w:t>
            </w:r>
          </w:p>
        </w:tc>
      </w:tr>
      <w:tr w14:paraId="6FCC9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38ACCE28">
            <w:pPr>
              <w:jc w:val="left"/>
            </w:pPr>
            <w:r>
              <w:rPr>
                <w:sz w:val="21"/>
                <w:szCs w:val="21"/>
              </w:rPr>
              <w:t>图1</w:t>
            </w:r>
          </w:p>
        </w:tc>
        <w:tc>
          <w:tcPr>
            <w:tcW w:w="3000" w:type="dxa"/>
            <w:vAlign w:val="center"/>
          </w:tcPr>
          <w:p w14:paraId="5F22BC33">
            <w:pPr>
              <w:jc w:val="center"/>
            </w:pPr>
            <w:r>
              <w:rPr>
                <w:sz w:val="21"/>
                <w:szCs w:val="21"/>
              </w:rPr>
              <w:t>朗逸月度销量走势</w:t>
            </w:r>
          </w:p>
        </w:tc>
        <w:tc>
          <w:tcPr>
            <w:tcW w:w="3000" w:type="dxa"/>
            <w:vAlign w:val="center"/>
          </w:tcPr>
          <w:p w14:paraId="67A6D4EF">
            <w:pPr>
              <w:jc w:val="center"/>
            </w:pPr>
            <w:r>
              <w:rPr>
                <w:sz w:val="21"/>
                <w:szCs w:val="21"/>
              </w:rPr>
              <w:t>3.1</w:t>
            </w:r>
          </w:p>
        </w:tc>
      </w:tr>
      <w:tr w14:paraId="353C0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37292CED">
            <w:pPr>
              <w:jc w:val="left"/>
            </w:pPr>
            <w:r>
              <w:rPr>
                <w:sz w:val="21"/>
                <w:szCs w:val="21"/>
              </w:rPr>
              <w:t>图2</w:t>
            </w:r>
          </w:p>
        </w:tc>
        <w:tc>
          <w:tcPr>
            <w:tcW w:w="3000" w:type="dxa"/>
            <w:vAlign w:val="center"/>
          </w:tcPr>
          <w:p w14:paraId="38B5795F">
            <w:pPr>
              <w:jc w:val="center"/>
            </w:pPr>
            <w:r>
              <w:rPr>
                <w:sz w:val="21"/>
                <w:szCs w:val="21"/>
              </w:rPr>
              <w:t>朗逸季节指数</w:t>
            </w:r>
          </w:p>
        </w:tc>
        <w:tc>
          <w:tcPr>
            <w:tcW w:w="3000" w:type="dxa"/>
            <w:vAlign w:val="center"/>
          </w:tcPr>
          <w:p w14:paraId="552346D7">
            <w:pPr>
              <w:jc w:val="center"/>
            </w:pPr>
            <w:r>
              <w:rPr>
                <w:sz w:val="21"/>
                <w:szCs w:val="21"/>
              </w:rPr>
              <w:t>3.1</w:t>
            </w:r>
          </w:p>
        </w:tc>
      </w:tr>
      <w:tr w14:paraId="098E7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7E4DEC14">
            <w:pPr>
              <w:jc w:val="left"/>
            </w:pPr>
            <w:r>
              <w:rPr>
                <w:sz w:val="21"/>
                <w:szCs w:val="21"/>
              </w:rPr>
              <w:t>图3</w:t>
            </w:r>
          </w:p>
        </w:tc>
        <w:tc>
          <w:tcPr>
            <w:tcW w:w="3000" w:type="dxa"/>
            <w:vAlign w:val="center"/>
          </w:tcPr>
          <w:p w14:paraId="50B82318">
            <w:pPr>
              <w:jc w:val="center"/>
            </w:pPr>
            <w:r>
              <w:rPr>
                <w:sz w:val="21"/>
                <w:szCs w:val="21"/>
              </w:rPr>
              <w:t>预测方法回测MAPE对比</w:t>
            </w:r>
          </w:p>
        </w:tc>
        <w:tc>
          <w:tcPr>
            <w:tcW w:w="3000" w:type="dxa"/>
            <w:vAlign w:val="center"/>
          </w:tcPr>
          <w:p w14:paraId="1BFF4545">
            <w:pPr>
              <w:jc w:val="center"/>
            </w:pPr>
            <w:r>
              <w:rPr>
                <w:sz w:val="21"/>
                <w:szCs w:val="21"/>
              </w:rPr>
              <w:t>3.2</w:t>
            </w:r>
          </w:p>
        </w:tc>
      </w:tr>
      <w:tr w14:paraId="2D6DE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615F6237">
            <w:pPr>
              <w:jc w:val="left"/>
            </w:pPr>
            <w:r>
              <w:rPr>
                <w:sz w:val="21"/>
                <w:szCs w:val="21"/>
              </w:rPr>
              <w:t>图4</w:t>
            </w:r>
          </w:p>
        </w:tc>
        <w:tc>
          <w:tcPr>
            <w:tcW w:w="3000" w:type="dxa"/>
            <w:vAlign w:val="center"/>
          </w:tcPr>
          <w:p w14:paraId="3A715BB6">
            <w:pPr>
              <w:jc w:val="center"/>
            </w:pPr>
            <w:r>
              <w:rPr>
                <w:sz w:val="21"/>
                <w:szCs w:val="21"/>
              </w:rPr>
              <w:t>促销需求增幅敏感性</w:t>
            </w:r>
          </w:p>
        </w:tc>
        <w:tc>
          <w:tcPr>
            <w:tcW w:w="3000" w:type="dxa"/>
            <w:vAlign w:val="center"/>
          </w:tcPr>
          <w:p w14:paraId="1B3051CD">
            <w:pPr>
              <w:jc w:val="center"/>
            </w:pPr>
            <w:r>
              <w:rPr>
                <w:sz w:val="21"/>
                <w:szCs w:val="21"/>
              </w:rPr>
              <w:t>3.5</w:t>
            </w:r>
          </w:p>
        </w:tc>
      </w:tr>
    </w:tbl>
    <w:p w14:paraId="025D0038"/>
    <w:sectPr>
      <w:pgSz w:w="11906" w:h="16838"/>
      <w:pgMar w:top="1440" w:right="1800" w:bottom="1440" w:left="180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FDD22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/>
      <w:sz w:val="24"/>
      <w:szCs w:val="24"/>
    </w:rPr>
  </w:style>
  <w:style w:type="paragraph" w:styleId="2">
    <w:name w:val="heading 1"/>
    <w:basedOn w:val="1"/>
    <w:qFormat/>
    <w:uiPriority w:val="0"/>
    <w:pPr>
      <w:keepNext/>
      <w:spacing w:before="240" w:after="120"/>
      <w:outlineLvl w:val="0"/>
    </w:pPr>
    <w:rPr>
      <w:rFonts w:eastAsia="黑体"/>
      <w:b/>
      <w:sz w:val="28"/>
      <w:szCs w:val="28"/>
    </w:rPr>
  </w:style>
  <w:style w:type="paragraph" w:styleId="3">
    <w:name w:val="heading 2"/>
    <w:basedOn w:val="1"/>
    <w:qFormat/>
    <w:uiPriority w:val="0"/>
    <w:pPr>
      <w:keepNext/>
      <w:spacing w:before="120" w:after="60"/>
      <w:outlineLvl w:val="1"/>
    </w:pPr>
    <w:rPr>
      <w:rFonts w:eastAsia="黑体"/>
      <w:b/>
      <w:sz w:val="26"/>
      <w:szCs w:val="26"/>
    </w:rPr>
  </w:style>
  <w:style w:type="paragraph" w:styleId="4">
    <w:name w:val="heading 3"/>
    <w:basedOn w:val="1"/>
    <w:qFormat/>
    <w:uiPriority w:val="0"/>
    <w:pPr>
      <w:keepNext/>
      <w:spacing w:before="60" w:after="40"/>
      <w:outlineLvl w:val="2"/>
    </w:pPr>
    <w:rPr>
      <w:rFonts w:eastAsia="黑体"/>
      <w:b/>
      <w:sz w:val="24"/>
      <w:szCs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qFormat/>
    <w:uiPriority w:val="0"/>
    <w:pPr>
      <w:spacing w:before="240" w:after="240" w:line="360" w:lineRule="auto"/>
      <w:jc w:val="center"/>
    </w:pPr>
    <w:rPr>
      <w:rFonts w:ascii="Times New Roman" w:hAnsi="Times New Roman" w:eastAsia="黑体"/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4927</Words>
  <Characters>6488</Characters>
  <TotalTime>2</TotalTime>
  <ScaleCrop>false</ScaleCrop>
  <LinksUpToDate>false</LinksUpToDate>
  <CharactersWithSpaces>6681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2026-08-16T13:15:06Z</dcterms:created>
  <dc:creator>崔</dc:creator>
  <cp:lastModifiedBy>崔迩凡</cp:lastModifiedBy>
  <dcterms:modified xsi:type="dcterms:W3CDTF">2026-08-16T13:45:41Z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eyJoZGlkIjoiOTQwZjFhYWRlZmMzM2ZmN2RmM2RjNjJkZjE2YjIyM2QiLCJ1c2VySWQiOiIxNjM5ODYxNDY0In0=</vt:lpwstr>
  </property>
  <property fmtid="{D5CDD505-2E9C-101B-9397-08002B2CF9AE}" pid="3" name="KSOProductBuildVer">
    <vt:lpwstr>2052-12.1.0.23542</vt:lpwstr>
  </property>
  <property fmtid="{D5CDD505-2E9C-101B-9397-08002B2CF9AE}" pid="4" name="ICV">
    <vt:lpwstr>3A6C1A13F83B4E7AA16AF58AC966A927_12</vt:lpwstr>
  </property>
</Properties>
</file>