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Exportações</w:t>
      </w:r>
      <w:r>
        <w:t xml:space="preserve"> </w:t>
      </w:r>
      <w:r>
        <w:t xml:space="preserve">de</w:t>
      </w:r>
      <w:r>
        <w:t xml:space="preserve"> </w:t>
      </w:r>
      <w:r>
        <w:t xml:space="preserve">Minérios</w:t>
      </w:r>
      <w:r>
        <w:t xml:space="preserve"> </w:t>
      </w:r>
      <w:r>
        <w:t xml:space="preserve">de</w:t>
      </w:r>
      <w:r>
        <w:t xml:space="preserve"> </w:t>
      </w:r>
      <w:r>
        <w:t xml:space="preserve">ferro</w:t>
      </w:r>
      <w:r>
        <w:t xml:space="preserve"> </w:t>
      </w:r>
      <w:r>
        <w:t xml:space="preserve">e</w:t>
      </w:r>
      <w:r>
        <w:t xml:space="preserve"> </w:t>
      </w:r>
      <w:r>
        <w:t xml:space="preserve">seus</w:t>
      </w:r>
      <w:r>
        <w:t xml:space="preserve"> </w:t>
      </w:r>
      <w:r>
        <w:t xml:space="preserve">concentrados</w:t>
      </w:r>
    </w:p>
    <w:p>
      <w:pPr>
        <w:pStyle w:val="Author"/>
      </w:pPr>
      <w:r>
        <w:t xml:space="preserve">MDIC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dados"/>
      <w:bookmarkEnd w:id="21"/>
      <w:r>
        <w:t xml:space="preserve">Dados</w:t>
      </w:r>
    </w:p>
    <w:p>
      <w:pPr>
        <w:pStyle w:val="FirstParagraph"/>
      </w:pPr>
      <w:r>
        <w:t xml:space="preserve">Os dados desse exemplo foram extraídos das séries históricas disponíveis no site do</w:t>
      </w:r>
      <w:r>
        <w:t xml:space="preserve"> </w:t>
      </w:r>
      <w:hyperlink r:id="rId22">
        <w:r>
          <w:rPr>
            <w:rStyle w:val="Hyperlink"/>
          </w:rPr>
          <w:t xml:space="preserve">MDIC</w:t>
        </w:r>
      </w:hyperlink>
      <w:r>
        <w:t xml:space="preserve">.</w:t>
      </w:r>
    </w:p>
    <w:p>
      <w:pPr>
        <w:pStyle w:val="BodyText"/>
      </w:pPr>
      <w:r>
        <w:t xml:space="preserve">Amostra dos dados: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(dados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VL_FOB, KG_LIQUIDO, PRECO)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format.Date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"%b/%Y"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VL_FOB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KG_LIQUIDO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Jan/1997</w:t>
            </w:r>
          </w:p>
        </w:tc>
        <w:tc>
          <w:p>
            <w:pPr>
              <w:pStyle w:val="Compact"/>
              <w:jc w:val="right"/>
            </w:pPr>
            <w:r>
              <w:t xml:space="preserve">266.869.782</w:t>
            </w:r>
          </w:p>
        </w:tc>
        <w:tc>
          <w:p>
            <w:pPr>
              <w:pStyle w:val="Compact"/>
              <w:jc w:val="right"/>
            </w:pPr>
            <w:r>
              <w:t xml:space="preserve">12.190.272.878</w:t>
            </w:r>
          </w:p>
        </w:tc>
        <w:tc>
          <w:p>
            <w:pPr>
              <w:pStyle w:val="Compact"/>
              <w:jc w:val="right"/>
            </w:pPr>
            <w:r>
              <w:t xml:space="preserve">0,0218920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Fev/1997</w:t>
            </w:r>
          </w:p>
        </w:tc>
        <w:tc>
          <w:p>
            <w:pPr>
              <w:pStyle w:val="Compact"/>
              <w:jc w:val="right"/>
            </w:pPr>
            <w:r>
              <w:t xml:space="preserve">172.468.713</w:t>
            </w:r>
          </w:p>
        </w:tc>
        <w:tc>
          <w:p>
            <w:pPr>
              <w:pStyle w:val="Compact"/>
              <w:jc w:val="right"/>
            </w:pPr>
            <w:r>
              <w:t xml:space="preserve">7.845.212.443</w:t>
            </w:r>
          </w:p>
        </w:tc>
        <w:tc>
          <w:p>
            <w:pPr>
              <w:pStyle w:val="Compact"/>
              <w:jc w:val="right"/>
            </w:pPr>
            <w:r>
              <w:t xml:space="preserve">0,0219839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Mar/1997</w:t>
            </w:r>
          </w:p>
        </w:tc>
        <w:tc>
          <w:p>
            <w:pPr>
              <w:pStyle w:val="Compact"/>
              <w:jc w:val="right"/>
            </w:pPr>
            <w:r>
              <w:t xml:space="preserve">265.033.886</w:t>
            </w:r>
          </w:p>
        </w:tc>
        <w:tc>
          <w:p>
            <w:pPr>
              <w:pStyle w:val="Compact"/>
              <w:jc w:val="right"/>
            </w:pPr>
            <w:r>
              <w:t xml:space="preserve">13.041.094.690</w:t>
            </w:r>
          </w:p>
        </w:tc>
        <w:tc>
          <w:p>
            <w:pPr>
              <w:pStyle w:val="Compact"/>
              <w:jc w:val="right"/>
            </w:pPr>
            <w:r>
              <w:t xml:space="preserve">0,0203230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Abr/1997</w:t>
            </w:r>
          </w:p>
        </w:tc>
        <w:tc>
          <w:p>
            <w:pPr>
              <w:pStyle w:val="Compact"/>
              <w:jc w:val="right"/>
            </w:pPr>
            <w:r>
              <w:t xml:space="preserve">229.954.303</w:t>
            </w:r>
          </w:p>
        </w:tc>
        <w:tc>
          <w:p>
            <w:pPr>
              <w:pStyle w:val="Compact"/>
              <w:jc w:val="right"/>
            </w:pPr>
            <w:r>
              <w:t xml:space="preserve">10.368.844.046</w:t>
            </w:r>
          </w:p>
        </w:tc>
        <w:tc>
          <w:p>
            <w:pPr>
              <w:pStyle w:val="Compact"/>
              <w:jc w:val="right"/>
            </w:pPr>
            <w:r>
              <w:t xml:space="preserve">0,0221774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Mai/1997</w:t>
            </w:r>
          </w:p>
        </w:tc>
        <w:tc>
          <w:p>
            <w:pPr>
              <w:pStyle w:val="Compact"/>
              <w:jc w:val="right"/>
            </w:pPr>
            <w:r>
              <w:t xml:space="preserve">222.365.501</w:t>
            </w:r>
          </w:p>
        </w:tc>
        <w:tc>
          <w:p>
            <w:pPr>
              <w:pStyle w:val="Compact"/>
              <w:jc w:val="right"/>
            </w:pPr>
            <w:r>
              <w:t xml:space="preserve">10.515.503.370</w:t>
            </w:r>
          </w:p>
        </w:tc>
        <w:tc>
          <w:p>
            <w:pPr>
              <w:pStyle w:val="Compact"/>
              <w:jc w:val="right"/>
            </w:pPr>
            <w:r>
              <w:t xml:space="preserve">0,0211464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Jun/1997</w:t>
            </w:r>
          </w:p>
        </w:tc>
        <w:tc>
          <w:p>
            <w:pPr>
              <w:pStyle w:val="Compact"/>
              <w:jc w:val="right"/>
            </w:pPr>
            <w:r>
              <w:t xml:space="preserve">281.409.102</w:t>
            </w:r>
          </w:p>
        </w:tc>
        <w:tc>
          <w:p>
            <w:pPr>
              <w:pStyle w:val="Compact"/>
              <w:jc w:val="right"/>
            </w:pPr>
            <w:r>
              <w:t xml:space="preserve">13.278.045.526</w:t>
            </w:r>
          </w:p>
        </w:tc>
        <w:tc>
          <w:p>
            <w:pPr>
              <w:pStyle w:val="Compact"/>
              <w:jc w:val="right"/>
            </w:pPr>
            <w:r>
              <w:t xml:space="preserve">0,0211936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Jul/1997</w:t>
            </w:r>
          </w:p>
        </w:tc>
        <w:tc>
          <w:p>
            <w:pPr>
              <w:pStyle w:val="Compact"/>
              <w:jc w:val="right"/>
            </w:pPr>
            <w:r>
              <w:t xml:space="preserve">261.705.472</w:t>
            </w:r>
          </w:p>
        </w:tc>
        <w:tc>
          <w:p>
            <w:pPr>
              <w:pStyle w:val="Compact"/>
              <w:jc w:val="right"/>
            </w:pPr>
            <w:r>
              <w:t xml:space="preserve">12.452.278.986</w:t>
            </w:r>
          </w:p>
        </w:tc>
        <w:tc>
          <w:p>
            <w:pPr>
              <w:pStyle w:val="Compact"/>
              <w:jc w:val="right"/>
            </w:pPr>
            <w:r>
              <w:t xml:space="preserve">0,0210167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Ago/1997</w:t>
            </w:r>
          </w:p>
        </w:tc>
        <w:tc>
          <w:p>
            <w:pPr>
              <w:pStyle w:val="Compact"/>
              <w:jc w:val="right"/>
            </w:pPr>
            <w:r>
              <w:t xml:space="preserve">207.029.373</w:t>
            </w:r>
          </w:p>
        </w:tc>
        <w:tc>
          <w:p>
            <w:pPr>
              <w:pStyle w:val="Compact"/>
              <w:jc w:val="right"/>
            </w:pPr>
            <w:r>
              <w:t xml:space="preserve">9.810.599.506</w:t>
            </w:r>
          </w:p>
        </w:tc>
        <w:tc>
          <w:p>
            <w:pPr>
              <w:pStyle w:val="Compact"/>
              <w:jc w:val="right"/>
            </w:pPr>
            <w:r>
              <w:t xml:space="preserve">0,0211026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Set/1997</w:t>
            </w:r>
          </w:p>
        </w:tc>
        <w:tc>
          <w:p>
            <w:pPr>
              <w:pStyle w:val="Compact"/>
              <w:jc w:val="right"/>
            </w:pPr>
            <w:r>
              <w:t xml:space="preserve">227.474.215</w:t>
            </w:r>
          </w:p>
        </w:tc>
        <w:tc>
          <w:p>
            <w:pPr>
              <w:pStyle w:val="Compact"/>
              <w:jc w:val="right"/>
            </w:pPr>
            <w:r>
              <w:t xml:space="preserve">10.764.039.314</w:t>
            </w:r>
          </w:p>
        </w:tc>
        <w:tc>
          <w:p>
            <w:pPr>
              <w:pStyle w:val="Compact"/>
              <w:jc w:val="right"/>
            </w:pPr>
            <w:r>
              <w:t xml:space="preserve">0,0211328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Out/1997</w:t>
            </w:r>
          </w:p>
        </w:tc>
        <w:tc>
          <w:p>
            <w:pPr>
              <w:pStyle w:val="Compact"/>
              <w:jc w:val="right"/>
            </w:pPr>
            <w:r>
              <w:t xml:space="preserve">239.946.533</w:t>
            </w:r>
          </w:p>
        </w:tc>
        <w:tc>
          <w:p>
            <w:pPr>
              <w:pStyle w:val="Compact"/>
              <w:jc w:val="right"/>
            </w:pPr>
            <w:r>
              <w:t xml:space="preserve">11.641.658.254</w:t>
            </w:r>
          </w:p>
        </w:tc>
        <w:tc>
          <w:p>
            <w:pPr>
              <w:pStyle w:val="Compact"/>
              <w:jc w:val="right"/>
            </w:pPr>
            <w:r>
              <w:t xml:space="preserve">0,0206110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Valor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VL_FOB/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Exportado de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 Milhões"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htm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Volume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KG_LIQUIDO/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 Exportado de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htm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Preço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PRECO))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"Preço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"US$/KG"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 Milhões"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htm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nvertendo-em-objeto-ts"/>
      <w:bookmarkEnd w:id="26"/>
      <w:r>
        <w:t xml:space="preserve">Convertendo em objeto ts</w:t>
      </w:r>
    </w:p>
    <w:p>
      <w:pPr>
        <w:pStyle w:val="FirstParagraph"/>
      </w:pPr>
      <w:r>
        <w:t xml:space="preserve">Antes de converter para um objeto da classe</w:t>
      </w:r>
      <w:r>
        <w:t xml:space="preserve"> </w:t>
      </w:r>
      <w:r>
        <w:rPr>
          <w:rStyle w:val="VerbatimChar"/>
        </w:rPr>
        <w:t xml:space="preserve">ts</w:t>
      </w:r>
      <w:r>
        <w:t xml:space="preserve"> </w:t>
      </w:r>
      <w:r>
        <w:t xml:space="preserve">é necessário garantir que o objeto</w:t>
      </w:r>
      <w:r>
        <w:t xml:space="preserve"> </w:t>
      </w:r>
      <w:r>
        <w:rPr>
          <w:rStyle w:val="VerbatimChar"/>
        </w:rPr>
        <w:t xml:space="preserve">dados</w:t>
      </w:r>
      <w:r>
        <w:t xml:space="preserve"> </w:t>
      </w:r>
      <w:r>
        <w:t xml:space="preserve">possua uma linha para cada mês/ano do período. No arquivo original, se a exportação de um produto foi zero em um determinado mês, não haverá uma linha para aquele mês. Dessa forma, se fizermos algo do tipo</w:t>
      </w:r>
      <w:r>
        <w:t xml:space="preserve"> </w:t>
      </w:r>
      <w:r>
        <w:rPr>
          <w:rStyle w:val="VerbatimChar"/>
        </w:rPr>
        <w:t xml:space="preserve">x &lt;- ts(dados, start = c(1997, 1), freq = 12)</w:t>
      </w:r>
      <w:r>
        <w:t xml:space="preserve"> </w:t>
      </w:r>
      <w:r>
        <w:t xml:space="preserve">e existirem apenas 12 observações, o R entenderá que há observações de jan/1997 a dez/1997, o que pode não ser o caso. Assim, usaremos o data.frame</w:t>
      </w:r>
      <w:r>
        <w:t xml:space="preserve"> </w:t>
      </w:r>
      <w:r>
        <w:rPr>
          <w:rStyle w:val="VerbatimChar"/>
        </w:rPr>
        <w:t xml:space="preserve">dados.base</w:t>
      </w:r>
      <w:r>
        <w:t xml:space="preserve"> </w:t>
      </w:r>
      <w:r>
        <w:t xml:space="preserve">que possui uma linha para cada período entre jan/1997 e o último mês disponível.</w:t>
      </w:r>
    </w:p>
    <w:p>
      <w:pPr>
        <w:pStyle w:val="SourceCode"/>
      </w:pPr>
      <w:r>
        <w:rPr>
          <w:rStyle w:val="NormalTok"/>
        </w:rPr>
        <w:t xml:space="preserve">dados.ts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(dados.base, dados)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VL_FOB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KG_LIQUIDO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dados.ts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(dados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(VL_FOB, KG_LIQUIDO, PRECO, PART),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investigando-a-existencia-de-sazonalidade"/>
      <w:bookmarkEnd w:id="27"/>
      <w:r>
        <w:t xml:space="preserve">Investigando a existência de sazonalidade</w:t>
      </w:r>
    </w:p>
    <w:p>
      <w:pPr>
        <w:pStyle w:val="SourceCode"/>
      </w:pPr>
      <w:r>
        <w:rPr>
          <w:rStyle w:val="KeywordTok"/>
        </w:rPr>
        <w:t xml:space="preserve">ggmonthplot</w:t>
      </w:r>
      <w:r>
        <w:rPr>
          <w:rStyle w:val="NormalTok"/>
        </w:rPr>
        <w:t xml:space="preserve">(dados.ts[,</w:t>
      </w:r>
      <w:r>
        <w:rPr>
          <w:rStyle w:val="StringTok"/>
        </w:rPr>
        <w:t xml:space="preserve">"KG_LIQUIDO"</w:t>
      </w:r>
      <w:r>
        <w:rPr>
          <w:rStyle w:val="NormalTok"/>
        </w:rPr>
        <w:t xml:space="preserve">]/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 Exportado "</w:t>
      </w:r>
      <w:r>
        <w:rPr>
          <w:rStyle w:val="NormalTok"/>
        </w:rPr>
        <w:t xml:space="preserve">, params$prod),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MDIC."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theme_fivethirtyeight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htm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abela-interativa"/>
      <w:bookmarkEnd w:id="29"/>
      <w:r>
        <w:t xml:space="preserve">Tabela interativa</w:t>
      </w:r>
    </w:p>
    <w:p>
      <w:pPr>
        <w:pStyle w:val="SourceCode"/>
      </w:pP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jsonlite::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"https://cdn.datatables.net/plug-ins/1.10.12/i18n/Portuguese-Brasil.json"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pt$buttons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'Copiar'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'print'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'Imprimir'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(dados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KG_LIQUIDO/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(-NO_FAT_AGREG, -CO_FAT_AGREG, -DATA,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-KG_LIQUIDO),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extensions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'ColReorder'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columnDefs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'dt-center'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colReorder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"Mês"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"Codigo PPE"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FOB"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"Preço"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"Participação"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"Toneladas"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'stripe hover'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formatCurrency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"VL_FOB"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"US$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formatCurrency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currency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formatCurrency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currency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before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034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_htm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0af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www.mdic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www.mdic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Exportações de Minérios de ferro e seus concentrados</dc:title>
  <dc:creator>MDIC</dc:creator>
  <dcterms:created xsi:type="dcterms:W3CDTF">2016-11-10T00:04:59Z</dcterms:created>
  <dcterms:modified xsi:type="dcterms:W3CDTF">2016-11-10T00:04:59Z</dcterms:modified>
</cp:coreProperties>
</file>