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 w:line="300" w:lineRule="auto"/>
        <w:jc w:val="center"/>
      </w:pPr>
      <w:r>
        <w:rPr>
          <w:rFonts w:ascii="Calibri" w:hAnsi="Calibri" w:eastAsia="黑体"/>
          <w:b/>
          <w:bCs/>
          <w:sz w:val="32"/>
          <w:szCs w:val="32"/>
        </w:rPr>
        <w:t xml:space="preserve">第14组「4+n」团队 Sprint 2 自评报告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项目概况：爱教学——教学质量全链路数字化管理平台；本轮（实验三）为第 2 个 Sprint，在 Sprint 1 已交付的课程查询与课堂评价代码基线上做增量集成，交付「督导复核定版 → 正式报告 → 教师行动建议与实践尝试」链路。本轮 DRI：</w:t>
      </w:r>
      <w:r>
        <w:rPr>
          <w:rFonts w:ascii="Calibri" w:hAnsi="Calibri" w:eastAsia="宋体"/>
          <w:b/>
          <w:bCs/>
          <w:sz w:val="21"/>
          <w:szCs w:val="21"/>
        </w:rPr>
        <w:t xml:space="preserve">秦嘉琪</w:t>
      </w:r>
      <w:r>
        <w:rPr>
          <w:rFonts w:ascii="Calibri" w:hAnsi="Calibri" w:eastAsia="宋体"/>
          <w:sz w:val="21"/>
          <w:szCs w:val="21"/>
        </w:rPr>
        <w:t xml:space="preserve">（兼任 PO／Scrum Master）。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五维自评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800"/>
      </w:tblGrid>
      <w:tblGrid>
        <w:gridCol w:w="1800"/>
      </w:tblGrid>
      <w:tblGrid>
        <w:gridCol w:w="1800"/>
      </w:tblGrid>
      <w:tblGrid>
        <w:gridCol w:w="1800"/>
      </w:tblGrid>
      <w:tblGrid>
        <w:gridCol w:w="1800"/>
      </w:tblGrid>
      <w:tr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自评要点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主要证据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不足与改进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范围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执行地图 Sprint 2 泳道的 14 条故事；未纳入 Sprint 1 顺延故事（待 PO 确认）；集成范围已明确为 5 个集成点（片段目录、报告服务、评价提交、教师行动状态机、AI 行动建议）；无范围蔓延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【优／良／中／待改进】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计划会纪要表4-A/4-B；评审纪要「已完成/未完成故事」清单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最新版地图无 Story ID 与 MoSCoW，编号待固化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进度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速率与 Sprint 1 对比；燃尽曲线是否平稳；估算偏差与原因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【待评】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附表一燃尽数据、附表二速率统计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计划会前缺少 Sprint 1 速率数据，容量假设偏估计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团队与 AI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DRI 机制与分工明确（每故事唯一执行负责人）；Sprint 1 改进措施落实带动协作；四类智能体（编码／测试／代码审查／集成回归）参与；人类审查 diff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【待评】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互动原始记录（表5）；分工与认领表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上轮改进措施原文到位较晚，落实检查一度悬空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质量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升级版 DoD 执行（含集成通过、关键回归通过）；回归测试是否通过、有无破坏旧功能；技术债数量；AI 缺陷是否被发现并修正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【待评】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基线：后端 37 个测试类、转写 21 个测试类、前端 18 个测试文件，随包报告无失败无错误；本轮新增测试与回归报告【待填】；附表三技术债登记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未搭建 CI，回归依赖手工执行脚本，存在遗漏风险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风险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本轮集成／进度／人员／AI 相关风险及应对；下轮需预防什么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【待评】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计划会纪要第五节集成点与回归风险表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非 DRI 人工交叉验收尚未补做，本轮缺正式验收基线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AI 专项评估（DRI 牵头填写）</w:t>
      </w:r>
    </w:p>
    <w:p>
      <w:pPr>
        <w:spacing w:after="120" w:line="300" w:lineRule="auto"/>
      </w:pPr>
      <w:r>
        <w:rPr>
          <w:rFonts w:ascii="Calibri" w:hAnsi="Calibri" w:eastAsia="宋体"/>
          <w:b/>
          <w:bCs/>
          <w:sz w:val="21"/>
          <w:szCs w:val="21"/>
        </w:rPr>
        <w:t xml:space="preserve">① AI 在计划辅助、编码、测试/回归、代码审查各环节表现如何？与 Sprint 1 相比有无进步？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【待填。建议围绕：计划辅助（故事拆解与集成点识别是否可用）、编码（在既有代码基线上改动是否守契约）、测试/回归（能否生成针对既有功能的回归用例）、代码审查（是否识别跨模块接口改动的影响面）四方面给出事实与实例。】</w:t>
      </w:r>
    </w:p>
    <w:p>
      <w:pPr>
        <w:spacing w:after="120" w:line="300" w:lineRule="auto"/>
      </w:pPr>
      <w:r>
        <w:rPr>
          <w:rFonts w:ascii="Calibri" w:hAnsi="Calibri" w:eastAsia="宋体"/>
          <w:b/>
          <w:bCs/>
          <w:sz w:val="21"/>
          <w:szCs w:val="21"/>
        </w:rPr>
        <w:t xml:space="preserve">② AI 在跨模块集成与回归测试中提供了什么价值？哪些集成问题仍须人来判断？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【待填。已识别必须由人判断的事项：接口语义是否变更、越权与可见性边界、空状态与统计口径、「新功能是否破坏旧功能」的最终判定。】</w:t>
      </w:r>
    </w:p>
    <w:p>
      <w:pPr>
        <w:spacing w:after="120" w:line="300" w:lineRule="auto"/>
      </w:pPr>
      <w:r>
        <w:rPr>
          <w:rFonts w:ascii="Calibri" w:hAnsi="Calibri" w:eastAsia="宋体"/>
          <w:b/>
          <w:bCs/>
          <w:sz w:val="21"/>
          <w:szCs w:val="21"/>
        </w:rPr>
        <w:t xml:space="preserve">③ AI 带来了哪些风险（错误代码、回归遗漏、接口幻觉、过度依赖……）？如何应对？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【待填。应对机制已就位：AI 生成代码须人工审查 diff 后合入；回归任务显式写入每张任务卡；回归失败即未达 DoD。】</w:t>
      </w:r>
    </w:p>
    <w:p>
      <w:pPr>
        <w:spacing w:after="120" w:line="300" w:lineRule="auto"/>
      </w:pPr>
      <w:r>
        <w:rPr>
          <w:rFonts w:ascii="Calibri" w:hAnsi="Calibri" w:eastAsia="宋体"/>
          <w:b/>
          <w:bCs/>
          <w:sz w:val="21"/>
          <w:szCs w:val="21"/>
        </w:rPr>
        <w:t xml:space="preserve">④ 用一句话概括团队 Sprint 2 的「人机分工原则」，并说明它相对 Sprint 1 有何升级。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【待填。参考表述：人负责框架化边界、判断集成影响面并对合入负责；AI 负责在既有契约内实现、生成测试与审查建议。】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附表一　燃尽图数据（Sprint 2）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时间点（分钟）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剩余待办（任务数／估算分钟）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已完成（任务数／估算分钟）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偏差说明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0（计划会结束）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14 条 / 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30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60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90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120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150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180（Sprint 结束）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&gt; 说明：本轮为 4 学时教学模拟 Sprint（约 180 分钟），燃尽以 30 分钟为采样点。若团队已生成图形化燃尽图，请附图片路径：【待填】。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附表二　速率统计（Sprint 1 与 Sprint 2 对比）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计划故事数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24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14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地图泳道故事数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达到 DoD 的故事数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速率的直接依据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计划工作量（人·分钟）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实际工作量（人·分钟）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回归用例数／通过数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新增用例 + 既有回归用例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技术债新增条数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见附表三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附表三　技术债登记（Sprint 2）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285"/>
      </w:tblGrid>
      <w:tblGrid>
        <w:gridCol w:w="1285"/>
      </w:tblGrid>
      <w:tblGrid>
        <w:gridCol w:w="1285"/>
      </w:tblGrid>
      <w:tblGrid>
        <w:gridCol w:w="1285"/>
      </w:tblGrid>
      <w:tblGrid>
        <w:gridCol w:w="1285"/>
      </w:tblGrid>
      <w:tblGrid>
        <w:gridCol w:w="1285"/>
      </w:tblGrid>
      <w:tblGrid>
        <w:gridCol w:w="1285"/>
      </w:tblGrid>
      <w:tr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技术债描述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成因（赶工／AI 生成／设计折中）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影响面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偿还计划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责任人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TD-S2-01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未偿还</w:t>
            </w: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TD-S2-02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&gt; 若技术债持续累积而不偿还，将影响 Sprint 3 的片段检索与复盘链路；本轮须至少给出偿还计划与责任人。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撰写：秦嘉琪（DRI 牵头，全员讨论）　　日期：2026-10-11　　版本：v1</w:t>
      </w:r>
    </w:p>
    <w:sectPr>
      <w:pgSz w:w="11906" w:h="16838"/>
      <w:pgMar w:top="1440" w:right="1440" w:bottom="1440" w:left="1440" w:header="720" w:footer="720" w:gutter="0"/>
    </w:sectPr>
  </w:body>
</w:document>
</file>