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0E1B2C"/>
          <w:sz w:val="20"/>
          <w:szCs w:val="20"/>
        </w:rPr>
        <w:t xml:space="preserve">PME CONSULTANCE</w:t>
      </w:r>
    </w:p>
    <w:p>
      <w:pPr>
        <w:spacing w:after="80" w:before="200"/>
      </w:pPr>
      <w:r>
        <w:rPr>
          <w:rFonts w:ascii="Cambria" w:cs="Cambria" w:eastAsia="Cambria" w:hAnsi="Cambria"/>
          <w:b/>
          <w:bCs/>
          <w:color w:val="0E1B2C"/>
          <w:sz w:val="44"/>
          <w:szCs w:val="44"/>
        </w:rPr>
        <w:t xml:space="preserve">Guide d'automatisation</w:t>
      </w:r>
    </w:p>
    <w:p>
      <w:pPr>
        <w:spacing w:after="400"/>
      </w:pPr>
      <w:r>
        <w:rPr>
          <w:rFonts w:ascii="Cambria" w:cs="Cambria" w:eastAsia="Cambria" w:hAnsi="Cambria"/>
          <w:i/>
          <w:iCs/>
          <w:color w:val="B8985A"/>
          <w:sz w:val="26"/>
          <w:szCs w:val="26"/>
        </w:rPr>
        <w:t xml:space="preserve">Envoi automatique du devis commercial par email</w:t>
      </w:r>
    </w:p>
    <w:p>
      <w:pPr>
        <w:spacing w:after="150"/>
      </w:pPr>
      <w:r>
        <w:t xml:space="preserve">Ce guide explique comment activer, sur le site internet pmeconsultance.com, l'envoi automatique par email d'un devis commercial officiel au client, dès qu'un tarif ferme est calculé par le simulateur de devis (page d'accueil et page Indépendants / SCI / LMNP).</w:t>
      </w:r>
    </w:p>
    <w:p>
      <w:pPr>
        <w:pStyle w:val="Heading1"/>
        <w:spacing w:after="200" w:before="400"/>
      </w:pPr>
      <w:r>
        <w:t xml:space="preserve">1. Ce qui est déjà en place côté site internet</w:t>
      </w:r>
    </w:p>
    <w:p>
      <w:pPr>
        <w:spacing w:after="150"/>
      </w:pPr>
      <w:r>
        <w:t xml:space="preserve">Les formulaires suivants envoient déjà, en plus de la notification Formspree existante, un second appel technique (« webhook ») contenant l'ensemble des informations du devis (offre choisie, options, tarifs HT/TVA/TTC, coordonnées du client) :</w:t>
      </w:r>
    </w:p>
    <w:p>
      <w:pPr>
        <w:pStyle w:val="ListParagraph"/>
        <w:numPr>
          <w:ilvl w:val="0"/>
          <w:numId w:val="1"/>
        </w:numPr>
        <w:spacing w:after="80"/>
      </w:pPr>
      <w:r>
        <w:t xml:space="preserve">Page d'accueil (index.html) — simulateur des 4 packs génériques</w:t>
      </w:r>
    </w:p>
    <w:p>
      <w:pPr>
        <w:pStyle w:val="ListParagraph"/>
        <w:numPr>
          <w:ilvl w:val="0"/>
          <w:numId w:val="1"/>
        </w:numPr>
        <w:spacing w:after="80"/>
      </w:pPr>
      <w:r>
        <w:t xml:space="preserve">Page Indépendants / SCI / LMNP (independants-sci-lmnp.html) — simulateur des 3 packs dédiés</w:t>
      </w:r>
    </w:p>
    <w:p>
      <w:pPr>
        <w:spacing w:after="150"/>
      </w:pPr>
      <w:r>
        <w:t xml:space="preserve">Ce second appel est actuellement configuré avec une adresse provisoire (VOTRE_URL_WEBHOOK_MAKE) dans le code source de ces deux pages, repérable par le commentaire :</w:t>
      </w:r>
    </w:p>
    <w:p>
      <w:pPr>
        <w:shd w:fill="F5F1E8" w:val="clear"/>
        <w:spacing w:after="80"/>
      </w:pPr>
      <w:r>
        <w:rPr>
          <w:rFonts w:ascii="Courier New" w:cs="Courier New" w:eastAsia="Courier New" w:hAnsi="Courier New"/>
          <w:color w:val="0E1B2C"/>
          <w:sz w:val="19"/>
          <w:szCs w:val="19"/>
        </w:rPr>
        <w:t xml:space="preserve">/* ⚠️ À remplacer par l'URL de webhook Make.com ... */</w:t>
      </w:r>
    </w:p>
    <w:p>
      <w:pPr>
        <w:spacing w:after="150"/>
      </w:pPr>
      <w:r>
        <w:t xml:space="preserve">Une fois votre scénario Make.com créé (étape 3), il suffit de remplacer cette valeur par l'URL réelle fournie par Make, exactement comme vous l'avez fait pour les identifiants Formspree (voir le guide de mise en ligne OVH).</w:t>
      </w:r>
    </w:p>
    <w:p>
      <w:pPr>
        <w:spacing w:after="150"/>
      </w:pPr>
      <w:r>
        <w:rPr>
          <w:i/>
          <w:iCs/>
          <w:color w:val="5C5C5C"/>
        </w:rPr>
        <w:t xml:space="preserve">Important — pages non concernées : la page « Offre PME/ETI » et la page « Facturation Électronique » ne calculent pas de tarif ferme (le prix dépend d'un diagnostic humain). Leurs demandes restent traitées manuellement par vos soins, avec l'envoi du devis sous 24h comme annoncé sur le site.</w:t>
      </w:r>
    </w:p>
    <w:p>
      <w:pPr>
        <w:pStyle w:val="Heading1"/>
        <w:spacing w:after="200" w:before="400"/>
      </w:pPr>
      <w:r>
        <w:t xml:space="preserve">2. Vue d'ensemble du scénario Make.com</w:t>
      </w:r>
    </w:p>
    <w:p>
      <w:pPr>
        <w:spacing w:after="150"/>
      </w:pPr>
      <w:r>
        <w:t xml:space="preserve">Make.com (anciennement Integromat) est un outil d'automatisation sans code. Son offre gratuite autorise les scénarios à plusieurs étapes (contrairement à l'offre gratuite de Zapier, limitée à une seule étape), ce qui la rend adaptée à ce besoin. Le scénario à construire comporte 4 étapes :</w:t>
      </w:r>
    </w:p>
    <w:p>
      <w:pPr>
        <w:pStyle w:val="ListParagraph"/>
        <w:numPr>
          <w:ilvl w:val="0"/>
          <w:numId w:val="1"/>
        </w:numPr>
        <w:spacing w:after="80"/>
      </w:pPr>
      <w:r>
        <w:t xml:space="preserve">1. Webhook — réceptionne les données envoyées par le site à chaque devis calculé</w:t>
      </w:r>
    </w:p>
    <w:p>
      <w:pPr>
        <w:pStyle w:val="ListParagraph"/>
        <w:numPr>
          <w:ilvl w:val="0"/>
          <w:numId w:val="1"/>
        </w:numPr>
        <w:spacing w:after="80"/>
      </w:pPr>
      <w:r>
        <w:t xml:space="preserve">2. Google Docs — crée un exemplaire du modèle de devis, en remplaçant les balises par les données reçues</w:t>
      </w:r>
    </w:p>
    <w:p>
      <w:pPr>
        <w:pStyle w:val="ListParagraph"/>
        <w:numPr>
          <w:ilvl w:val="0"/>
          <w:numId w:val="1"/>
        </w:numPr>
        <w:spacing w:after="80"/>
      </w:pPr>
      <w:r>
        <w:t xml:space="preserve">3. Google Drive — exporte ce document au format PDF</w:t>
      </w:r>
    </w:p>
    <w:p>
      <w:pPr>
        <w:pStyle w:val="ListParagraph"/>
        <w:numPr>
          <w:ilvl w:val="0"/>
          <w:numId w:val="1"/>
        </w:numPr>
        <w:spacing w:after="80"/>
      </w:pPr>
      <w:r>
        <w:t xml:space="preserve">4. Gmail — envoie le PDF par email au client, en copie au cabinet</w:t>
      </w:r>
    </w:p>
    <w:p>
      <w:pPr>
        <w:pStyle w:val="Heading1"/>
        <w:spacing w:after="200" w:before="400"/>
      </w:pPr>
      <w:r>
        <w:t xml:space="preserve">3. Mise en place, étape par étape</w:t>
      </w:r>
    </w:p>
    <w:p>
      <w:pPr>
        <w:pStyle w:val="Heading2"/>
        <w:spacing w:after="150" w:before="300"/>
      </w:pPr>
      <w:r>
        <w:t xml:space="preserve">3.1 Créer un compte Make.com</w:t>
      </w:r>
    </w:p>
    <w:p>
      <w:pPr>
        <w:spacing w:after="150"/>
      </w:pPr>
      <w:r>
        <w:t xml:space="preserve">Rendez-vous sur make.com, créez un compte gratuit avec votre adresse pmeconsultance@gmail.com, puis créez un nouveau scénario (« Create a new scenario »).</w:t>
      </w:r>
    </w:p>
    <w:p>
      <w:pPr>
        <w:pStyle w:val="Heading2"/>
        <w:spacing w:after="150" w:before="300"/>
      </w:pPr>
      <w:r>
        <w:t xml:space="preserve">3.2 Ajouter le déclencheur Webhook</w:t>
      </w:r>
    </w:p>
    <w:p>
      <w:pPr>
        <w:spacing w:after="150"/>
      </w:pPr>
      <w:r>
        <w:t xml:space="preserve">Ajoutez le premier module : « Webhooks » → « Custom webhook ». Nommez-le (ex. « Devis site internet »). Make génère alors une URL unique : copiez-la, elle sera utilisée à l'étape 3.3.</w:t>
      </w:r>
    </w:p>
    <w:p>
      <w:pPr>
        <w:pStyle w:val="Heading2"/>
        <w:spacing w:after="150" w:before="300"/>
      </w:pPr>
      <w:r>
        <w:t xml:space="preserve">3.3 Connecter le site internet au webhook</w:t>
      </w:r>
    </w:p>
    <w:p>
      <w:pPr>
        <w:spacing w:after="150"/>
      </w:pPr>
      <w:r>
        <w:t xml:space="preserve">Dans les fichiers index.html et independants-sci-lmnp.html, remplacez la valeur VOTRE_URL_WEBHOOK_MAKE par l'URL copiée à l'étape précédente (chaque page a sa propre ligne à modifier, identifiée par le commentaire ⚠️). Enregistrez et republiez le site sur OVH.</w:t>
      </w:r>
    </w:p>
    <w:p>
      <w:pPr>
        <w:pStyle w:val="Heading2"/>
        <w:spacing w:after="150" w:before="300"/>
      </w:pPr>
      <w:r>
        <w:t xml:space="preserve">3.4 Préparer le modèle de devis sur Google Drive</w:t>
      </w:r>
    </w:p>
    <w:p>
      <w:pPr>
        <w:spacing w:after="150"/>
      </w:pPr>
      <w:r>
        <w:t xml:space="preserve">Le fichier joint « PME_CONSULTANCE_Template_Devis_Commercial_FUSION-MAKE.docx » reprend exactement la mise en forme de votre modèle de devis commercial, avec des balises {{...}} à la place des champs variables. Importez-le dans votre Google Drive, puis ouvrez-le avec Google Docs (clic droit → Ouvrir avec → Google Docs). Conservez-le tel quel : c'est le modèle que Make va dupliquer et remplir à chaque devis.</w:t>
      </w:r>
    </w:p>
    <w:p>
      <w:pPr>
        <w:pStyle w:val="Heading2"/>
        <w:spacing w:after="150" w:before="300"/>
      </w:pPr>
      <w:r>
        <w:t xml:space="preserve">3.5 Ajouter le module « Créer un document depuis un modèle »</w:t>
      </w:r>
    </w:p>
    <w:p>
      <w:pPr>
        <w:spacing w:after="150"/>
      </w:pPr>
      <w:r>
        <w:t xml:space="preserve">Ajoutez le module « Google Docs » → « Create a Document from a Template ». Connectez votre compte Google (pmeconsultance@gmail.com), puis sélectionnez le modèle créé à l'étape 3.4. Pour chaque balise proposée par Make, indiquez la donnée du webhook à utiliser, selon le tableau de correspondance ci-dessous (section 4).</w:t>
      </w:r>
    </w:p>
    <w:p>
      <w:pPr>
        <w:pStyle w:val="Heading2"/>
        <w:spacing w:after="150" w:before="300"/>
      </w:pPr>
      <w:r>
        <w:t xml:space="preserve">3.6 Ajouter l'export en PDF</w:t>
      </w:r>
    </w:p>
    <w:p>
      <w:pPr>
        <w:spacing w:after="150"/>
      </w:pPr>
      <w:r>
        <w:t xml:space="preserve">Ajoutez le module « Google Drive » → « Export a file » (ou « Convert a document »), en sélectionnant le document généré à l'étape précédente et le format de sortie PDF.</w:t>
      </w:r>
    </w:p>
    <w:p>
      <w:pPr>
        <w:pStyle w:val="Heading2"/>
        <w:spacing w:after="150" w:before="300"/>
      </w:pPr>
      <w:r>
        <w:t xml:space="preserve">3.7 Ajouter l'envoi de l'email</w:t>
      </w:r>
    </w:p>
    <w:p>
      <w:pPr>
        <w:spacing w:after="150"/>
      </w:pPr>
      <w:r>
        <w:t xml:space="preserve">Ajoutez le module « Gmail » → « Send an Email », avec :</w:t>
      </w:r>
    </w:p>
    <w:p>
      <w:pPr>
        <w:pStyle w:val="ListParagraph"/>
        <w:numPr>
          <w:ilvl w:val="0"/>
          <w:numId w:val="1"/>
        </w:numPr>
        <w:spacing w:after="80"/>
      </w:pPr>
      <w:r>
        <w:t xml:space="preserve">Destinataire : le champ email reçu du webhook</w:t>
      </w:r>
    </w:p>
    <w:p>
      <w:pPr>
        <w:pStyle w:val="ListParagraph"/>
        <w:numPr>
          <w:ilvl w:val="0"/>
          <w:numId w:val="1"/>
        </w:numPr>
        <w:spacing w:after="80"/>
      </w:pPr>
      <w:r>
        <w:t xml:space="preserve">Copie (Cc) : pmeconsultance@gmail.com (supervision systématique de chaque envoi)</w:t>
      </w:r>
    </w:p>
    <w:p>
      <w:pPr>
        <w:pStyle w:val="ListParagraph"/>
        <w:numPr>
          <w:ilvl w:val="0"/>
          <w:numId w:val="1"/>
        </w:numPr>
        <w:spacing w:after="80"/>
      </w:pPr>
      <w:r>
        <w:t xml:space="preserve">Objet : « Votre devis PME CONSULTANCE — » suivi du champ offre</w:t>
      </w:r>
    </w:p>
    <w:p>
      <w:pPr>
        <w:pStyle w:val="ListParagraph"/>
        <w:numPr>
          <w:ilvl w:val="0"/>
          <w:numId w:val="1"/>
        </w:numPr>
        <w:spacing w:after="80"/>
      </w:pPr>
      <w:r>
        <w:t xml:space="preserve">Pièce jointe : le PDF généré à l'étape 3.6</w:t>
      </w:r>
    </w:p>
    <w:p>
      <w:pPr>
        <w:pStyle w:val="ListParagraph"/>
        <w:numPr>
          <w:ilvl w:val="0"/>
          <w:numId w:val="1"/>
        </w:numPr>
        <w:spacing w:after="80"/>
      </w:pPr>
      <w:r>
        <w:t xml:space="preserve">Corps du message : un texte court confirmant l'envoi du devis en pièce jointe, avec vos coordonnées et la mention que ce devis vaut lettre de mission provisoire (déjà présente sur le document lui-même)</w:t>
      </w:r>
    </w:p>
    <w:p>
      <w:pPr>
        <w:pStyle w:val="Heading2"/>
        <w:spacing w:after="150" w:before="300"/>
      </w:pPr>
      <w:r>
        <w:t xml:space="preserve">3.8 Activer et tester</w:t>
      </w:r>
    </w:p>
    <w:p>
      <w:pPr>
        <w:spacing w:after="150"/>
      </w:pPr>
      <w:r>
        <w:t xml:space="preserve">Activez le scénario (bouton ON en bas à gauche de l'interface Make), puis testez-le en remplissant vous-même le simulateur de devis sur le site, avec une adresse email que vous contrôlez. Vérifiez la bonne réception du PDF avant d'considérer l'automatisation opérationnelle.</w:t>
      </w:r>
    </w:p>
    <w:p>
      <w:pPr>
        <w:pStyle w:val="Heading1"/>
        <w:spacing w:after="200" w:before="400"/>
      </w:pPr>
      <w:r>
        <w:t xml:space="preserve">4. Tableau de correspondance des champs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shd w:fill="0E1B2C" w:val="clear"/>
          </w:tcPr>
          <w:p>
            <w:r>
              <w:rPr>
                <w:b/>
                <w:bCs/>
                <w:color w:val="FFFFFF"/>
                <w:sz w:val="20"/>
                <w:szCs w:val="20"/>
              </w:rPr>
              <w:t xml:space="preserve">Balise du modèle</w:t>
            </w:r>
          </w:p>
        </w:tc>
        <w:tc>
          <w:tcPr>
            <w:tcW w:type="dxa" w:w="2200"/>
            <w:shd w:fill="0E1B2C" w:val="clear"/>
          </w:tcPr>
          <w:p>
            <w:r>
              <w:rPr>
                <w:b/>
                <w:bCs/>
                <w:color w:val="FFFFFF"/>
                <w:sz w:val="20"/>
                <w:szCs w:val="20"/>
              </w:rPr>
              <w:t xml:space="preserve">Donnée source</w:t>
            </w:r>
          </w:p>
        </w:tc>
        <w:tc>
          <w:tcPr>
            <w:tcW w:type="dxa" w:w="4600"/>
            <w:shd w:fill="0E1B2C" w:val="clear"/>
          </w:tcPr>
          <w:p>
            <w:r>
              <w:rPr>
                <w:b/>
                <w:bCs/>
                <w:color w:val="FFFFFF"/>
                <w:sz w:val="20"/>
                <w:szCs w:val="20"/>
              </w:rPr>
              <w:t xml:space="preserve">Remarque</w:t>
            </w:r>
          </w:p>
        </w:tc>
      </w:tr>
      <w:tr>
        <w:tc>
          <w:tcPr>
            <w:tcW w:type="dxa" w:w="3200"/>
          </w:tcPr>
          <w:p>
            <w:r>
              <w:rPr>
                <w:b w:val="false"/>
                <w:bCs w:val="false"/>
                <w:color w:val="1A1A1A"/>
                <w:sz w:val="20"/>
                <w:szCs w:val="20"/>
              </w:rPr>
              <w:t xml:space="preserve">{{client_nom}}</w:t>
            </w:r>
          </w:p>
        </w:tc>
        <w:tc>
          <w:tcPr>
            <w:tcW w:type="dxa" w:w="2200"/>
          </w:tcPr>
          <w:p>
            <w:r>
              <w:rPr>
                <w:b w:val="false"/>
                <w:bCs w:val="false"/>
                <w:color w:val="1A1A1A"/>
                <w:sz w:val="20"/>
                <w:szCs w:val="20"/>
              </w:rPr>
              <w:t xml:space="preserve">entreprise</w:t>
            </w:r>
          </w:p>
        </w:tc>
        <w:tc>
          <w:tcPr>
            <w:tcW w:type="dxa" w:w="4600"/>
          </w:tcPr>
          <w:p>
            <w:r>
              <w:rPr>
                <w:b w:val="false"/>
                <w:bCs w:val="false"/>
                <w:color w:val="1A1A1A"/>
                <w:sz w:val="20"/>
                <w:szCs w:val="20"/>
              </w:rPr>
              <w:t xml:space="preserve">Si vide, utiliser prenom + nom (client particulier)</w:t>
            </w:r>
          </w:p>
        </w:tc>
      </w:tr>
      <w:tr>
        <w:tc>
          <w:tcPr>
            <w:tcW w:type="dxa" w:w="3200"/>
          </w:tcPr>
          <w:p>
            <w:r>
              <w:rPr>
                <w:b w:val="false"/>
                <w:bCs w:val="false"/>
                <w:color w:val="1A1A1A"/>
                <w:sz w:val="20"/>
                <w:szCs w:val="20"/>
              </w:rPr>
              <w:t xml:space="preserve">{{client_adresse}}</w:t>
            </w:r>
          </w:p>
        </w:tc>
        <w:tc>
          <w:tcPr>
            <w:tcW w:type="dxa" w:w="2200"/>
          </w:tcPr>
          <w:p>
            <w:r>
              <w:rPr>
                <w:b w:val="false"/>
                <w:bCs w:val="false"/>
                <w:color w:val="1A1A1A"/>
                <w:sz w:val="20"/>
                <w:szCs w:val="20"/>
              </w:rPr>
              <w:t xml:space="preserve">— (non collecté)</w:t>
            </w:r>
          </w:p>
        </w:tc>
        <w:tc>
          <w:tcPr>
            <w:tcW w:type="dxa" w:w="4600"/>
          </w:tcPr>
          <w:p>
            <w:r>
              <w:rPr>
                <w:b w:val="false"/>
                <w:bCs w:val="false"/>
                <w:color w:val="1A1A1A"/>
                <w:sz w:val="20"/>
                <w:szCs w:val="20"/>
              </w:rPr>
              <w:t xml:space="preserve">À compléter manuellement par le cabinet avant envoi définitif</w:t>
            </w:r>
          </w:p>
        </w:tc>
      </w:tr>
      <w:tr>
        <w:tc>
          <w:tcPr>
            <w:tcW w:type="dxa" w:w="3200"/>
          </w:tcPr>
          <w:p>
            <w:r>
              <w:rPr>
                <w:b w:val="false"/>
                <w:bCs w:val="false"/>
                <w:color w:val="1A1A1A"/>
                <w:sz w:val="20"/>
                <w:szCs w:val="20"/>
              </w:rPr>
              <w:t xml:space="preserve">{{client_siren}}</w:t>
            </w:r>
          </w:p>
        </w:tc>
        <w:tc>
          <w:tcPr>
            <w:tcW w:type="dxa" w:w="2200"/>
          </w:tcPr>
          <w:p>
            <w:r>
              <w:rPr>
                <w:b w:val="false"/>
                <w:bCs w:val="false"/>
                <w:color w:val="1A1A1A"/>
                <w:sz w:val="20"/>
                <w:szCs w:val="20"/>
              </w:rPr>
              <w:t xml:space="preserve">— (non collecté)</w:t>
            </w:r>
          </w:p>
        </w:tc>
        <w:tc>
          <w:tcPr>
            <w:tcW w:type="dxa" w:w="4600"/>
          </w:tcPr>
          <w:p>
            <w:r>
              <w:rPr>
                <w:b w:val="false"/>
                <w:bCs w:val="false"/>
                <w:color w:val="1A1A1A"/>
                <w:sz w:val="20"/>
                <w:szCs w:val="20"/>
              </w:rPr>
              <w:t xml:space="preserve">Laissé vide : rarement connu à ce stade du prospect</w:t>
            </w:r>
          </w:p>
        </w:tc>
      </w:tr>
      <w:tr>
        <w:tc>
          <w:tcPr>
            <w:tcW w:type="dxa" w:w="3200"/>
          </w:tcPr>
          <w:p>
            <w:r>
              <w:rPr>
                <w:b w:val="false"/>
                <w:bCs w:val="false"/>
                <w:color w:val="1A1A1A"/>
                <w:sz w:val="20"/>
                <w:szCs w:val="20"/>
              </w:rPr>
              <w:t xml:space="preserve">{{client_interlocuteur}}</w:t>
            </w:r>
          </w:p>
        </w:tc>
        <w:tc>
          <w:tcPr>
            <w:tcW w:type="dxa" w:w="2200"/>
          </w:tcPr>
          <w:p>
            <w:r>
              <w:rPr>
                <w:b w:val="false"/>
                <w:bCs w:val="false"/>
                <w:color w:val="1A1A1A"/>
                <w:sz w:val="20"/>
                <w:szCs w:val="20"/>
              </w:rPr>
              <w:t xml:space="preserve">prenom + nom</w:t>
            </w:r>
          </w:p>
        </w:tc>
        <w:tc>
          <w:tcPr>
            <w:tcW w:type="dxa" w:w="4600"/>
          </w:tcPr>
          <w:p>
            <w:r>
              <w:rPr>
                <w:b w:val="false"/>
                <w:bCs w:val="false"/>
                <w:color w:val="1A1A1A"/>
                <w:sz w:val="20"/>
                <w:szCs w:val="20"/>
              </w:rPr>
              <w:t xml:space="preserve">Concaténation dans Make (fonction texte)</w:t>
            </w:r>
          </w:p>
        </w:tc>
      </w:tr>
      <w:tr>
        <w:tc>
          <w:tcPr>
            <w:tcW w:type="dxa" w:w="3200"/>
          </w:tcPr>
          <w:p>
            <w:r>
              <w:rPr>
                <w:b w:val="false"/>
                <w:bCs w:val="false"/>
                <w:color w:val="1A1A1A"/>
                <w:sz w:val="20"/>
                <w:szCs w:val="20"/>
              </w:rPr>
              <w:t xml:space="preserve">{{devis_numero}}</w:t>
            </w:r>
          </w:p>
        </w:tc>
        <w:tc>
          <w:tcPr>
            <w:tcW w:type="dxa" w:w="2200"/>
          </w:tcPr>
          <w:p>
            <w:r>
              <w:rPr>
                <w:b w:val="false"/>
                <w:bCs w:val="false"/>
                <w:color w:val="1A1A1A"/>
                <w:sz w:val="20"/>
                <w:szCs w:val="20"/>
              </w:rPr>
              <w:t xml:space="preserve">généré par Make</w:t>
            </w:r>
          </w:p>
        </w:tc>
        <w:tc>
          <w:tcPr>
            <w:tcW w:type="dxa" w:w="4600"/>
          </w:tcPr>
          <w:p>
            <w:r>
              <w:rPr>
                <w:b w:val="false"/>
                <w:bCs w:val="false"/>
                <w:color w:val="1A1A1A"/>
                <w:sz w:val="20"/>
                <w:szCs w:val="20"/>
              </w:rPr>
              <w:t xml:space="preserve">Ex. formatDate(now;"YYYYMM") + n° d'exécution du scénario</w:t>
            </w:r>
          </w:p>
        </w:tc>
      </w:tr>
      <w:tr>
        <w:tc>
          <w:tcPr>
            <w:tcW w:type="dxa" w:w="3200"/>
          </w:tcPr>
          <w:p>
            <w:r>
              <w:rPr>
                <w:b w:val="false"/>
                <w:bCs w:val="false"/>
                <w:color w:val="1A1A1A"/>
                <w:sz w:val="20"/>
                <w:szCs w:val="20"/>
              </w:rPr>
              <w:t xml:space="preserve">{{devis_date}}</w:t>
            </w:r>
          </w:p>
        </w:tc>
        <w:tc>
          <w:tcPr>
            <w:tcW w:type="dxa" w:w="2200"/>
          </w:tcPr>
          <w:p>
            <w:r>
              <w:rPr>
                <w:b w:val="false"/>
                <w:bCs w:val="false"/>
                <w:color w:val="1A1A1A"/>
                <w:sz w:val="20"/>
                <w:szCs w:val="20"/>
              </w:rPr>
              <w:t xml:space="preserve">généré par Make</w:t>
            </w:r>
          </w:p>
        </w:tc>
        <w:tc>
          <w:tcPr>
            <w:tcW w:type="dxa" w:w="4600"/>
          </w:tcPr>
          <w:p>
            <w:r>
              <w:rPr>
                <w:b w:val="false"/>
                <w:bCs w:val="false"/>
                <w:color w:val="1A1A1A"/>
                <w:sz w:val="20"/>
                <w:szCs w:val="20"/>
              </w:rPr>
              <w:t xml:space="preserve">formatDate(now;"D MMMM YYYY")</w:t>
            </w:r>
          </w:p>
        </w:tc>
      </w:tr>
      <w:tr>
        <w:tc>
          <w:tcPr>
            <w:tcW w:type="dxa" w:w="3200"/>
          </w:tcPr>
          <w:p>
            <w:r>
              <w:rPr>
                <w:b w:val="false"/>
                <w:bCs w:val="false"/>
                <w:color w:val="1A1A1A"/>
                <w:sz w:val="20"/>
                <w:szCs w:val="20"/>
              </w:rPr>
              <w:t xml:space="preserve">{{devis_validite}}</w:t>
            </w:r>
          </w:p>
        </w:tc>
        <w:tc>
          <w:tcPr>
            <w:tcW w:type="dxa" w:w="2200"/>
          </w:tcPr>
          <w:p>
            <w:r>
              <w:rPr>
                <w:b w:val="false"/>
                <w:bCs w:val="false"/>
                <w:color w:val="1A1A1A"/>
                <w:sz w:val="20"/>
                <w:szCs w:val="20"/>
              </w:rPr>
              <w:t xml:space="preserve">généré par Make</w:t>
            </w:r>
          </w:p>
        </w:tc>
        <w:tc>
          <w:tcPr>
            <w:tcW w:type="dxa" w:w="4600"/>
          </w:tcPr>
          <w:p>
            <w:r>
              <w:rPr>
                <w:b w:val="false"/>
                <w:bCs w:val="false"/>
                <w:color w:val="1A1A1A"/>
                <w:sz w:val="20"/>
                <w:szCs w:val="20"/>
              </w:rPr>
              <w:t xml:space="preserve">formatDate(addDays(now;30);"D MMMM YYYY")</w:t>
            </w:r>
          </w:p>
        </w:tc>
      </w:tr>
      <w:tr>
        <w:tc>
          <w:tcPr>
            <w:tcW w:type="dxa" w:w="3200"/>
          </w:tcPr>
          <w:p>
            <w:r>
              <w:rPr>
                <w:b w:val="false"/>
                <w:bCs w:val="false"/>
                <w:color w:val="1A1A1A"/>
                <w:sz w:val="20"/>
                <w:szCs w:val="20"/>
              </w:rPr>
              <w:t xml:space="preserve">{{objet_mission}}</w:t>
            </w:r>
          </w:p>
        </w:tc>
        <w:tc>
          <w:tcPr>
            <w:tcW w:type="dxa" w:w="2200"/>
          </w:tcPr>
          <w:p>
            <w:r>
              <w:rPr>
                <w:b w:val="false"/>
                <w:bCs w:val="false"/>
                <w:color w:val="1A1A1A"/>
                <w:sz w:val="20"/>
                <w:szCs w:val="20"/>
              </w:rPr>
              <w:t xml:space="preserve">offre</w:t>
            </w:r>
          </w:p>
        </w:tc>
        <w:tc>
          <w:tcPr>
            <w:tcW w:type="dxa" w:w="4600"/>
          </w:tcPr>
          <w:p>
            <w:r>
              <w:rPr>
                <w:b w:val="false"/>
                <w:bCs w:val="false"/>
                <w:color w:val="1A1A1A"/>
                <w:sz w:val="20"/>
                <w:szCs w:val="20"/>
              </w:rPr>
              <w:t xml:space="preserve">Ex. "Mission d'accompagnement comptable — " + offre</w:t>
            </w:r>
          </w:p>
        </w:tc>
      </w:tr>
      <w:tr>
        <w:tc>
          <w:tcPr>
            <w:tcW w:type="dxa" w:w="3200"/>
          </w:tcPr>
          <w:p>
            <w:r>
              <w:rPr>
                <w:b w:val="false"/>
                <w:bCs w:val="false"/>
                <w:color w:val="1A1A1A"/>
                <w:sz w:val="20"/>
                <w:szCs w:val="20"/>
              </w:rPr>
              <w:t xml:space="preserve">{{ligne1_designation}}</w:t>
            </w:r>
          </w:p>
        </w:tc>
        <w:tc>
          <w:tcPr>
            <w:tcW w:type="dxa" w:w="2200"/>
          </w:tcPr>
          <w:p>
            <w:r>
              <w:rPr>
                <w:b w:val="false"/>
                <w:bCs w:val="false"/>
                <w:color w:val="1A1A1A"/>
                <w:sz w:val="20"/>
                <w:szCs w:val="20"/>
              </w:rPr>
              <w:t xml:space="preserve">offre / designation_prestation</w:t>
            </w:r>
          </w:p>
        </w:tc>
        <w:tc>
          <w:tcPr>
            <w:tcW w:type="dxa" w:w="4600"/>
          </w:tcPr>
          <w:p>
            <w:r>
              <w:rPr>
                <w:b w:val="false"/>
                <w:bCs w:val="false"/>
                <w:color w:val="1A1A1A"/>
                <w:sz w:val="20"/>
                <w:szCs w:val="20"/>
              </w:rPr>
              <w:t xml:space="preserve">Le libellé du pack tel qu'affiché sur le site</w:t>
            </w:r>
          </w:p>
        </w:tc>
      </w:tr>
      <w:tr>
        <w:tc>
          <w:tcPr>
            <w:tcW w:type="dxa" w:w="3200"/>
          </w:tcPr>
          <w:p>
            <w:r>
              <w:rPr>
                <w:b w:val="false"/>
                <w:bCs w:val="false"/>
                <w:color w:val="1A1A1A"/>
                <w:sz w:val="20"/>
                <w:szCs w:val="20"/>
              </w:rPr>
              <w:t xml:space="preserve">{{ligne1_qte}}</w:t>
            </w:r>
          </w:p>
        </w:tc>
        <w:tc>
          <w:tcPr>
            <w:tcW w:type="dxa" w:w="2200"/>
          </w:tcPr>
          <w:p>
            <w:r>
              <w:rPr>
                <w:b w:val="false"/>
                <w:bCs w:val="false"/>
                <w:color w:val="1A1A1A"/>
                <w:sz w:val="20"/>
                <w:szCs w:val="20"/>
              </w:rPr>
              <w:t xml:space="preserve">fixe : 1</w:t>
            </w:r>
          </w:p>
        </w:tc>
        <w:tc>
          <w:tcPr>
            <w:tcW w:type="dxa" w:w="4600"/>
          </w:tcPr>
          <w:p>
            <w:r>
              <w:rPr>
                <w:b w:val="false"/>
                <w:bCs w:val="false"/>
                <w:color w:val="1A1A1A"/>
                <w:sz w:val="20"/>
                <w:szCs w:val="20"/>
              </w:rPr>
              <w:t xml:space="preserve"/>
            </w:r>
          </w:p>
        </w:tc>
      </w:tr>
      <w:tr>
        <w:tc>
          <w:tcPr>
            <w:tcW w:type="dxa" w:w="3200"/>
          </w:tcPr>
          <w:p>
            <w:r>
              <w:rPr>
                <w:b w:val="false"/>
                <w:bCs w:val="false"/>
                <w:color w:val="1A1A1A"/>
                <w:sz w:val="20"/>
                <w:szCs w:val="20"/>
              </w:rPr>
              <w:t xml:space="preserve">{{ligne1_pu}} / {{ligne1_total}}</w:t>
            </w:r>
          </w:p>
        </w:tc>
        <w:tc>
          <w:tcPr>
            <w:tcW w:type="dxa" w:w="2200"/>
          </w:tcPr>
          <w:p>
            <w:r>
              <w:rPr>
                <w:b w:val="false"/>
                <w:bCs w:val="false"/>
                <w:color w:val="1A1A1A"/>
                <w:sz w:val="20"/>
                <w:szCs w:val="20"/>
              </w:rPr>
              <w:t xml:space="preserve">total_ht (hors option LMNP)</w:t>
            </w:r>
          </w:p>
        </w:tc>
        <w:tc>
          <w:tcPr>
            <w:tcW w:type="dxa" w:w="4600"/>
          </w:tcPr>
          <w:p>
            <w:r>
              <w:rPr>
                <w:b w:val="false"/>
                <w:bCs w:val="false"/>
                <w:color w:val="1A1A1A"/>
                <w:sz w:val="20"/>
                <w:szCs w:val="20"/>
              </w:rPr>
              <w:t xml:space="preserve">Montant de base du pack, avant option</w:t>
            </w:r>
          </w:p>
        </w:tc>
      </w:tr>
      <w:tr>
        <w:tc>
          <w:tcPr>
            <w:tcW w:type="dxa" w:w="3200"/>
          </w:tcPr>
          <w:p>
            <w:r>
              <w:rPr>
                <w:b w:val="false"/>
                <w:bCs w:val="false"/>
                <w:color w:val="1A1A1A"/>
                <w:sz w:val="20"/>
                <w:szCs w:val="20"/>
              </w:rPr>
              <w:t xml:space="preserve">{{ligne2_designation}}</w:t>
            </w:r>
          </w:p>
        </w:tc>
        <w:tc>
          <w:tcPr>
            <w:tcW w:type="dxa" w:w="2200"/>
          </w:tcPr>
          <w:p>
            <w:r>
              <w:rPr>
                <w:b w:val="false"/>
                <w:bCs w:val="false"/>
                <w:color w:val="1A1A1A"/>
                <w:sz w:val="20"/>
                <w:szCs w:val="20"/>
              </w:rPr>
              <w:t xml:space="preserve">"Formalité d'immatriculation LMNP"</w:t>
            </w:r>
          </w:p>
        </w:tc>
        <w:tc>
          <w:tcPr>
            <w:tcW w:type="dxa" w:w="4600"/>
          </w:tcPr>
          <w:p>
            <w:r>
              <w:rPr>
                <w:b w:val="false"/>
                <w:bCs w:val="false"/>
                <w:color w:val="1A1A1A"/>
                <w:sz w:val="20"/>
                <w:szCs w:val="20"/>
              </w:rPr>
              <w:t xml:space="preserve">Uniquement si option_immatriculation_lmnp = "Oui"</w:t>
            </w:r>
          </w:p>
        </w:tc>
      </w:tr>
      <w:tr>
        <w:tc>
          <w:tcPr>
            <w:tcW w:type="dxa" w:w="3200"/>
          </w:tcPr>
          <w:p>
            <w:r>
              <w:rPr>
                <w:b w:val="false"/>
                <w:bCs w:val="false"/>
                <w:color w:val="1A1A1A"/>
                <w:sz w:val="20"/>
                <w:szCs w:val="20"/>
              </w:rPr>
              <w:t xml:space="preserve">{{ligne2_qte}} / {{ligne2_pu}} / {{ligne2_total}}</w:t>
            </w:r>
          </w:p>
        </w:tc>
        <w:tc>
          <w:tcPr>
            <w:tcW w:type="dxa" w:w="2200"/>
          </w:tcPr>
          <w:p>
            <w:r>
              <w:rPr>
                <w:b w:val="false"/>
                <w:bCs w:val="false"/>
                <w:color w:val="1A1A1A"/>
                <w:sz w:val="20"/>
                <w:szCs w:val="20"/>
              </w:rPr>
              <w:t xml:space="preserve">1 / 200 / 200</w:t>
            </w:r>
          </w:p>
        </w:tc>
        <w:tc>
          <w:tcPr>
            <w:tcW w:type="dxa" w:w="4600"/>
          </w:tcPr>
          <w:p>
            <w:r>
              <w:rPr>
                <w:b w:val="false"/>
                <w:bCs w:val="false"/>
                <w:color w:val="1A1A1A"/>
                <w:sz w:val="20"/>
                <w:szCs w:val="20"/>
              </w:rPr>
              <w:t xml:space="preserve">Laissés vides si l'option n'est pas cochée</w:t>
            </w:r>
          </w:p>
        </w:tc>
      </w:tr>
      <w:tr>
        <w:tc>
          <w:tcPr>
            <w:tcW w:type="dxa" w:w="3200"/>
          </w:tcPr>
          <w:p>
            <w:r>
              <w:rPr>
                <w:b w:val="false"/>
                <w:bCs w:val="false"/>
                <w:color w:val="1A1A1A"/>
                <w:sz w:val="20"/>
                <w:szCs w:val="20"/>
              </w:rPr>
              <w:t xml:space="preserve">{{ligne3_*}}</w:t>
            </w:r>
          </w:p>
        </w:tc>
        <w:tc>
          <w:tcPr>
            <w:tcW w:type="dxa" w:w="2200"/>
          </w:tcPr>
          <w:p>
            <w:r>
              <w:rPr>
                <w:b w:val="false"/>
                <w:bCs w:val="false"/>
                <w:color w:val="1A1A1A"/>
                <w:sz w:val="20"/>
                <w:szCs w:val="20"/>
              </w:rPr>
              <w:t xml:space="preserve">— (laissé vide)</w:t>
            </w:r>
          </w:p>
        </w:tc>
        <w:tc>
          <w:tcPr>
            <w:tcW w:type="dxa" w:w="4600"/>
          </w:tcPr>
          <w:p>
            <w:r>
              <w:rPr>
                <w:b w:val="false"/>
                <w:bCs w:val="false"/>
                <w:color w:val="1A1A1A"/>
                <w:sz w:val="20"/>
                <w:szCs w:val="20"/>
              </w:rPr>
              <w:t xml:space="preserve">Ligne libre, à la disposition du cabinet pour un ajustement manuel</w:t>
            </w:r>
          </w:p>
        </w:tc>
      </w:tr>
      <w:tr>
        <w:tc>
          <w:tcPr>
            <w:tcW w:type="dxa" w:w="3200"/>
          </w:tcPr>
          <w:p>
            <w:r>
              <w:rPr>
                <w:b w:val="false"/>
                <w:bCs w:val="false"/>
                <w:color w:val="1A1A1A"/>
                <w:sz w:val="20"/>
                <w:szCs w:val="20"/>
              </w:rPr>
              <w:t xml:space="preserve">{{total_ht}} / {{total_tva}} / {{total_ttc}}</w:t>
            </w:r>
          </w:p>
        </w:tc>
        <w:tc>
          <w:tcPr>
            <w:tcW w:type="dxa" w:w="2200"/>
          </w:tcPr>
          <w:p>
            <w:r>
              <w:rPr>
                <w:b w:val="false"/>
                <w:bCs w:val="false"/>
                <w:color w:val="1A1A1A"/>
                <w:sz w:val="20"/>
                <w:szCs w:val="20"/>
              </w:rPr>
              <w:t xml:space="preserve">total_ht / tva / total_ttc</w:t>
            </w:r>
          </w:p>
        </w:tc>
        <w:tc>
          <w:tcPr>
            <w:tcW w:type="dxa" w:w="4600"/>
          </w:tcPr>
          <w:p>
            <w:r>
              <w:rPr>
                <w:b w:val="false"/>
                <w:bCs w:val="false"/>
                <w:color w:val="1A1A1A"/>
                <w:sz w:val="20"/>
                <w:szCs w:val="20"/>
              </w:rPr>
              <w:t xml:space="preserve">Transmis directement par le site, déjà calculés</w:t>
            </w:r>
          </w:p>
        </w:tc>
      </w:tr>
      <w:tr>
        <w:tc>
          <w:tcPr>
            <w:tcW w:type="dxa" w:w="3200"/>
          </w:tcPr>
          <w:p>
            <w:r>
              <w:rPr>
                <w:b w:val="false"/>
                <w:bCs w:val="false"/>
                <w:color w:val="1A1A1A"/>
                <w:sz w:val="20"/>
                <w:szCs w:val="20"/>
              </w:rPr>
              <w:t xml:space="preserve">{{periodicite}}</w:t>
            </w:r>
          </w:p>
        </w:tc>
        <w:tc>
          <w:tcPr>
            <w:tcW w:type="dxa" w:w="2200"/>
          </w:tcPr>
          <w:p>
            <w:r>
              <w:rPr>
                <w:b w:val="false"/>
                <w:bCs w:val="false"/>
                <w:color w:val="1A1A1A"/>
                <w:sz w:val="20"/>
                <w:szCs w:val="20"/>
              </w:rPr>
              <w:t xml:space="preserve">déduit de "tarif_estime"</w:t>
            </w:r>
          </w:p>
        </w:tc>
        <w:tc>
          <w:tcPr>
            <w:tcW w:type="dxa" w:w="4600"/>
          </w:tcPr>
          <w:p>
            <w:r>
              <w:rPr>
                <w:b w:val="false"/>
                <w:bCs w:val="false"/>
                <w:color w:val="1A1A1A"/>
                <w:sz w:val="20"/>
                <w:szCs w:val="20"/>
              </w:rPr>
              <w:t xml:space="preserve">"mensuelle" si le tarif contient "/mois", sinon "annuelle"</w:t>
            </w:r>
          </w:p>
        </w:tc>
      </w:tr>
      <w:tr>
        <w:tc>
          <w:tcPr>
            <w:tcW w:type="dxa" w:w="3200"/>
          </w:tcPr>
          <w:p>
            <w:r>
              <w:rPr>
                <w:b w:val="false"/>
                <w:bCs w:val="false"/>
                <w:color w:val="1A1A1A"/>
                <w:sz w:val="20"/>
                <w:szCs w:val="20"/>
              </w:rPr>
              <w:t xml:space="preserve">{{acompte_pct}}</w:t>
            </w:r>
          </w:p>
        </w:tc>
        <w:tc>
          <w:tcPr>
            <w:tcW w:type="dxa" w:w="2200"/>
          </w:tcPr>
          <w:p>
            <w:r>
              <w:rPr>
                <w:b w:val="false"/>
                <w:bCs w:val="false"/>
                <w:color w:val="1A1A1A"/>
                <w:sz w:val="20"/>
                <w:szCs w:val="20"/>
              </w:rPr>
              <w:t xml:space="preserve">valeur fixe cabinet</w:t>
            </w:r>
          </w:p>
        </w:tc>
        <w:tc>
          <w:tcPr>
            <w:tcW w:type="dxa" w:w="4600"/>
          </w:tcPr>
          <w:p>
            <w:r>
              <w:rPr>
                <w:b w:val="false"/>
                <w:bCs w:val="false"/>
                <w:color w:val="1A1A1A"/>
                <w:sz w:val="20"/>
                <w:szCs w:val="20"/>
              </w:rPr>
              <w:t xml:space="preserve">Ex. 30 (%) — à définir une fois dans Make</w:t>
            </w:r>
          </w:p>
        </w:tc>
      </w:tr>
      <w:tr>
        <w:tc>
          <w:tcPr>
            <w:tcW w:type="dxa" w:w="3200"/>
          </w:tcPr>
          <w:p>
            <w:r>
              <w:rPr>
                <w:b w:val="false"/>
                <w:bCs w:val="false"/>
                <w:color w:val="1A1A1A"/>
                <w:sz w:val="20"/>
                <w:szCs w:val="20"/>
              </w:rPr>
              <w:t xml:space="preserve">{{delai_paiement}}</w:t>
            </w:r>
          </w:p>
        </w:tc>
        <w:tc>
          <w:tcPr>
            <w:tcW w:type="dxa" w:w="2200"/>
          </w:tcPr>
          <w:p>
            <w:r>
              <w:rPr>
                <w:b w:val="false"/>
                <w:bCs w:val="false"/>
                <w:color w:val="1A1A1A"/>
                <w:sz w:val="20"/>
                <w:szCs w:val="20"/>
              </w:rPr>
              <w:t xml:space="preserve">valeur fixe cabinet</w:t>
            </w:r>
          </w:p>
        </w:tc>
        <w:tc>
          <w:tcPr>
            <w:tcW w:type="dxa" w:w="4600"/>
          </w:tcPr>
          <w:p>
            <w:r>
              <w:rPr>
                <w:b w:val="false"/>
                <w:bCs w:val="false"/>
                <w:color w:val="1A1A1A"/>
                <w:sz w:val="20"/>
                <w:szCs w:val="20"/>
              </w:rPr>
              <w:t xml:space="preserve">Ex. "réception de facture"</w:t>
            </w:r>
          </w:p>
        </w:tc>
      </w:tr>
      <w:tr>
        <w:tc>
          <w:tcPr>
            <w:tcW w:type="dxa" w:w="3200"/>
          </w:tcPr>
          <w:p>
            <w:r>
              <w:rPr>
                <w:b w:val="false"/>
                <w:bCs w:val="false"/>
                <w:color w:val="1A1A1A"/>
                <w:sz w:val="20"/>
                <w:szCs w:val="20"/>
              </w:rPr>
              <w:t xml:space="preserve">{{duree_engagement}} / {{preavis}}</w:t>
            </w:r>
          </w:p>
        </w:tc>
        <w:tc>
          <w:tcPr>
            <w:tcW w:type="dxa" w:w="2200"/>
          </w:tcPr>
          <w:p>
            <w:r>
              <w:rPr>
                <w:b w:val="false"/>
                <w:bCs w:val="false"/>
                <w:color w:val="1A1A1A"/>
                <w:sz w:val="20"/>
                <w:szCs w:val="20"/>
              </w:rPr>
              <w:t xml:space="preserve">valeur fixe cabinet</w:t>
            </w:r>
          </w:p>
        </w:tc>
        <w:tc>
          <w:tcPr>
            <w:tcW w:type="dxa" w:w="4600"/>
          </w:tcPr>
          <w:p>
            <w:r>
              <w:rPr>
                <w:b w:val="false"/>
                <w:bCs w:val="false"/>
                <w:color w:val="1A1A1A"/>
                <w:sz w:val="20"/>
                <w:szCs w:val="20"/>
              </w:rPr>
              <w:t xml:space="preserve">Ex. "12 mois" / "2 mois", alignés sur les CGV</w:t>
            </w:r>
          </w:p>
        </w:tc>
      </w:tr>
      <w:tr>
        <w:tc>
          <w:tcPr>
            <w:tcW w:type="dxa" w:w="3200"/>
          </w:tcPr>
          <w:p>
            <w:r>
              <w:rPr>
                <w:b w:val="false"/>
                <w:bCs w:val="false"/>
                <w:color w:val="1A1A1A"/>
                <w:sz w:val="20"/>
                <w:szCs w:val="20"/>
              </w:rPr>
              <w:t xml:space="preserve">{{client_nom_qualite}}</w:t>
            </w:r>
          </w:p>
        </w:tc>
        <w:tc>
          <w:tcPr>
            <w:tcW w:type="dxa" w:w="2200"/>
          </w:tcPr>
          <w:p>
            <w:r>
              <w:rPr>
                <w:b w:val="false"/>
                <w:bCs w:val="false"/>
                <w:color w:val="1A1A1A"/>
                <w:sz w:val="20"/>
                <w:szCs w:val="20"/>
              </w:rPr>
              <w:t xml:space="preserve">prenom + nom</w:t>
            </w:r>
          </w:p>
        </w:tc>
        <w:tc>
          <w:tcPr>
            <w:tcW w:type="dxa" w:w="4600"/>
          </w:tcPr>
          <w:p>
            <w:r>
              <w:rPr>
                <w:b w:val="false"/>
                <w:bCs w:val="false"/>
                <w:color w:val="1A1A1A"/>
                <w:sz w:val="20"/>
                <w:szCs w:val="20"/>
              </w:rPr>
              <w:t xml:space="preserve">Concaténation dans Make</w:t>
            </w:r>
          </w:p>
        </w:tc>
      </w:tr>
    </w:tbl>
    <w:p>
      <w:pPr>
        <w:spacing w:after="200"/>
      </w:pPr>
    </w:p>
    <w:p>
      <w:pPr>
        <w:pStyle w:val="Heading1"/>
        <w:spacing w:after="200" w:before="400"/>
      </w:pPr>
      <w:r>
        <w:t xml:space="preserve">5. Bonnes pratiques et limites</w:t>
      </w:r>
    </w:p>
    <w:p>
      <w:pPr>
        <w:pStyle w:val="ListParagraph"/>
        <w:numPr>
          <w:ilvl w:val="0"/>
          <w:numId w:val="1"/>
        </w:numPr>
        <w:spacing w:after="80"/>
      </w:pPr>
      <w:r>
        <w:t xml:space="preserve">Le devis généré automatiquement reste une estimation contractuelle établie à partir des informations déclarées par le prospect ; il « vaut lettre de mission provisoire », comme indiqué sur le document lui-même, et reste soumis à votre validation avant tout commencement de mission.</w:t>
      </w:r>
    </w:p>
    <w:p>
      <w:pPr>
        <w:pStyle w:val="ListParagraph"/>
        <w:numPr>
          <w:ilvl w:val="0"/>
          <w:numId w:val="1"/>
        </w:numPr>
        <w:spacing w:after="80"/>
      </w:pPr>
      <w:r>
        <w:t xml:space="preserve">La mise en copie systématique du cabinet (étape 3.7) permet de superviser chaque envoi automatique et d'intervenir si nécessaire.</w:t>
      </w:r>
    </w:p>
    <w:p>
      <w:pPr>
        <w:pStyle w:val="ListParagraph"/>
        <w:numPr>
          <w:ilvl w:val="0"/>
          <w:numId w:val="1"/>
        </w:numPr>
        <w:spacing w:after="80"/>
      </w:pPr>
      <w:r>
        <w:t xml:space="preserve">Vous pouvez désactiver l'automatisation à tout moment (bouton OFF dans Make) et repasser à un envoi manuel du devis depuis le modèle Word d'origine.</w:t>
      </w:r>
    </w:p>
    <w:p>
      <w:pPr>
        <w:pStyle w:val="ListParagraph"/>
        <w:numPr>
          <w:ilvl w:val="0"/>
          <w:numId w:val="1"/>
        </w:numPr>
        <w:spacing w:after="80"/>
      </w:pPr>
      <w:r>
        <w:t xml:space="preserve">L'offre gratuite de Make.com inclut 1 000 opérations par mois, largement suffisant au lancement de l'activité ; un plan payant pourra être envisagé si le volume de devis augmente significativement.</w:t>
      </w:r>
    </w:p>
    <w:p>
      <w:pPr>
        <w:pStyle w:val="ListParagraph"/>
        <w:numPr>
          <w:ilvl w:val="0"/>
          <w:numId w:val="1"/>
        </w:numPr>
        <w:spacing w:after="80"/>
      </w:pPr>
      <w:r>
        <w:t xml:space="preserve">L'URL de webhook Make ne doit être communiquée à personne : elle ne doit apparaître que dans le code source des deux pages concernées.</w:t>
      </w:r>
    </w:p>
    <w:p>
      <w:pPr>
        <w:pStyle w:val="Heading1"/>
        <w:spacing w:after="200" w:before="400"/>
      </w:pPr>
      <w:r>
        <w:t xml:space="preserve">6. Récapitulatif des formulaires du site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shd w:fill="0E1B2C" w:val="clear"/>
          </w:tcPr>
          <w:p>
            <w:r>
              <w:rPr>
                <w:b/>
                <w:bCs/>
                <w:color w:val="FFFFFF"/>
                <w:sz w:val="20"/>
                <w:szCs w:val="20"/>
              </w:rPr>
              <w:t xml:space="preserve">Formulaire</w:t>
            </w:r>
          </w:p>
        </w:tc>
        <w:tc>
          <w:tcPr>
            <w:tcW w:type="dxa" w:w="2200"/>
            <w:shd w:fill="0E1B2C" w:val="clear"/>
          </w:tcPr>
          <w:p>
            <w:r>
              <w:rPr>
                <w:b/>
                <w:bCs/>
                <w:color w:val="FFFFFF"/>
                <w:sz w:val="20"/>
                <w:szCs w:val="20"/>
              </w:rPr>
              <w:t xml:space="preserve">Tarif calculé ?</w:t>
            </w:r>
          </w:p>
        </w:tc>
        <w:tc>
          <w:tcPr>
            <w:tcW w:type="dxa" w:w="4600"/>
            <w:shd w:fill="0E1B2C" w:val="clear"/>
          </w:tcPr>
          <w:p>
            <w:r>
              <w:rPr>
                <w:b/>
                <w:bCs/>
                <w:color w:val="FFFFFF"/>
                <w:sz w:val="20"/>
                <w:szCs w:val="20"/>
              </w:rPr>
              <w:t xml:space="preserve">Mode d'envoi du devis</w:t>
            </w:r>
          </w:p>
        </w:tc>
      </w:tr>
      <w:tr>
        <w:tc>
          <w:tcPr>
            <w:tcW w:type="dxa" w:w="3200"/>
          </w:tcPr>
          <w:p>
            <w:r>
              <w:rPr>
                <w:b w:val="false"/>
                <w:bCs w:val="false"/>
                <w:color w:val="1A1A1A"/>
                <w:sz w:val="20"/>
                <w:szCs w:val="20"/>
              </w:rPr>
              <w:t xml:space="preserve">Page d'accueil — simulateur 4 packs</w:t>
            </w:r>
          </w:p>
        </w:tc>
        <w:tc>
          <w:tcPr>
            <w:tcW w:type="dxa" w:w="2200"/>
          </w:tcPr>
          <w:p>
            <w:r>
              <w:rPr>
                <w:b w:val="false"/>
                <w:bCs w:val="false"/>
                <w:color w:val="1A1A1A"/>
                <w:sz w:val="20"/>
                <w:szCs w:val="20"/>
              </w:rPr>
              <w:t xml:space="preserve">Oui</w:t>
            </w:r>
          </w:p>
        </w:tc>
        <w:tc>
          <w:tcPr>
            <w:tcW w:type="dxa" w:w="4600"/>
          </w:tcPr>
          <w:p>
            <w:r>
              <w:rPr>
                <w:b w:val="false"/>
                <w:bCs w:val="false"/>
                <w:color w:val="1A1A1A"/>
                <w:sz w:val="20"/>
                <w:szCs w:val="20"/>
              </w:rPr>
              <w:t xml:space="preserve">Automatique (une fois Make configuré)</w:t>
            </w:r>
          </w:p>
        </w:tc>
      </w:tr>
      <w:tr>
        <w:tc>
          <w:tcPr>
            <w:tcW w:type="dxa" w:w="3200"/>
          </w:tcPr>
          <w:p>
            <w:r>
              <w:rPr>
                <w:b w:val="false"/>
                <w:bCs w:val="false"/>
                <w:color w:val="1A1A1A"/>
                <w:sz w:val="20"/>
                <w:szCs w:val="20"/>
              </w:rPr>
              <w:t xml:space="preserve">Indépendants / SCI / LMNP</w:t>
            </w:r>
          </w:p>
        </w:tc>
        <w:tc>
          <w:tcPr>
            <w:tcW w:type="dxa" w:w="2200"/>
          </w:tcPr>
          <w:p>
            <w:r>
              <w:rPr>
                <w:b w:val="false"/>
                <w:bCs w:val="false"/>
                <w:color w:val="1A1A1A"/>
                <w:sz w:val="20"/>
                <w:szCs w:val="20"/>
              </w:rPr>
              <w:t xml:space="preserve">Oui</w:t>
            </w:r>
          </w:p>
        </w:tc>
        <w:tc>
          <w:tcPr>
            <w:tcW w:type="dxa" w:w="4600"/>
          </w:tcPr>
          <w:p>
            <w:r>
              <w:rPr>
                <w:b w:val="false"/>
                <w:bCs w:val="false"/>
                <w:color w:val="1A1A1A"/>
                <w:sz w:val="20"/>
                <w:szCs w:val="20"/>
              </w:rPr>
              <w:t xml:space="preserve">Automatique (une fois Make configuré)</w:t>
            </w:r>
          </w:p>
        </w:tc>
      </w:tr>
      <w:tr>
        <w:tc>
          <w:tcPr>
            <w:tcW w:type="dxa" w:w="3200"/>
          </w:tcPr>
          <w:p>
            <w:r>
              <w:rPr>
                <w:b w:val="false"/>
                <w:bCs w:val="false"/>
                <w:color w:val="1A1A1A"/>
                <w:sz w:val="20"/>
                <w:szCs w:val="20"/>
              </w:rPr>
              <w:t xml:space="preserve">Offre PME / ETI (contact)</w:t>
            </w:r>
          </w:p>
        </w:tc>
        <w:tc>
          <w:tcPr>
            <w:tcW w:type="dxa" w:w="2200"/>
          </w:tcPr>
          <w:p>
            <w:r>
              <w:rPr>
                <w:b w:val="false"/>
                <w:bCs w:val="false"/>
                <w:color w:val="1A1A1A"/>
                <w:sz w:val="20"/>
                <w:szCs w:val="20"/>
              </w:rPr>
              <w:t xml:space="preserve">Non — diagnostic requis</w:t>
            </w:r>
          </w:p>
        </w:tc>
        <w:tc>
          <w:tcPr>
            <w:tcW w:type="dxa" w:w="4600"/>
          </w:tcPr>
          <w:p>
            <w:r>
              <w:rPr>
                <w:b w:val="false"/>
                <w:bCs w:val="false"/>
                <w:color w:val="1A1A1A"/>
                <w:sz w:val="20"/>
                <w:szCs w:val="20"/>
              </w:rPr>
              <w:t xml:space="preserve">Manuel, sous 24h par le cabinet</w:t>
            </w:r>
          </w:p>
        </w:tc>
      </w:tr>
      <w:tr>
        <w:tc>
          <w:tcPr>
            <w:tcW w:type="dxa" w:w="3200"/>
          </w:tcPr>
          <w:p>
            <w:r>
              <w:rPr>
                <w:b w:val="false"/>
                <w:bCs w:val="false"/>
                <w:color w:val="1A1A1A"/>
                <w:sz w:val="20"/>
                <w:szCs w:val="20"/>
              </w:rPr>
              <w:t xml:space="preserve">Facturation Électronique</w:t>
            </w:r>
          </w:p>
        </w:tc>
        <w:tc>
          <w:tcPr>
            <w:tcW w:type="dxa" w:w="2200"/>
          </w:tcPr>
          <w:p>
            <w:r>
              <w:rPr>
                <w:b w:val="false"/>
                <w:bCs w:val="false"/>
                <w:color w:val="1A1A1A"/>
                <w:sz w:val="20"/>
                <w:szCs w:val="20"/>
              </w:rPr>
              <w:t xml:space="preserve">Non — diagnostic requis</w:t>
            </w:r>
          </w:p>
        </w:tc>
        <w:tc>
          <w:tcPr>
            <w:tcW w:type="dxa" w:w="4600"/>
          </w:tcPr>
          <w:p>
            <w:r>
              <w:rPr>
                <w:b w:val="false"/>
                <w:bCs w:val="false"/>
                <w:color w:val="1A1A1A"/>
                <w:sz w:val="20"/>
                <w:szCs w:val="20"/>
              </w:rPr>
              <w:t xml:space="preserve">Manuel, sous 24h par le cabinet</w:t>
            </w:r>
          </w:p>
        </w:tc>
      </w:tr>
    </w:tbl>
    <w:p>
      <w:pPr>
        <w:spacing w:after="200"/>
      </w:pPr>
    </w:p>
    <w:p>
      <w:pPr>
        <w:spacing w:after="150"/>
      </w:pPr>
      <w:r>
        <w:rPr>
          <w:i/>
          <w:iCs/>
          <w:color w:val="5C5C5C"/>
          <w:sz w:val="18"/>
          <w:szCs w:val="18"/>
        </w:rPr>
        <w:t xml:space="preserve">PME CONSULTANCE — Guide interne, à usage du cabinet. Document généré le 4 septembre 2026.</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rFonts w:ascii="Cambria" w:cs="Cambria" w:eastAsia="Cambria" w:hAnsi="Cambria"/>
      <w:b/>
      <w:bCs/>
      <w:color w:val="0E1B2C"/>
      <w:sz w:val="32"/>
      <w:szCs w:val="32"/>
    </w:rPr>
  </w:style>
  <w:style w:type="paragraph" w:styleId="Heading2">
    <w:name w:val="Heading 2"/>
    <w:basedOn w:val="Normal"/>
    <w:next w:val="Normal"/>
    <w:qFormat/>
    <w:pPr>
      <w:spacing w:after="120" w:before="260"/>
    </w:pPr>
    <w:rPr>
      <w:rFonts w:ascii="Cambria" w:cs="Cambria" w:eastAsia="Cambria" w:hAnsi="Cambria"/>
      <w:b/>
      <w:bCs/>
      <w:color w:val="B898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2026-09-04T18:30:46.478Z</dcterms:created>
  <dcterms:modified xsi:type="dcterms:W3CDTF">2026-09-04T18:30:46.482Z</dcterms:modified>
</cp:coreProperties>
</file>

<file path=docProps/custom.xml><?xml version="1.0" encoding="utf-8"?>
<Properties xmlns="http://schemas.openxmlformats.org/officeDocument/2006/custom-properties" xmlns:vt="http://schemas.openxmlformats.org/officeDocument/2006/docPropsVTypes"/>
</file>