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星辰科技 2026年Q2 OKR 规划</w:t>
      </w:r>
    </w:p>
    <w:p>
      <w:r>
        <w:t>制定部门：总裁办   |   制定日期：2026年4月   |   保密级别：内部公开</w:t>
      </w:r>
    </w:p>
    <w:p>
      <w:pPr>
        <w:pStyle w:val="Heading1"/>
      </w:pPr>
      <w:r>
        <w:t>公司级 O1：巩固 AIGC 平台市场领先地位</w:t>
      </w:r>
    </w:p>
    <w:p>
      <w:pPr>
        <w:pStyle w:val="Heading2"/>
      </w:pPr>
      <w:r>
        <w:t>KR1</w:t>
      </w:r>
    </w:p>
    <w:p>
      <w:r>
        <w:t>企业客户数突破 200 家（当前 152 家），续约率保持 92% 以上</w:t>
      </w:r>
    </w:p>
    <w:p>
      <w:pPr>
        <w:pStyle w:val="Heading2"/>
      </w:pPr>
      <w:r>
        <w:t>KR2</w:t>
      </w:r>
    </w:p>
    <w:p>
      <w:r>
        <w:t>平台月均 API 调用量达到 5 亿次（当前 3.2 亿次）</w:t>
      </w:r>
    </w:p>
    <w:p>
      <w:pPr>
        <w:pStyle w:val="Heading2"/>
      </w:pPr>
      <w:r>
        <w:t>KR3</w:t>
      </w:r>
    </w:p>
    <w:p>
      <w:r>
        <w:t>发布 AIGC 平台 v3.3，支持多模态推理和 Agent 编排能力</w:t>
      </w:r>
    </w:p>
    <w:p>
      <w:pPr>
        <w:pStyle w:val="Heading1"/>
      </w:pPr>
      <w:r>
        <w:t>公司级 O2：云计算业务实现盈亏平衡</w:t>
      </w:r>
    </w:p>
    <w:p>
      <w:pPr>
        <w:pStyle w:val="Heading2"/>
      </w:pPr>
      <w:r>
        <w:t>KR1</w:t>
      </w:r>
    </w:p>
    <w:p>
      <w:r>
        <w:t>云服务季度营收突破 1.5 亿元（当前 1.16 亿元）</w:t>
      </w:r>
    </w:p>
    <w:p>
      <w:pPr>
        <w:pStyle w:val="Heading2"/>
      </w:pPr>
      <w:r>
        <w:t>KR2</w:t>
      </w:r>
    </w:p>
    <w:p>
      <w:r>
        <w:t>大客户（年合同额 &gt;100 万）新增 15 家</w:t>
      </w:r>
    </w:p>
    <w:p>
      <w:pPr>
        <w:pStyle w:val="Heading2"/>
      </w:pPr>
      <w:r>
        <w:t>KR3</w:t>
      </w:r>
    </w:p>
    <w:p>
      <w:r>
        <w:t>星云容器平台通过信创认证，进入政务市场</w:t>
      </w:r>
    </w:p>
    <w:p>
      <w:pPr>
        <w:pStyle w:val="Heading1"/>
      </w:pPr>
      <w:r>
        <w:t>公司级 O3：智能硬件出海首站落地</w:t>
      </w:r>
    </w:p>
    <w:p>
      <w:pPr>
        <w:pStyle w:val="Heading2"/>
      </w:pPr>
      <w:r>
        <w:t>KR1</w:t>
      </w:r>
    </w:p>
    <w:p>
      <w:r>
        <w:t>StarEdge Pro V2 获 CE / FCC 认证</w:t>
      </w:r>
    </w:p>
    <w:p>
      <w:pPr>
        <w:pStyle w:val="Heading2"/>
      </w:pPr>
      <w:r>
        <w:t>KR2</w:t>
      </w:r>
    </w:p>
    <w:p>
      <w:r>
        <w:t>东南亚首批订单签约 500 台以上</w:t>
      </w:r>
    </w:p>
    <w:p>
      <w:pPr>
        <w:pStyle w:val="Heading2"/>
      </w:pPr>
      <w:r>
        <w:t>KR3</w:t>
      </w:r>
    </w:p>
    <w:p>
      <w:r>
        <w:t>建立新加坡海外仓及技术支持团队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