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52"/>
        <w:jc w:val="center"/>
      </w:pPr>
      <w:r>
        <w:rPr>
          <w:rFonts w:ascii="Calibri" w:cs="Calibri" w:eastAsia="Calibri" w:hAnsi="Calibri"/>
          <w:b/>
          <w:bCs/>
          <w:color w:val="1E5040"/>
          <w:sz w:val="32"/>
          <w:szCs w:val="32"/>
        </w:rPr>
        <w:t xml:space="preserve">CHAUNDA C. DALLAS, MSIT</w:t>
      </w:r>
    </w:p>
    <w:p>
      <w:pPr>
        <w:spacing w:after="20" w:before="0" w:line="252"/>
        <w:jc w:val="center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Healthcare Cybersecurity Strategist</w:t>
      </w:r>
    </w:p>
    <w:p>
      <w:pPr>
        <w:spacing w:after="20" w:before="0" w:line="252"/>
        <w:jc w:val="center"/>
      </w:pPr>
      <w:r>
        <w:rPr>
          <w:rFonts w:ascii="Calibri" w:cs="Calibri" w:eastAsia="Calibri" w:hAnsi="Calibri"/>
          <w:color w:val="3D4142"/>
          <w:sz w:val="20"/>
          <w:szCs w:val="20"/>
        </w:rPr>
        <w:t xml:space="preserve">Clinical AI Safety  ·  Medical Device &amp; IoMT Risk  ·  Clinical Downtime &amp; Ransomware Readiness</w:t>
      </w:r>
    </w:p>
    <w:p>
      <w:pPr>
        <w:spacing w:after="40" w:before="0" w:line="252"/>
        <w:jc w:val="center"/>
      </w:pPr>
      <w:r>
        <w:rPr>
          <w:rFonts w:ascii="Calibri" w:cs="Calibri" w:eastAsia="Calibri" w:hAnsi="Calibri"/>
          <w:color w:val="3D4142"/>
          <w:sz w:val="19"/>
          <w:szCs w:val="19"/>
        </w:rPr>
        <w:t xml:space="preserve">connect@chaundacdallas.com  ·  US-based, remote  ·  linkedin.com/in/chaundacdallas  ·  chaundacdallas.com</w:t>
      </w:r>
    </w:p>
    <w:p>
      <w:pPr>
        <w:pBdr>
          <w:bottom w:val="single" w:color="1E5040" w:sz="6" w:space="2"/>
        </w:pBdr>
        <w:spacing w:after="60" w:before="160" w:line="252"/>
      </w:pPr>
      <w:r>
        <w:rPr>
          <w:rFonts w:ascii="Calibri" w:cs="Calibri" w:eastAsia="Calibri" w:hAnsi="Calibri"/>
          <w:b/>
          <w:bCs/>
          <w:color w:val="1E5040"/>
          <w:sz w:val="21"/>
          <w:szCs w:val="21"/>
        </w:rPr>
        <w:t xml:space="preserve">PROFESSIONAL SUMMARY</w:t>
      </w:r>
    </w:p>
    <w:p>
      <w:pPr>
        <w:spacing w:after="40" w:before="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Healthcare cybersecurity strategist who assesses what cyber and AI failures do to patients. 28+ years in healthcare, including 23 years in emergency departments as Lead Emergency Department Technician, clinical preceptor and Epic Super User for 200+ clinicians at two Level II trauma centers, then clinical coordination for interventional radiology. Onboarded clinicians onto ambient AI documentation at DeepScribe. Creator of Patient-Side Threat Modeling (PSTM), which scores clinical AI and medical device risk by patient harm. Featured Defender in Semperis’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Midnight in the War Room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(Black Hat USA 2026; ~30-city international tour).</w:t>
      </w:r>
    </w:p>
    <w:p>
      <w:pPr>
        <w:pBdr>
          <w:bottom w:val="single" w:color="1E5040" w:sz="6" w:space="2"/>
        </w:pBdr>
        <w:spacing w:after="60" w:before="160" w:line="252"/>
      </w:pPr>
      <w:r>
        <w:rPr>
          <w:rFonts w:ascii="Calibri" w:cs="Calibri" w:eastAsia="Calibri" w:hAnsi="Calibri"/>
          <w:b/>
          <w:bCs/>
          <w:color w:val="1E5040"/>
          <w:sz w:val="21"/>
          <w:szCs w:val="21"/>
        </w:rPr>
        <w:t xml:space="preserve">CORE COMPETENCIES</w:t>
      </w:r>
    </w:p>
    <w:p>
      <w:pPr>
        <w:spacing w:after="40" w:before="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Clinical AI Risk Assessment  ·  AI Red Teaming (OWASP LLM Top 10, MITRE ATLAS)  ·  Ambient &amp; Clinical AI Adoption  ·  Medical Device &amp; IoMT Security  ·  Clinical Threat Modeling (PSTM)  ·  FDA Premarket Cybersecurity Guidance  ·  Clinical Downtime &amp; Ransomware Readiness  ·  Tabletop Exercise Design  ·  Clinical Workflow &amp; EHR (Epic)  ·  Clinical-Technical Liaison  ·  HIPAA Security Rule  ·  NIST AI RMF</w:t>
      </w:r>
    </w:p>
    <w:p>
      <w:pPr>
        <w:pBdr>
          <w:bottom w:val="single" w:color="1E5040" w:sz="6" w:space="2"/>
        </w:pBdr>
        <w:spacing w:after="60" w:before="160" w:line="252"/>
      </w:pPr>
      <w:r>
        <w:rPr>
          <w:rFonts w:ascii="Calibri" w:cs="Calibri" w:eastAsia="Calibri" w:hAnsi="Calibri"/>
          <w:b/>
          <w:bCs/>
          <w:color w:val="1E5040"/>
          <w:sz w:val="21"/>
          <w:szCs w:val="21"/>
        </w:rPr>
        <w:t xml:space="preserve">PROFESSIONAL EXPERIENCE</w:t>
      </w:r>
    </w:p>
    <w:p>
      <w:pPr>
        <w:tabs>
          <w:tab w:val="right" w:pos="10600"/>
        </w:tabs>
        <w:spacing w:after="0" w:before="110" w:line="25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Founder &amp; Principal</w:t>
      </w:r>
      <w:r>
        <w:rPr>
          <w:rFonts w:ascii="Calibri" w:cs="Calibri" w:eastAsia="Calibri" w:hAnsi="Calibri"/>
          <w:color w:val="3D4142"/>
          <w:sz w:val="20"/>
          <w:szCs w:val="20"/>
        </w:rPr>
        <w:t xml:space="preserve">	2022 – Present</w:t>
      </w:r>
    </w:p>
    <w:p>
      <w:pPr>
        <w:spacing w:after="40" w:before="0" w:line="252"/>
      </w:pPr>
      <w:r>
        <w:rPr>
          <w:rFonts w:ascii="Calibri" w:cs="Calibri" w:eastAsia="Calibri" w:hAnsi="Calibri"/>
          <w:i/>
          <w:iCs/>
          <w:color w:val="3D4142"/>
          <w:sz w:val="20"/>
          <w:szCs w:val="20"/>
        </w:rPr>
        <w:t xml:space="preserve">Chaunda C. Dallas Consulting — Healthcare Cybersecurity, Clinical AI &amp; IoMT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Patient-Side Threat Modeling (PSTM), a framework that scores clinical AI and medical device risk by patient consequence: physiological dependency, latency to harm, bedside detectability, workaround pressure and downtime survivability.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DFR Lab: 9 IoMT failure scenarios and 3 clinical-AI red-team scenarios (prompt injection, PHI leakage, agentic chain attack), mapped to NIST CSF, HIPAA, FDA guidance, IEC 62443 and the OWASP LLM Top 10.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the 3 A.M. Downtime Drill, a clinical ransomware tabletop for ED and nursing leaders built on regional diversion-cascade dynamics.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Publish healthcare ransomware threat intelligence: Healthcare Ransomware Intelligence Tracker and a Qilin/Agenda threat brief with MITRE ATT&amp;CK mapping and PSTM scoring.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Founding security engagement for a startup platform (Koalesce Studios / Desivity, Aug–Dec 2025): Zero Trust architecture, threat model, and SOC 2 Type I / ISO 27001 readiness frameworks.</w:t>
      </w:r>
    </w:p>
    <w:p>
      <w:pPr>
        <w:tabs>
          <w:tab w:val="right" w:pos="10600"/>
        </w:tabs>
        <w:spacing w:after="0" w:before="110" w:line="25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Virtual CISO (vCISO) Advisor</w:t>
      </w:r>
      <w:r>
        <w:rPr>
          <w:rFonts w:ascii="Calibri" w:cs="Calibri" w:eastAsia="Calibri" w:hAnsi="Calibri"/>
          <w:color w:val="3D4142"/>
          <w:sz w:val="20"/>
          <w:szCs w:val="20"/>
        </w:rPr>
        <w:t xml:space="preserve">	Apr 2024 – Dec 2025</w:t>
      </w:r>
    </w:p>
    <w:p>
      <w:pPr>
        <w:spacing w:after="40" w:before="0" w:line="252"/>
      </w:pPr>
      <w:r>
        <w:rPr>
          <w:rFonts w:ascii="Calibri" w:cs="Calibri" w:eastAsia="Calibri" w:hAnsi="Calibri"/>
          <w:i/>
          <w:iCs/>
          <w:color w:val="3D4142"/>
          <w:sz w:val="20"/>
          <w:szCs w:val="20"/>
        </w:rPr>
        <w:t xml:space="preserve">MyCyberIQ — early-stage healthcare cybersecurity platform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Hired as CISO, then retained as vCISO advisor (400+ documented advisory hours): set security strategy, human-risk and awareness programs, and compliance-informed product direction.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role-based security content for clinical, operational and executive audiences; ran phishing-simulation strategy (KnowBe4) and advised on ransomware defense.</w:t>
      </w:r>
    </w:p>
    <w:p>
      <w:pPr>
        <w:tabs>
          <w:tab w:val="right" w:pos="10600"/>
        </w:tabs>
        <w:spacing w:after="0" w:before="110" w:line="25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Customer Success Engineer — Clinical AI &amp; EHR (Contract)</w:t>
      </w:r>
      <w:r>
        <w:rPr>
          <w:rFonts w:ascii="Calibri" w:cs="Calibri" w:eastAsia="Calibri" w:hAnsi="Calibri"/>
          <w:color w:val="3D4142"/>
          <w:sz w:val="20"/>
          <w:szCs w:val="20"/>
        </w:rPr>
        <w:t xml:space="preserve">	Dec 2021 – Mar 2022</w:t>
      </w:r>
    </w:p>
    <w:p>
      <w:pPr>
        <w:spacing w:after="40" w:before="0" w:line="252"/>
      </w:pPr>
      <w:r>
        <w:rPr>
          <w:rFonts w:ascii="Calibri" w:cs="Calibri" w:eastAsia="Calibri" w:hAnsi="Calibri"/>
          <w:i/>
          <w:iCs/>
          <w:color w:val="3D4142"/>
          <w:sz w:val="20"/>
          <w:szCs w:val="20"/>
        </w:rPr>
        <w:t xml:space="preserve">DeepScribe — ambient AI medical documentation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Onboarded and trained clinicians adopting ambient AI documentation across multi-site practices; configured workflows in athenahealth, Kareo and eClinicalWorks.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Served as clinical-technical liaison between physicians, engineering and product, turning provider workflow friction into product fixes.</w:t>
      </w:r>
    </w:p>
    <w:p>
      <w:pPr>
        <w:tabs>
          <w:tab w:val="right" w:pos="10600"/>
        </w:tabs>
        <w:spacing w:after="0" w:before="110" w:line="25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Lead Clinical Coordinator</w:t>
      </w:r>
      <w:r>
        <w:rPr>
          <w:rFonts w:ascii="Calibri" w:cs="Calibri" w:eastAsia="Calibri" w:hAnsi="Calibri"/>
          <w:color w:val="3D4142"/>
          <w:sz w:val="20"/>
          <w:szCs w:val="20"/>
        </w:rPr>
        <w:t xml:space="preserve">	Apr 2016 – Oct 2021</w:t>
      </w:r>
    </w:p>
    <w:p>
      <w:pPr>
        <w:spacing w:after="40" w:before="0" w:line="252"/>
      </w:pPr>
      <w:r>
        <w:rPr>
          <w:rFonts w:ascii="Calibri" w:cs="Calibri" w:eastAsia="Calibri" w:hAnsi="Calibri"/>
          <w:i/>
          <w:iCs/>
          <w:color w:val="3D4142"/>
          <w:sz w:val="20"/>
          <w:szCs w:val="20"/>
        </w:rPr>
        <w:t xml:space="preserve">Azura Vascular Care — outpatient interventional radiology &amp; vascular surgery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Directed clinical operations across interventional radiology and surgical suites where documentation integrity directly affected patient outcomes.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all surgical referrals and payer authorizations for specialty IR cases (uterine fibroid embolization, peripheral arterial disease, hemorrhoid artery, varicocele and ovarian vein embolization).</w:t>
      </w:r>
    </w:p>
    <w:p>
      <w:pPr>
        <w:tabs>
          <w:tab w:val="right" w:pos="10600"/>
        </w:tabs>
        <w:spacing w:after="0" w:before="110" w:line="25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Operations Manager &amp; Cybersecurity Strategist</w:t>
      </w:r>
      <w:r>
        <w:rPr>
          <w:rFonts w:ascii="Calibri" w:cs="Calibri" w:eastAsia="Calibri" w:hAnsi="Calibri"/>
          <w:color w:val="3D4142"/>
          <w:sz w:val="20"/>
          <w:szCs w:val="20"/>
        </w:rPr>
        <w:t xml:space="preserve">	Jun 2023 – Apr 2024</w:t>
      </w:r>
    </w:p>
    <w:p>
      <w:pPr>
        <w:spacing w:after="40" w:before="0" w:line="252"/>
      </w:pPr>
      <w:r>
        <w:rPr>
          <w:rFonts w:ascii="Calibri" w:cs="Calibri" w:eastAsia="Calibri" w:hAnsi="Calibri"/>
          <w:i/>
          <w:iCs/>
          <w:color w:val="3D4142"/>
          <w:sz w:val="20"/>
          <w:szCs w:val="20"/>
        </w:rPr>
        <w:t xml:space="preserve">HeartLove Place Ministries — Milwaukee, WI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Detected and shut down a website-spoofing campaign targeting donations, preventing about $30K in fraud; deployed SIEM monitoring and incident-response procedures.</w:t>
      </w:r>
    </w:p>
    <w:p>
      <w:pPr>
        <w:tabs>
          <w:tab w:val="right" w:pos="10600"/>
        </w:tabs>
        <w:spacing w:after="0" w:before="110" w:line="25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Graduate Research Assistant — Wearable Health Technology</w:t>
      </w:r>
      <w:r>
        <w:rPr>
          <w:rFonts w:ascii="Calibri" w:cs="Calibri" w:eastAsia="Calibri" w:hAnsi="Calibri"/>
          <w:color w:val="3D4142"/>
          <w:sz w:val="20"/>
          <w:szCs w:val="20"/>
        </w:rPr>
        <w:t xml:space="preserve">	Jan – May 2020</w:t>
      </w:r>
    </w:p>
    <w:p>
      <w:pPr>
        <w:spacing w:after="40" w:before="0" w:line="252"/>
      </w:pPr>
      <w:r>
        <w:rPr>
          <w:rFonts w:ascii="Calibri" w:cs="Calibri" w:eastAsia="Calibri" w:hAnsi="Calibri"/>
          <w:i/>
          <w:iCs/>
          <w:color w:val="3D4142"/>
          <w:sz w:val="20"/>
          <w:szCs w:val="20"/>
        </w:rPr>
        <w:t xml:space="preserve">Kennesaw State University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Researched adoption, security and privacy risks, and ethical issues of wearable health technology for older adults. The project was paused by COVID-19; the research contributed to a faculty-published paper.</w:t>
      </w:r>
    </w:p>
    <w:p>
      <w:pPr>
        <w:tabs>
          <w:tab w:val="right" w:pos="10600"/>
        </w:tabs>
        <w:spacing w:after="0" w:before="110" w:line="25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Lead Emergency Department Technician &amp; Clinical Preceptor  |  Epic Super User</w:t>
      </w:r>
      <w:r>
        <w:rPr>
          <w:rFonts w:ascii="Calibri" w:cs="Calibri" w:eastAsia="Calibri" w:hAnsi="Calibri"/>
          <w:color w:val="3D4142"/>
          <w:sz w:val="20"/>
          <w:szCs w:val="20"/>
        </w:rPr>
        <w:t xml:space="preserve">	1999 – 2016</w:t>
      </w:r>
    </w:p>
    <w:p>
      <w:pPr>
        <w:spacing w:after="40" w:before="0" w:line="252"/>
      </w:pPr>
      <w:r>
        <w:rPr>
          <w:rFonts w:ascii="Calibri" w:cs="Calibri" w:eastAsia="Calibri" w:hAnsi="Calibri"/>
          <w:i/>
          <w:iCs/>
          <w:color w:val="3D4142"/>
          <w:sz w:val="20"/>
          <w:szCs w:val="20"/>
        </w:rPr>
        <w:t xml:space="preserve">Piedmont Healthcare — Level II Trauma EDs: Eastside Medical Center (now Piedmont Eastside), Piedmont Atlanta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Trusted with high autonomy in high-volume trauma EDs; coordinated operations during trauma activations, Code Blue events and mass-casualty responses.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Selected as ER Epic Super User for Piedmont Atlanta’s implementation: trained and supported 200+ clinicians through go-live, upgrades, downtime readiness and troubleshooting.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Ran manual downtime protocols during EHR outages to keep patient care moving, the origin of the downtime-survivability work in PSTM.</w:t>
      </w:r>
    </w:p>
    <w:p>
      <w:pPr>
        <w:spacing w:after="40" w:before="40" w:line="252"/>
      </w:pPr>
      <w:r>
        <w:rPr>
          <w:rFonts w:ascii="Calibri" w:cs="Calibri" w:eastAsia="Calibri" w:hAnsi="Calibri"/>
          <w:i/>
          <w:iCs/>
          <w:color w:val="3D4142"/>
          <w:sz w:val="20"/>
          <w:szCs w:val="20"/>
        </w:rPr>
        <w:t xml:space="preserve">Earlier: emergency department registration and referral coordination, including Emory Healthcare.</w:t>
      </w:r>
    </w:p>
    <w:p>
      <w:pPr>
        <w:pBdr>
          <w:bottom w:val="single" w:color="1E5040" w:sz="6" w:space="2"/>
        </w:pBdr>
        <w:spacing w:after="60" w:before="160" w:line="252"/>
      </w:pPr>
      <w:r>
        <w:rPr>
          <w:rFonts w:ascii="Calibri" w:cs="Calibri" w:eastAsia="Calibri" w:hAnsi="Calibri"/>
          <w:b/>
          <w:bCs/>
          <w:color w:val="1E5040"/>
          <w:sz w:val="21"/>
          <w:szCs w:val="21"/>
        </w:rPr>
        <w:t xml:space="preserve">TEACHING &amp; MENTORSHIP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Technical Mentor, Women in CyberSecurity (WiCyS), May 2024 – Present: co-mentored 600+ learners across three grant-funded Google Cybersecurity Certificate cohorts.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Career Mastermind Facilitator, ISSA SoCal (Oct 2025 – Feb 2026); Instructor, People for Change Coalition (2022, 2025) and Google Tech Equity Collective (2024–2025).</w:t>
      </w:r>
    </w:p>
    <w:p>
      <w:pPr>
        <w:pBdr>
          <w:bottom w:val="single" w:color="1E5040" w:sz="6" w:space="2"/>
        </w:pBdr>
        <w:spacing w:after="60" w:before="160" w:line="252"/>
      </w:pPr>
      <w:r>
        <w:rPr>
          <w:rFonts w:ascii="Calibri" w:cs="Calibri" w:eastAsia="Calibri" w:hAnsi="Calibri"/>
          <w:b/>
          <w:bCs/>
          <w:color w:val="1E5040"/>
          <w:sz w:val="21"/>
          <w:szCs w:val="21"/>
        </w:rPr>
        <w:t xml:space="preserve">RECOGNITION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Featured Defender (one of 52),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Midnight in the War Room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(Semperis) — premiered Black Hat USA, Aug 2026; ~30-city international tour.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Panelist, WiCyS 2026 Virtual Conference  ·  Guest, Halcyon “Last Month in Security” podcast (Ep. 006).</w:t>
      </w:r>
    </w:p>
    <w:p>
      <w:pPr>
        <w:pBdr>
          <w:bottom w:val="single" w:color="1E5040" w:sz="6" w:space="2"/>
        </w:pBdr>
        <w:spacing w:after="60" w:before="160" w:line="252"/>
      </w:pPr>
      <w:r>
        <w:rPr>
          <w:rFonts w:ascii="Calibri" w:cs="Calibri" w:eastAsia="Calibri" w:hAnsi="Calibri"/>
          <w:b/>
          <w:bCs/>
          <w:color w:val="1E5040"/>
          <w:sz w:val="21"/>
          <w:szCs w:val="21"/>
        </w:rPr>
        <w:t xml:space="preserve">EDUCATION &amp; TRAINING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M.S., Information Technology (Cybersecurity concentration) — Kennesaw State University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Graduate Certificate, Healthcare Technology  ·  B.S., Criminal Justice — Kennesaw State University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MiC LEAD Builders Program — year-long SOC apprenticeship: Splunk alert triage, MITRE ATT&amp;CK-mapped investigation, end-to-end ransomware incident simulation (2024–2025).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 progress: Microsoft SC-900 (exam Oct 2026)  ·  CompTIA SecAI+</w:t>
      </w:r>
    </w:p>
    <w:sectPr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2026-09-23T08:21:06.045Z</dcterms:created>
  <dcterms:modified xsi:type="dcterms:W3CDTF">2026-09-23T08:21:06.057Z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