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FA41B" w14:textId="22B33239" w:rsidR="00D47CAB" w:rsidRDefault="00D47CAB" w:rsidP="00D47CAB">
      <w:pPr>
        <w:pStyle w:val="Title"/>
        <w:rPr>
          <w:lang w:val="en-US"/>
        </w:rPr>
      </w:pPr>
      <w:r>
        <w:rPr>
          <w:lang w:val="en-US"/>
        </w:rPr>
        <w:t xml:space="preserve">Louise’s analysis of </w:t>
      </w:r>
      <w:proofErr w:type="spellStart"/>
      <w:r>
        <w:rPr>
          <w:lang w:val="en-US"/>
        </w:rPr>
        <w:t>metacetamol</w:t>
      </w:r>
      <w:proofErr w:type="spellEnd"/>
      <w:r w:rsidR="00205A41">
        <w:rPr>
          <w:lang w:val="en-US"/>
        </w:rPr>
        <w:t xml:space="preserve"> form 2</w:t>
      </w:r>
    </w:p>
    <w:p w14:paraId="5D2EA69B" w14:textId="6D666BB7" w:rsidR="00783F84" w:rsidRDefault="00D47CAB">
      <w:pPr>
        <w:rPr>
          <w:lang w:val="en-US"/>
        </w:rPr>
      </w:pPr>
      <w:r>
        <w:rPr>
          <w:lang w:val="en-US"/>
        </w:rPr>
        <w:t xml:space="preserve">Shihao identified 4 structures, 124, 395, 7255 and 131, that shared a common sheet with </w:t>
      </w:r>
      <w:proofErr w:type="spellStart"/>
      <w:r>
        <w:rPr>
          <w:lang w:val="en-US"/>
        </w:rPr>
        <w:t>metacetamol</w:t>
      </w:r>
      <w:proofErr w:type="spellEnd"/>
      <w:r>
        <w:rPr>
          <w:lang w:val="en-US"/>
        </w:rPr>
        <w:t xml:space="preserve"> form 2 (MENSEE04).  These do indeed share a common layer, matching the number of molecules and RMSD reported by Shihao</w:t>
      </w:r>
      <w:r w:rsidR="00244E7F">
        <w:rPr>
          <w:lang w:val="en-US"/>
        </w:rPr>
        <w:t xml:space="preserve"> (See original Table below, in Sally’s comments.)</w:t>
      </w:r>
    </w:p>
    <w:p w14:paraId="5F6A482A" w14:textId="688131E0" w:rsidR="00D47CAB" w:rsidRDefault="00D47CAB">
      <w:pPr>
        <w:rPr>
          <w:lang w:val="en-US"/>
        </w:rPr>
      </w:pPr>
      <w:r>
        <w:rPr>
          <w:lang w:val="en-US"/>
        </w:rPr>
        <w:t xml:space="preserve">Looking at this sheet within the structures, it can be viewed as having a direction.  </w:t>
      </w:r>
      <w:r w:rsidR="00121C65">
        <w:rPr>
          <w:lang w:val="en-US"/>
        </w:rPr>
        <w:t xml:space="preserve">All the alcohol groups at the top of the central sheets in </w:t>
      </w:r>
      <w:r w:rsidR="00121C65">
        <w:rPr>
          <w:lang w:val="en-US"/>
        </w:rPr>
        <w:fldChar w:fldCharType="begin"/>
      </w:r>
      <w:r w:rsidR="00121C65">
        <w:rPr>
          <w:lang w:val="en-US"/>
        </w:rPr>
        <w:instrText xml:space="preserve"> REF _Ref209955969 \h </w:instrText>
      </w:r>
      <w:r w:rsidR="00121C65">
        <w:rPr>
          <w:lang w:val="en-US"/>
        </w:rPr>
      </w:r>
      <w:r w:rsidR="00121C65">
        <w:rPr>
          <w:lang w:val="en-US"/>
        </w:rPr>
        <w:fldChar w:fldCharType="separate"/>
      </w:r>
      <w:r w:rsidR="00121C65">
        <w:t xml:space="preserve">Figure </w:t>
      </w:r>
      <w:r w:rsidR="00121C65">
        <w:rPr>
          <w:noProof/>
        </w:rPr>
        <w:t>1</w:t>
      </w:r>
      <w:r w:rsidR="00121C65">
        <w:rPr>
          <w:lang w:val="en-US"/>
        </w:rPr>
        <w:fldChar w:fldCharType="end"/>
      </w:r>
      <w:r w:rsidR="00121C65">
        <w:rPr>
          <w:lang w:val="en-US"/>
        </w:rPr>
        <w:t xml:space="preserve"> point to the right (the bottom groups point to the left).  In the four hypothetical structures, the adjacent sheets are the same, with inversion </w:t>
      </w:r>
      <w:proofErr w:type="spellStart"/>
      <w:r w:rsidR="00121C65">
        <w:rPr>
          <w:lang w:val="en-US"/>
        </w:rPr>
        <w:t>centres</w:t>
      </w:r>
      <w:proofErr w:type="spellEnd"/>
      <w:r w:rsidR="00121C65">
        <w:rPr>
          <w:lang w:val="en-US"/>
        </w:rPr>
        <w:t xml:space="preserve"> between the sheets.  The reported structure of form 2 has the adjoining sheets oppositely arranged, and no symmetry elements between the layers.</w:t>
      </w:r>
    </w:p>
    <w:p w14:paraId="6F3F10B5" w14:textId="0D6D8972" w:rsidR="00D47CAB" w:rsidRDefault="00D47CAB">
      <w:pPr>
        <w:rPr>
          <w:lang w:val="en-US"/>
        </w:rPr>
      </w:pPr>
      <w:r>
        <w:rPr>
          <w:noProof/>
          <w:lang w:eastAsia="en-GB"/>
        </w:rPr>
        <w:drawing>
          <wp:inline distT="0" distB="0" distL="0" distR="0" wp14:anchorId="1B00E84E" wp14:editId="5DE43833">
            <wp:extent cx="3240000" cy="1335701"/>
            <wp:effectExtent l="0" t="0" r="0" b="0"/>
            <wp:docPr id="1422294263" name="Picture 1" descr="A group of white and red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94263" name="Picture 1" descr="A group of white and red hexagons&#10;&#10;AI-generated content may be incorrect."/>
                    <pic:cNvPicPr/>
                  </pic:nvPicPr>
                  <pic:blipFill>
                    <a:blip r:embed="rId6"/>
                    <a:stretch>
                      <a:fillRect/>
                    </a:stretch>
                  </pic:blipFill>
                  <pic:spPr>
                    <a:xfrm>
                      <a:off x="0" y="0"/>
                      <a:ext cx="3240000" cy="1335701"/>
                    </a:xfrm>
                    <a:prstGeom prst="rect">
                      <a:avLst/>
                    </a:prstGeom>
                  </pic:spPr>
                </pic:pic>
              </a:graphicData>
            </a:graphic>
          </wp:inline>
        </w:drawing>
      </w:r>
      <w:r>
        <w:rPr>
          <w:noProof/>
          <w:lang w:eastAsia="en-GB"/>
        </w:rPr>
        <w:drawing>
          <wp:inline distT="0" distB="0" distL="0" distR="0" wp14:anchorId="3E3EA56B" wp14:editId="389A98C6">
            <wp:extent cx="3240000" cy="1335502"/>
            <wp:effectExtent l="0" t="0" r="0" b="0"/>
            <wp:docPr id="1509294068" name="Picture 1" descr="A group of colorful molec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94068" name="Picture 1" descr="A group of colorful molecules&#10;&#10;AI-generated content may be incorrect."/>
                    <pic:cNvPicPr/>
                  </pic:nvPicPr>
                  <pic:blipFill>
                    <a:blip r:embed="rId7"/>
                    <a:stretch>
                      <a:fillRect/>
                    </a:stretch>
                  </pic:blipFill>
                  <pic:spPr>
                    <a:xfrm>
                      <a:off x="0" y="0"/>
                      <a:ext cx="3240000" cy="1335502"/>
                    </a:xfrm>
                    <a:prstGeom prst="rect">
                      <a:avLst/>
                    </a:prstGeom>
                  </pic:spPr>
                </pic:pic>
              </a:graphicData>
            </a:graphic>
          </wp:inline>
        </w:drawing>
      </w:r>
    </w:p>
    <w:p w14:paraId="3FC9E5FF" w14:textId="3A7D1218" w:rsidR="00D47CAB" w:rsidRDefault="00D47CAB" w:rsidP="00D47CAB">
      <w:pPr>
        <w:pStyle w:val="Caption"/>
      </w:pPr>
      <w:bookmarkStart w:id="0" w:name="_Ref209955969"/>
      <w:r>
        <w:t xml:space="preserve">Figure </w:t>
      </w:r>
      <w:r w:rsidR="00F6150B">
        <w:fldChar w:fldCharType="begin"/>
      </w:r>
      <w:r w:rsidR="00F6150B">
        <w:instrText xml:space="preserve"> SEQ Figure \* ARABIC </w:instrText>
      </w:r>
      <w:r w:rsidR="00F6150B">
        <w:fldChar w:fldCharType="separate"/>
      </w:r>
      <w:r>
        <w:rPr>
          <w:noProof/>
        </w:rPr>
        <w:t>1</w:t>
      </w:r>
      <w:r w:rsidR="00F6150B">
        <w:rPr>
          <w:noProof/>
        </w:rPr>
        <w:fldChar w:fldCharType="end"/>
      </w:r>
      <w:bookmarkEnd w:id="0"/>
      <w:r>
        <w:t xml:space="preserve">.  View of the sheets in </w:t>
      </w:r>
      <w:proofErr w:type="spellStart"/>
      <w:r>
        <w:t>metacetam</w:t>
      </w:r>
      <w:r w:rsidR="00121C65">
        <w:t>o</w:t>
      </w:r>
      <w:r>
        <w:t>l</w:t>
      </w:r>
      <w:proofErr w:type="spellEnd"/>
      <w:r>
        <w:t xml:space="preserve"> form 2 (left; colo</w:t>
      </w:r>
      <w:r w:rsidR="00121C65">
        <w:t>u</w:t>
      </w:r>
      <w:r>
        <w:t>red by element</w:t>
      </w:r>
      <w:r w:rsidR="00121C65">
        <w:t>) and 124 (right, green/red carbon atoms).</w:t>
      </w:r>
    </w:p>
    <w:p w14:paraId="6474ACCC" w14:textId="10161D70" w:rsidR="00982276" w:rsidRDefault="00121C65" w:rsidP="0032599A">
      <w:pPr>
        <w:rPr>
          <w:lang w:val="en-US"/>
        </w:rPr>
      </w:pPr>
      <w:r>
        <w:rPr>
          <w:lang w:val="en-US"/>
        </w:rPr>
        <w:t>Running a crystal packing feature search on the structures numbered under 1</w:t>
      </w:r>
      <w:r w:rsidR="0032599A">
        <w:rPr>
          <w:lang w:val="en-US"/>
        </w:rPr>
        <w:t>0</w:t>
      </w:r>
      <w:r>
        <w:rPr>
          <w:lang w:val="en-US"/>
        </w:rPr>
        <w:t>000</w:t>
      </w:r>
      <w:r w:rsidR="00982276">
        <w:rPr>
          <w:lang w:val="en-US"/>
        </w:rPr>
        <w:t xml:space="preserve"> also found structure</w:t>
      </w:r>
      <w:r w:rsidR="0032599A">
        <w:rPr>
          <w:lang w:val="en-US"/>
        </w:rPr>
        <w:t>s</w:t>
      </w:r>
      <w:r w:rsidR="00982276">
        <w:rPr>
          <w:lang w:val="en-US"/>
        </w:rPr>
        <w:t xml:space="preserve"> 974</w:t>
      </w:r>
      <w:r w:rsidR="0032599A">
        <w:rPr>
          <w:lang w:val="en-US"/>
        </w:rPr>
        <w:t>, 1013</w:t>
      </w:r>
      <w:r w:rsidR="00982276">
        <w:rPr>
          <w:lang w:val="en-US"/>
        </w:rPr>
        <w:t xml:space="preserve"> </w:t>
      </w:r>
      <w:r w:rsidR="0032599A">
        <w:rPr>
          <w:lang w:val="en-US"/>
        </w:rPr>
        <w:t xml:space="preserve">and 7273 </w:t>
      </w:r>
      <w:r w:rsidR="00982276">
        <w:rPr>
          <w:lang w:val="en-US"/>
        </w:rPr>
        <w:t>contained this sheet.</w:t>
      </w:r>
      <w:r w:rsidR="0032599A">
        <w:rPr>
          <w:lang w:val="en-US"/>
        </w:rPr>
        <w:t xml:space="preserve">  </w:t>
      </w:r>
      <w:r w:rsidR="00642D15">
        <w:rPr>
          <w:lang w:val="en-US"/>
        </w:rPr>
        <w:t xml:space="preserve">974 and 1013 match 18 out of 30 molecules, while 7273 reportedly matches 30 although these are all in the same sheet.  The </w:t>
      </w:r>
      <w:r w:rsidR="00642D15" w:rsidRPr="00702F6E">
        <w:rPr>
          <w:i/>
          <w:lang w:val="en-US"/>
        </w:rPr>
        <w:t>a</w:t>
      </w:r>
      <w:r w:rsidR="00642D15">
        <w:rPr>
          <w:lang w:val="en-US"/>
        </w:rPr>
        <w:t xml:space="preserve"> </w:t>
      </w:r>
      <w:r w:rsidR="00702F6E">
        <w:rPr>
          <w:lang w:val="en-US"/>
        </w:rPr>
        <w:t xml:space="preserve">cell </w:t>
      </w:r>
      <w:r w:rsidR="00642D15">
        <w:rPr>
          <w:lang w:val="en-US"/>
        </w:rPr>
        <w:t xml:space="preserve">length is 79 Å whereas the </w:t>
      </w:r>
      <w:r w:rsidR="00642D15" w:rsidRPr="00702F6E">
        <w:rPr>
          <w:i/>
          <w:lang w:val="en-US"/>
        </w:rPr>
        <w:t>b</w:t>
      </w:r>
      <w:r w:rsidR="00642D15">
        <w:rPr>
          <w:lang w:val="en-US"/>
        </w:rPr>
        <w:t xml:space="preserve"> length in form 2 is only 19 Å, which spans 2 layers.  This shows that the weak dispersion binding between layers does not necessarily hold the structure together.</w:t>
      </w:r>
    </w:p>
    <w:p w14:paraId="57004837" w14:textId="6F7EE9F4" w:rsidR="009F4597" w:rsidRDefault="009F4597" w:rsidP="009F4597">
      <w:pPr>
        <w:rPr>
          <w:lang w:val="en-US"/>
        </w:rPr>
      </w:pPr>
      <w:r>
        <w:rPr>
          <w:lang w:val="en-US"/>
        </w:rPr>
        <w:t xml:space="preserve">The angle </w:t>
      </w:r>
      <w:proofErr w:type="spellStart"/>
      <w:r w:rsidR="0032599A">
        <w:rPr>
          <w:lang w:val="en-US"/>
        </w:rPr>
        <w:t>C</w:t>
      </w:r>
      <w:r w:rsidR="0032599A">
        <w:rPr>
          <w:vertAlign w:val="subscript"/>
          <w:lang w:val="en-US"/>
        </w:rPr>
        <w:t>ring</w:t>
      </w:r>
      <w:r w:rsidR="0032599A">
        <w:rPr>
          <w:lang w:val="en-US"/>
        </w:rPr>
        <w:t>_C</w:t>
      </w:r>
      <w:r w:rsidR="0032599A">
        <w:rPr>
          <w:vertAlign w:val="subscript"/>
          <w:lang w:val="en-US"/>
        </w:rPr>
        <w:t>ring</w:t>
      </w:r>
      <w:r w:rsidR="0032599A">
        <w:rPr>
          <w:lang w:val="en-US"/>
        </w:rPr>
        <w:t>_N_C</w:t>
      </w:r>
      <w:proofErr w:type="spellEnd"/>
      <w:r w:rsidR="0032599A">
        <w:rPr>
          <w:lang w:val="en-US"/>
        </w:rPr>
        <w:t xml:space="preserve">(=O) </w:t>
      </w:r>
      <w:r>
        <w:rPr>
          <w:lang w:val="en-US"/>
        </w:rPr>
        <w:t>in MENSEE04 (first molecule only</w:t>
      </w:r>
      <w:r w:rsidR="0032599A">
        <w:rPr>
          <w:lang w:val="en-US"/>
        </w:rPr>
        <w:t>; Shihao showed the conformations were nearly identical</w:t>
      </w:r>
      <w:r>
        <w:rPr>
          <w:lang w:val="en-US"/>
        </w:rPr>
        <w:t xml:space="preserve">) is 30.18° while in 124 it is 18.39°, 131 is 17.16°, </w:t>
      </w:r>
      <w:r w:rsidR="0032599A">
        <w:rPr>
          <w:lang w:val="en-US"/>
        </w:rPr>
        <w:t xml:space="preserve">395 is 17.38° and </w:t>
      </w:r>
      <w:r w:rsidR="00642D15">
        <w:rPr>
          <w:lang w:val="en-US"/>
        </w:rPr>
        <w:t xml:space="preserve">7255 is </w:t>
      </w:r>
      <w:r w:rsidR="0032599A">
        <w:rPr>
          <w:lang w:val="en-US"/>
        </w:rPr>
        <w:t>19.64°</w:t>
      </w:r>
      <w:r w:rsidR="00642D15">
        <w:rPr>
          <w:lang w:val="en-US"/>
        </w:rPr>
        <w:t>.</w:t>
      </w:r>
    </w:p>
    <w:p w14:paraId="74254784" w14:textId="383F0FA2" w:rsidR="00205A41" w:rsidRDefault="00205A41" w:rsidP="00205A41">
      <w:pPr>
        <w:pStyle w:val="Heading2"/>
        <w:rPr>
          <w:lang w:val="en-US"/>
        </w:rPr>
      </w:pPr>
      <w:r>
        <w:rPr>
          <w:lang w:val="en-US"/>
        </w:rPr>
        <w:t>Summary</w:t>
      </w:r>
    </w:p>
    <w:p w14:paraId="620E0993" w14:textId="2E100FC8" w:rsidR="00205A41" w:rsidRDefault="00205A41" w:rsidP="009F4597">
      <w:pPr>
        <w:rPr>
          <w:lang w:val="en-US"/>
        </w:rPr>
      </w:pPr>
      <w:r>
        <w:rPr>
          <w:lang w:val="en-US"/>
        </w:rPr>
        <w:t>This sheet is weakly bonded, and can stack either way up (need to check whether any hypotheticals stack antiparallel).  It is so weakly bound that it can easily come apart (susceptible to shear?) (</w:t>
      </w:r>
      <w:proofErr w:type="gramStart"/>
      <w:r>
        <w:rPr>
          <w:lang w:val="en-US"/>
        </w:rPr>
        <w:t>propensity</w:t>
      </w:r>
      <w:proofErr w:type="gramEnd"/>
      <w:r>
        <w:rPr>
          <w:lang w:val="en-US"/>
        </w:rPr>
        <w:t xml:space="preserve"> for solvate formation with </w:t>
      </w:r>
      <w:proofErr w:type="spellStart"/>
      <w:r>
        <w:rPr>
          <w:lang w:val="en-US"/>
        </w:rPr>
        <w:t>apolar</w:t>
      </w:r>
      <w:proofErr w:type="spellEnd"/>
      <w:r>
        <w:rPr>
          <w:lang w:val="en-US"/>
        </w:rPr>
        <w:t xml:space="preserve"> solvents?).</w:t>
      </w:r>
    </w:p>
    <w:p w14:paraId="393A27D3" w14:textId="1E11C6FD" w:rsidR="001B7E74" w:rsidRDefault="00244E7F" w:rsidP="00EC3EA5">
      <w:pPr>
        <w:pStyle w:val="Heading2"/>
        <w:rPr>
          <w:lang w:val="en-US"/>
        </w:rPr>
      </w:pPr>
      <w:r>
        <w:rPr>
          <w:lang w:val="en-US"/>
        </w:rPr>
        <w:t xml:space="preserve">  Sally’s comments:</w:t>
      </w:r>
    </w:p>
    <w:p w14:paraId="7F0030E8" w14:textId="77777777" w:rsidR="00B10502" w:rsidRDefault="00EC3EA5" w:rsidP="009F4597">
      <w:pPr>
        <w:rPr>
          <w:lang w:val="en-US"/>
        </w:rPr>
      </w:pPr>
      <w:r>
        <w:rPr>
          <w:lang w:val="en-US"/>
        </w:rPr>
        <w:t xml:space="preserve">Above is Louise Price’s check on the CSP performed and reported by Shihao Ying for his recently submitted MSc dissertation. Looking up the calculated energies, it seems that Shihao correctly identified the lower energy structures in the Z’=1 search that had significant similarity to form II, and are not much higher in energy. </w:t>
      </w:r>
    </w:p>
    <w:p w14:paraId="2D5B53D7" w14:textId="3BE923E7" w:rsidR="00702F6E" w:rsidRDefault="00EC3EA5" w:rsidP="009F4597">
      <w:pPr>
        <w:rPr>
          <w:lang w:val="en-US"/>
        </w:rPr>
      </w:pPr>
      <w:r>
        <w:rPr>
          <w:lang w:val="en-US"/>
        </w:rPr>
        <w:t xml:space="preserve">Form II is Z’=2, </w:t>
      </w:r>
      <w:r w:rsidR="00B10502">
        <w:rPr>
          <w:lang w:val="en-US"/>
        </w:rPr>
        <w:t xml:space="preserve">so </w:t>
      </w:r>
      <w:r>
        <w:rPr>
          <w:lang w:val="en-US"/>
        </w:rPr>
        <w:t xml:space="preserve">it was not found in the CSP, but </w:t>
      </w:r>
      <w:r w:rsidR="00F6150B">
        <w:rPr>
          <w:lang w:val="en-US"/>
        </w:rPr>
        <w:t xml:space="preserve">with </w:t>
      </w:r>
      <w:r>
        <w:rPr>
          <w:lang w:val="en-US"/>
        </w:rPr>
        <w:t>the same energy model</w:t>
      </w:r>
      <w:r w:rsidR="00F6150B">
        <w:rPr>
          <w:lang w:val="en-US"/>
        </w:rPr>
        <w:t>, optimised form II has</w:t>
      </w:r>
      <w:r>
        <w:rPr>
          <w:lang w:val="en-US"/>
        </w:rPr>
        <w:t xml:space="preserve"> a lattice energy </w:t>
      </w:r>
      <w:proofErr w:type="gramStart"/>
      <w:r>
        <w:rPr>
          <w:lang w:val="en-US"/>
        </w:rPr>
        <w:t>of  -</w:t>
      </w:r>
      <w:proofErr w:type="gramEnd"/>
      <w:r>
        <w:rPr>
          <w:lang w:val="en-US"/>
        </w:rPr>
        <w:t>118.56</w:t>
      </w:r>
      <w:r w:rsidR="00F6150B">
        <w:rPr>
          <w:lang w:val="en-US"/>
        </w:rPr>
        <w:t xml:space="preserve"> kJ/mol. The lack of symmetry elements relating the sheets of form II is allowed by it being a Z’=2 structure. Hence a Z’=2 search might find other </w:t>
      </w:r>
      <w:proofErr w:type="spellStart"/>
      <w:r w:rsidR="00F6150B">
        <w:rPr>
          <w:lang w:val="en-US"/>
        </w:rPr>
        <w:t>stackings</w:t>
      </w:r>
      <w:proofErr w:type="spellEnd"/>
      <w:r w:rsidR="00F6150B">
        <w:rPr>
          <w:lang w:val="en-US"/>
        </w:rPr>
        <w:t xml:space="preserve"> that are more stable than </w:t>
      </w:r>
      <w:proofErr w:type="gramStart"/>
      <w:r w:rsidR="00F6150B">
        <w:rPr>
          <w:lang w:val="en-US"/>
        </w:rPr>
        <w:t>those  generated</w:t>
      </w:r>
      <w:proofErr w:type="gramEnd"/>
      <w:r w:rsidR="00F6150B">
        <w:rPr>
          <w:lang w:val="en-US"/>
        </w:rPr>
        <w:t xml:space="preserve"> by Shihao. </w:t>
      </w:r>
      <w:r w:rsidR="00B10502">
        <w:rPr>
          <w:lang w:val="en-US"/>
        </w:rPr>
        <w:t xml:space="preserve"> The additional struct</w:t>
      </w:r>
      <w:r w:rsidR="00702F6E">
        <w:rPr>
          <w:lang w:val="en-US"/>
        </w:rPr>
        <w:t>u</w:t>
      </w:r>
      <w:r w:rsidR="00B10502">
        <w:rPr>
          <w:lang w:val="en-US"/>
        </w:rPr>
        <w:t>r</w:t>
      </w:r>
      <w:r w:rsidR="00702F6E">
        <w:rPr>
          <w:lang w:val="en-US"/>
        </w:rPr>
        <w:t xml:space="preserve">es identified by Louise are </w:t>
      </w:r>
      <w:r w:rsidR="00F6150B">
        <w:rPr>
          <w:lang w:val="en-US"/>
        </w:rPr>
        <w:t xml:space="preserve">even </w:t>
      </w:r>
      <w:r w:rsidR="00702F6E">
        <w:rPr>
          <w:lang w:val="en-US"/>
        </w:rPr>
        <w:t>higher in energy, but the struct</w:t>
      </w:r>
      <w:r w:rsidR="00B10502">
        <w:rPr>
          <w:lang w:val="en-US"/>
        </w:rPr>
        <w:t>u</w:t>
      </w:r>
      <w:r w:rsidR="00702F6E">
        <w:rPr>
          <w:lang w:val="en-US"/>
        </w:rPr>
        <w:t xml:space="preserve">re that has the sheets widely separated (7273) shows that the interaction between the layers contributes less than </w:t>
      </w:r>
      <w:r w:rsidR="00F6150B">
        <w:rPr>
          <w:lang w:val="en-US"/>
        </w:rPr>
        <w:t>18.5 kJ/</w:t>
      </w:r>
      <w:proofErr w:type="spellStart"/>
      <w:r w:rsidR="00F6150B">
        <w:rPr>
          <w:lang w:val="en-US"/>
        </w:rPr>
        <w:t>mol</w:t>
      </w:r>
      <w:proofErr w:type="spellEnd"/>
      <w:r w:rsidR="00F6150B">
        <w:rPr>
          <w:lang w:val="en-US"/>
        </w:rPr>
        <w:t xml:space="preserve"> to </w:t>
      </w:r>
      <w:r w:rsidR="00702F6E">
        <w:rPr>
          <w:lang w:val="en-US"/>
        </w:rPr>
        <w:t>the lattice energy.</w:t>
      </w:r>
      <w:r w:rsidR="00B10502">
        <w:rPr>
          <w:lang w:val="en-US"/>
        </w:rPr>
        <w:t xml:space="preserve"> The relative lattice energies are likely to be very dependent on</w:t>
      </w:r>
      <w:r w:rsidR="00F6150B">
        <w:rPr>
          <w:lang w:val="en-US"/>
        </w:rPr>
        <w:t xml:space="preserve"> the dispersion model in any periodic electronic structure calculation or other method of estimating the lattice energy.</w:t>
      </w:r>
    </w:p>
    <w:p w14:paraId="1ED84732" w14:textId="77777777" w:rsidR="00702F6E" w:rsidRDefault="00702F6E" w:rsidP="009F4597">
      <w:pPr>
        <w:rPr>
          <w:lang w:val="en-US"/>
        </w:rPr>
      </w:pPr>
    </w:p>
    <w:p w14:paraId="09B913E4" w14:textId="3B7CFBE3" w:rsidR="001B7E74" w:rsidRDefault="001B7E74" w:rsidP="009F4597">
      <w:pPr>
        <w:rPr>
          <w:lang w:val="en-US"/>
        </w:rPr>
      </w:pPr>
      <w:r>
        <w:rPr>
          <w:lang w:val="en-US"/>
        </w:rPr>
        <w:t xml:space="preserve">Original Table from </w:t>
      </w:r>
      <w:proofErr w:type="spellStart"/>
      <w:r>
        <w:rPr>
          <w:lang w:val="en-US"/>
        </w:rPr>
        <w:t>Shihao’s</w:t>
      </w:r>
      <w:proofErr w:type="spellEnd"/>
      <w:r>
        <w:rPr>
          <w:lang w:val="en-US"/>
        </w:rPr>
        <w:t xml:space="preserve"> thesis</w:t>
      </w:r>
      <w:r w:rsidR="00244E7F">
        <w:rPr>
          <w:lang w:val="en-US"/>
        </w:rPr>
        <w:t>, with addition of extra structures identified by Louise</w:t>
      </w:r>
      <w:r w:rsidR="00702F6E">
        <w:rPr>
          <w:lang w:val="en-US"/>
        </w:rPr>
        <w:t>, and lattice energies added by Sally</w:t>
      </w:r>
      <w:r w:rsidR="00244E7F">
        <w:rPr>
          <w:lang w:val="en-US"/>
        </w:rPr>
        <w:t>.</w:t>
      </w:r>
    </w:p>
    <w:tbl>
      <w:tblPr>
        <w:tblW w:w="10466" w:type="dxa"/>
        <w:tblLook w:val="04A0" w:firstRow="1" w:lastRow="0" w:firstColumn="1" w:lastColumn="0" w:noHBand="0" w:noVBand="1"/>
      </w:tblPr>
      <w:tblGrid>
        <w:gridCol w:w="1946"/>
        <w:gridCol w:w="1946"/>
        <w:gridCol w:w="3174"/>
        <w:gridCol w:w="1946"/>
        <w:gridCol w:w="1454"/>
      </w:tblGrid>
      <w:tr w:rsidR="001B7E74" w14:paraId="676B6D57" w14:textId="02E5AE00" w:rsidTr="001B7E74">
        <w:trPr>
          <w:trHeight w:val="324"/>
        </w:trPr>
        <w:tc>
          <w:tcPr>
            <w:tcW w:w="1946" w:type="dxa"/>
            <w:tcBorders>
              <w:top w:val="single" w:sz="4" w:space="0" w:color="auto"/>
              <w:left w:val="nil"/>
              <w:bottom w:val="single" w:sz="4" w:space="0" w:color="auto"/>
              <w:right w:val="nil"/>
            </w:tcBorders>
            <w:shd w:val="clear" w:color="auto" w:fill="auto"/>
            <w:noWrap/>
            <w:vAlign w:val="bottom"/>
            <w:hideMark/>
          </w:tcPr>
          <w:p w14:paraId="1693A4D4" w14:textId="05ED07F5"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Reference</w:t>
            </w:r>
            <w:r w:rsidR="00244E7F">
              <w:rPr>
                <w:rFonts w:ascii="Calibri" w:hAnsi="Calibri" w:cs="Calibri"/>
                <w:color w:val="000000"/>
                <w:sz w:val="22"/>
                <w:szCs w:val="22"/>
              </w:rPr>
              <w:t xml:space="preserve"> for </w:t>
            </w:r>
            <w:proofErr w:type="spellStart"/>
            <w:r w:rsidR="00244E7F">
              <w:rPr>
                <w:rFonts w:ascii="Calibri" w:hAnsi="Calibri" w:cs="Calibri"/>
                <w:color w:val="000000"/>
                <w:sz w:val="22"/>
                <w:szCs w:val="22"/>
              </w:rPr>
              <w:t>RMSDn</w:t>
            </w:r>
            <w:proofErr w:type="spellEnd"/>
            <w:r w:rsidR="00244E7F">
              <w:rPr>
                <w:rFonts w:ascii="Calibri" w:hAnsi="Calibri" w:cs="Calibri"/>
                <w:color w:val="000000"/>
                <w:sz w:val="22"/>
                <w:szCs w:val="22"/>
              </w:rPr>
              <w:t xml:space="preserve"> </w:t>
            </w:r>
          </w:p>
        </w:tc>
        <w:tc>
          <w:tcPr>
            <w:tcW w:w="1946" w:type="dxa"/>
            <w:tcBorders>
              <w:top w:val="single" w:sz="4" w:space="0" w:color="auto"/>
              <w:left w:val="nil"/>
              <w:bottom w:val="single" w:sz="4" w:space="0" w:color="auto"/>
              <w:right w:val="nil"/>
            </w:tcBorders>
            <w:shd w:val="clear" w:color="auto" w:fill="auto"/>
            <w:noWrap/>
            <w:vAlign w:val="bottom"/>
            <w:hideMark/>
          </w:tcPr>
          <w:p w14:paraId="1EE494B5" w14:textId="77777777" w:rsidR="001B7E74" w:rsidRDefault="00244E7F" w:rsidP="00947CEF">
            <w:pPr>
              <w:jc w:val="center"/>
              <w:rPr>
                <w:rFonts w:ascii="Calibri" w:hAnsi="Calibri" w:cs="Calibri"/>
                <w:color w:val="000000"/>
                <w:sz w:val="22"/>
                <w:szCs w:val="22"/>
              </w:rPr>
            </w:pPr>
            <w:r>
              <w:rPr>
                <w:rFonts w:ascii="Calibri" w:hAnsi="Calibri" w:cs="Calibri"/>
                <w:color w:val="000000"/>
                <w:sz w:val="22"/>
                <w:szCs w:val="22"/>
              </w:rPr>
              <w:t>CSP structure</w:t>
            </w:r>
          </w:p>
          <w:p w14:paraId="39271988" w14:textId="582755DA" w:rsidR="00244E7F" w:rsidRDefault="00244E7F" w:rsidP="00947CEF">
            <w:pPr>
              <w:jc w:val="center"/>
              <w:rPr>
                <w:rFonts w:ascii="Calibri" w:hAnsi="Calibri" w:cs="Calibri"/>
                <w:color w:val="000000"/>
                <w:sz w:val="22"/>
                <w:szCs w:val="22"/>
              </w:rPr>
            </w:pPr>
            <w:r>
              <w:rPr>
                <w:rFonts w:ascii="Calibri" w:hAnsi="Calibri" w:cs="Calibri"/>
                <w:color w:val="000000"/>
                <w:sz w:val="22"/>
                <w:szCs w:val="22"/>
              </w:rPr>
              <w:t>Rank-number</w:t>
            </w:r>
          </w:p>
        </w:tc>
        <w:tc>
          <w:tcPr>
            <w:tcW w:w="3174" w:type="dxa"/>
            <w:tcBorders>
              <w:top w:val="single" w:sz="4" w:space="0" w:color="auto"/>
              <w:left w:val="nil"/>
              <w:bottom w:val="single" w:sz="4" w:space="0" w:color="auto"/>
              <w:right w:val="nil"/>
            </w:tcBorders>
            <w:shd w:val="clear" w:color="auto" w:fill="auto"/>
            <w:noWrap/>
            <w:vAlign w:val="bottom"/>
            <w:hideMark/>
          </w:tcPr>
          <w:p w14:paraId="2C0B38F2" w14:textId="29D30B59"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Number of molecules</w:t>
            </w:r>
            <w:r w:rsidR="00244E7F">
              <w:rPr>
                <w:rFonts w:ascii="Calibri" w:hAnsi="Calibri" w:cs="Calibri"/>
                <w:color w:val="000000"/>
                <w:sz w:val="22"/>
                <w:szCs w:val="22"/>
              </w:rPr>
              <w:t xml:space="preserve"> matched  </w:t>
            </w:r>
            <w:r w:rsidR="00244E7F">
              <w:rPr>
                <w:rFonts w:ascii="Calibri" w:hAnsi="Calibri" w:cs="Calibri"/>
                <w:color w:val="000000"/>
                <w:sz w:val="22"/>
                <w:szCs w:val="22"/>
              </w:rPr>
              <w:sym w:font="Symbol" w:char="F0A3"/>
            </w:r>
            <w:r w:rsidR="00244E7F">
              <w:rPr>
                <w:rFonts w:ascii="Calibri" w:hAnsi="Calibri" w:cs="Calibri"/>
                <w:color w:val="000000"/>
                <w:sz w:val="22"/>
                <w:szCs w:val="22"/>
              </w:rPr>
              <w:t>30 by Mercury, default</w:t>
            </w:r>
          </w:p>
        </w:tc>
        <w:tc>
          <w:tcPr>
            <w:tcW w:w="1946" w:type="dxa"/>
            <w:tcBorders>
              <w:top w:val="single" w:sz="4" w:space="0" w:color="auto"/>
              <w:left w:val="nil"/>
              <w:bottom w:val="single" w:sz="4" w:space="0" w:color="auto"/>
              <w:right w:val="nil"/>
            </w:tcBorders>
            <w:shd w:val="clear" w:color="auto" w:fill="auto"/>
            <w:noWrap/>
            <w:vAlign w:val="bottom"/>
            <w:hideMark/>
          </w:tcPr>
          <w:p w14:paraId="45945AC7" w14:textId="6E9B478E" w:rsidR="001B7E74" w:rsidRDefault="00244E7F" w:rsidP="00947CEF">
            <w:pPr>
              <w:jc w:val="center"/>
              <w:rPr>
                <w:rFonts w:ascii="Calibri" w:hAnsi="Calibri" w:cs="Calibri"/>
                <w:color w:val="000000"/>
                <w:sz w:val="22"/>
                <w:szCs w:val="22"/>
              </w:rPr>
            </w:pPr>
            <w:proofErr w:type="spellStart"/>
            <w:r>
              <w:rPr>
                <w:rFonts w:ascii="Calibri" w:hAnsi="Calibri" w:cs="Calibri"/>
                <w:color w:val="000000"/>
                <w:sz w:val="22"/>
                <w:szCs w:val="22"/>
              </w:rPr>
              <w:t>RMSDn</w:t>
            </w:r>
            <w:proofErr w:type="spellEnd"/>
            <w:r w:rsidR="001B7E74">
              <w:rPr>
                <w:rFonts w:ascii="Calibri" w:hAnsi="Calibri" w:cs="Calibri"/>
                <w:color w:val="000000"/>
                <w:sz w:val="22"/>
                <w:szCs w:val="22"/>
              </w:rPr>
              <w:t>/Å</w:t>
            </w:r>
          </w:p>
        </w:tc>
        <w:tc>
          <w:tcPr>
            <w:tcW w:w="1454" w:type="dxa"/>
            <w:tcBorders>
              <w:top w:val="single" w:sz="4" w:space="0" w:color="auto"/>
              <w:left w:val="nil"/>
              <w:bottom w:val="single" w:sz="4" w:space="0" w:color="auto"/>
              <w:right w:val="nil"/>
            </w:tcBorders>
          </w:tcPr>
          <w:p w14:paraId="4050E4C1" w14:textId="7B4A0B2A" w:rsidR="001B7E74" w:rsidRDefault="001B7E74" w:rsidP="00947CEF">
            <w:pPr>
              <w:jc w:val="center"/>
              <w:rPr>
                <w:rFonts w:ascii="Calibri" w:hAnsi="Calibri" w:cs="Calibri"/>
                <w:color w:val="000000"/>
                <w:sz w:val="22"/>
                <w:szCs w:val="22"/>
              </w:rPr>
            </w:pPr>
            <w:proofErr w:type="spellStart"/>
            <w:r>
              <w:rPr>
                <w:rFonts w:ascii="Calibri" w:hAnsi="Calibri" w:cs="Calibri"/>
                <w:color w:val="000000"/>
                <w:sz w:val="22"/>
                <w:szCs w:val="22"/>
              </w:rPr>
              <w:t>Elatt</w:t>
            </w:r>
            <w:proofErr w:type="spellEnd"/>
            <w:r>
              <w:rPr>
                <w:rFonts w:ascii="Calibri" w:hAnsi="Calibri" w:cs="Calibri"/>
                <w:color w:val="000000"/>
                <w:sz w:val="22"/>
                <w:szCs w:val="22"/>
              </w:rPr>
              <w:t xml:space="preserve"> kJ/</w:t>
            </w:r>
            <w:proofErr w:type="spellStart"/>
            <w:r>
              <w:rPr>
                <w:rFonts w:ascii="Calibri" w:hAnsi="Calibri" w:cs="Calibri"/>
                <w:color w:val="000000"/>
                <w:sz w:val="22"/>
                <w:szCs w:val="22"/>
              </w:rPr>
              <w:t>mol</w:t>
            </w:r>
            <w:proofErr w:type="spellEnd"/>
          </w:p>
        </w:tc>
      </w:tr>
      <w:tr w:rsidR="001B7E74" w14:paraId="7B16207C" w14:textId="7A64A724" w:rsidTr="001B7E74">
        <w:trPr>
          <w:trHeight w:val="324"/>
        </w:trPr>
        <w:tc>
          <w:tcPr>
            <w:tcW w:w="1946" w:type="dxa"/>
            <w:tcBorders>
              <w:top w:val="nil"/>
              <w:left w:val="nil"/>
              <w:bottom w:val="nil"/>
              <w:right w:val="nil"/>
            </w:tcBorders>
            <w:shd w:val="clear" w:color="auto" w:fill="auto"/>
            <w:noWrap/>
            <w:vAlign w:val="bottom"/>
            <w:hideMark/>
          </w:tcPr>
          <w:p w14:paraId="1F4E95C6"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MENSEE04</w:t>
            </w:r>
          </w:p>
        </w:tc>
        <w:tc>
          <w:tcPr>
            <w:tcW w:w="1946" w:type="dxa"/>
            <w:tcBorders>
              <w:top w:val="nil"/>
              <w:left w:val="nil"/>
              <w:bottom w:val="nil"/>
              <w:right w:val="nil"/>
            </w:tcBorders>
            <w:shd w:val="clear" w:color="auto" w:fill="auto"/>
            <w:noWrap/>
            <w:vAlign w:val="bottom"/>
            <w:hideMark/>
          </w:tcPr>
          <w:p w14:paraId="24D48760"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11-124</w:t>
            </w:r>
          </w:p>
        </w:tc>
        <w:tc>
          <w:tcPr>
            <w:tcW w:w="3174" w:type="dxa"/>
            <w:tcBorders>
              <w:top w:val="nil"/>
              <w:left w:val="nil"/>
              <w:bottom w:val="nil"/>
              <w:right w:val="nil"/>
            </w:tcBorders>
            <w:shd w:val="clear" w:color="auto" w:fill="auto"/>
            <w:noWrap/>
            <w:vAlign w:val="bottom"/>
            <w:hideMark/>
          </w:tcPr>
          <w:p w14:paraId="085A3B6E"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14 out of 30</w:t>
            </w:r>
          </w:p>
        </w:tc>
        <w:tc>
          <w:tcPr>
            <w:tcW w:w="1946" w:type="dxa"/>
            <w:tcBorders>
              <w:top w:val="nil"/>
              <w:left w:val="nil"/>
              <w:bottom w:val="nil"/>
              <w:right w:val="nil"/>
            </w:tcBorders>
            <w:shd w:val="clear" w:color="auto" w:fill="auto"/>
            <w:noWrap/>
            <w:vAlign w:val="bottom"/>
            <w:hideMark/>
          </w:tcPr>
          <w:p w14:paraId="08A69E5E"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0.243</w:t>
            </w:r>
          </w:p>
        </w:tc>
        <w:tc>
          <w:tcPr>
            <w:tcW w:w="1454" w:type="dxa"/>
            <w:tcBorders>
              <w:top w:val="nil"/>
              <w:left w:val="nil"/>
              <w:bottom w:val="nil"/>
              <w:right w:val="nil"/>
            </w:tcBorders>
          </w:tcPr>
          <w:p w14:paraId="026CF78F" w14:textId="1AAB150B"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-117.24</w:t>
            </w:r>
          </w:p>
        </w:tc>
      </w:tr>
      <w:tr w:rsidR="001B7E74" w14:paraId="79EECF69" w14:textId="2961D695" w:rsidTr="001B7E74">
        <w:trPr>
          <w:trHeight w:val="324"/>
        </w:trPr>
        <w:tc>
          <w:tcPr>
            <w:tcW w:w="1946" w:type="dxa"/>
            <w:tcBorders>
              <w:top w:val="nil"/>
              <w:left w:val="nil"/>
              <w:bottom w:val="nil"/>
              <w:right w:val="nil"/>
            </w:tcBorders>
            <w:shd w:val="clear" w:color="auto" w:fill="auto"/>
            <w:noWrap/>
            <w:vAlign w:val="bottom"/>
            <w:hideMark/>
          </w:tcPr>
          <w:p w14:paraId="1AE938EC"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MENSEE04</w:t>
            </w:r>
          </w:p>
        </w:tc>
        <w:tc>
          <w:tcPr>
            <w:tcW w:w="1946" w:type="dxa"/>
            <w:tcBorders>
              <w:top w:val="nil"/>
              <w:left w:val="nil"/>
              <w:bottom w:val="nil"/>
              <w:right w:val="nil"/>
            </w:tcBorders>
            <w:shd w:val="clear" w:color="auto" w:fill="auto"/>
            <w:noWrap/>
            <w:vAlign w:val="bottom"/>
            <w:hideMark/>
          </w:tcPr>
          <w:p w14:paraId="00398397"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17-395</w:t>
            </w:r>
          </w:p>
        </w:tc>
        <w:tc>
          <w:tcPr>
            <w:tcW w:w="3174" w:type="dxa"/>
            <w:tcBorders>
              <w:top w:val="nil"/>
              <w:left w:val="nil"/>
              <w:bottom w:val="nil"/>
              <w:right w:val="nil"/>
            </w:tcBorders>
            <w:shd w:val="clear" w:color="auto" w:fill="auto"/>
            <w:noWrap/>
            <w:vAlign w:val="bottom"/>
            <w:hideMark/>
          </w:tcPr>
          <w:p w14:paraId="3979E0C4"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13 out of 30</w:t>
            </w:r>
          </w:p>
        </w:tc>
        <w:tc>
          <w:tcPr>
            <w:tcW w:w="1946" w:type="dxa"/>
            <w:tcBorders>
              <w:top w:val="nil"/>
              <w:left w:val="nil"/>
              <w:bottom w:val="nil"/>
              <w:right w:val="nil"/>
            </w:tcBorders>
            <w:shd w:val="clear" w:color="auto" w:fill="auto"/>
            <w:noWrap/>
            <w:vAlign w:val="bottom"/>
            <w:hideMark/>
          </w:tcPr>
          <w:p w14:paraId="13B09FCA"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0.232</w:t>
            </w:r>
          </w:p>
        </w:tc>
        <w:tc>
          <w:tcPr>
            <w:tcW w:w="1454" w:type="dxa"/>
            <w:tcBorders>
              <w:top w:val="nil"/>
              <w:left w:val="nil"/>
              <w:bottom w:val="nil"/>
              <w:right w:val="nil"/>
            </w:tcBorders>
          </w:tcPr>
          <w:p w14:paraId="2971DD5C" w14:textId="2C39B732"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-116.82</w:t>
            </w:r>
          </w:p>
        </w:tc>
      </w:tr>
      <w:tr w:rsidR="001B7E74" w14:paraId="706BF675" w14:textId="1045EAFE" w:rsidTr="001B7E74">
        <w:trPr>
          <w:trHeight w:val="324"/>
        </w:trPr>
        <w:tc>
          <w:tcPr>
            <w:tcW w:w="1946" w:type="dxa"/>
            <w:tcBorders>
              <w:top w:val="nil"/>
              <w:left w:val="nil"/>
              <w:bottom w:val="nil"/>
              <w:right w:val="nil"/>
            </w:tcBorders>
            <w:shd w:val="clear" w:color="auto" w:fill="auto"/>
            <w:noWrap/>
            <w:vAlign w:val="bottom"/>
            <w:hideMark/>
          </w:tcPr>
          <w:p w14:paraId="5997F6D7"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MENSEE04</w:t>
            </w:r>
          </w:p>
        </w:tc>
        <w:tc>
          <w:tcPr>
            <w:tcW w:w="1946" w:type="dxa"/>
            <w:tcBorders>
              <w:top w:val="nil"/>
              <w:left w:val="nil"/>
              <w:bottom w:val="nil"/>
              <w:right w:val="nil"/>
            </w:tcBorders>
            <w:shd w:val="clear" w:color="auto" w:fill="auto"/>
            <w:noWrap/>
            <w:vAlign w:val="bottom"/>
            <w:hideMark/>
          </w:tcPr>
          <w:p w14:paraId="35E56E26"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21-7255</w:t>
            </w:r>
          </w:p>
        </w:tc>
        <w:tc>
          <w:tcPr>
            <w:tcW w:w="3174" w:type="dxa"/>
            <w:tcBorders>
              <w:top w:val="nil"/>
              <w:left w:val="nil"/>
              <w:bottom w:val="nil"/>
              <w:right w:val="nil"/>
            </w:tcBorders>
            <w:shd w:val="clear" w:color="auto" w:fill="auto"/>
            <w:noWrap/>
            <w:vAlign w:val="bottom"/>
            <w:hideMark/>
          </w:tcPr>
          <w:p w14:paraId="3DBF6BB1"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14 out of 30</w:t>
            </w:r>
          </w:p>
        </w:tc>
        <w:tc>
          <w:tcPr>
            <w:tcW w:w="1946" w:type="dxa"/>
            <w:tcBorders>
              <w:top w:val="nil"/>
              <w:left w:val="nil"/>
              <w:bottom w:val="nil"/>
              <w:right w:val="nil"/>
            </w:tcBorders>
            <w:shd w:val="clear" w:color="auto" w:fill="auto"/>
            <w:noWrap/>
            <w:vAlign w:val="bottom"/>
            <w:hideMark/>
          </w:tcPr>
          <w:p w14:paraId="73932E81"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0.238</w:t>
            </w:r>
          </w:p>
        </w:tc>
        <w:tc>
          <w:tcPr>
            <w:tcW w:w="1454" w:type="dxa"/>
            <w:tcBorders>
              <w:top w:val="nil"/>
              <w:left w:val="nil"/>
              <w:bottom w:val="nil"/>
              <w:right w:val="nil"/>
            </w:tcBorders>
          </w:tcPr>
          <w:p w14:paraId="6554BA35" w14:textId="56ACFA95"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-116.08</w:t>
            </w:r>
          </w:p>
        </w:tc>
      </w:tr>
      <w:tr w:rsidR="001B7E74" w14:paraId="4BCC6A6F" w14:textId="7E787C56" w:rsidTr="001B7E74">
        <w:trPr>
          <w:trHeight w:val="324"/>
        </w:trPr>
        <w:tc>
          <w:tcPr>
            <w:tcW w:w="1946" w:type="dxa"/>
            <w:tcBorders>
              <w:top w:val="nil"/>
              <w:left w:val="nil"/>
              <w:bottom w:val="nil"/>
              <w:right w:val="nil"/>
            </w:tcBorders>
            <w:shd w:val="clear" w:color="auto" w:fill="auto"/>
            <w:noWrap/>
            <w:vAlign w:val="bottom"/>
            <w:hideMark/>
          </w:tcPr>
          <w:p w14:paraId="78DAE069"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MENSEE04</w:t>
            </w:r>
          </w:p>
        </w:tc>
        <w:tc>
          <w:tcPr>
            <w:tcW w:w="1946" w:type="dxa"/>
            <w:tcBorders>
              <w:top w:val="nil"/>
              <w:left w:val="nil"/>
              <w:bottom w:val="nil"/>
              <w:right w:val="nil"/>
            </w:tcBorders>
            <w:shd w:val="clear" w:color="auto" w:fill="auto"/>
            <w:noWrap/>
            <w:vAlign w:val="bottom"/>
            <w:hideMark/>
          </w:tcPr>
          <w:p w14:paraId="7FE00A5C"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31-131</w:t>
            </w:r>
          </w:p>
        </w:tc>
        <w:tc>
          <w:tcPr>
            <w:tcW w:w="3174" w:type="dxa"/>
            <w:tcBorders>
              <w:top w:val="nil"/>
              <w:left w:val="nil"/>
              <w:bottom w:val="nil"/>
              <w:right w:val="nil"/>
            </w:tcBorders>
            <w:shd w:val="clear" w:color="auto" w:fill="auto"/>
            <w:noWrap/>
            <w:vAlign w:val="bottom"/>
            <w:hideMark/>
          </w:tcPr>
          <w:p w14:paraId="50FA731E" w14:textId="77777777" w:rsidR="001B7E74" w:rsidRDefault="001B7E74" w:rsidP="00947CEF">
            <w:pPr>
              <w:jc w:val="center"/>
              <w:rPr>
                <w:rFonts w:ascii="Calibri" w:hAnsi="Calibri" w:cs="Calibri"/>
                <w:color w:val="000000"/>
                <w:sz w:val="22"/>
                <w:szCs w:val="22"/>
              </w:rPr>
            </w:pPr>
            <w:r>
              <w:rPr>
                <w:rFonts w:ascii="Calibri" w:hAnsi="Calibri" w:cs="Calibri"/>
                <w:color w:val="000000"/>
                <w:sz w:val="22"/>
                <w:szCs w:val="22"/>
              </w:rPr>
              <w:t>13 out of 30</w:t>
            </w:r>
          </w:p>
        </w:tc>
        <w:tc>
          <w:tcPr>
            <w:tcW w:w="1946" w:type="dxa"/>
            <w:tcBorders>
              <w:top w:val="nil"/>
              <w:left w:val="nil"/>
              <w:bottom w:val="nil"/>
              <w:right w:val="nil"/>
            </w:tcBorders>
            <w:shd w:val="clear" w:color="auto" w:fill="auto"/>
            <w:noWrap/>
            <w:vAlign w:val="bottom"/>
            <w:hideMark/>
          </w:tcPr>
          <w:p w14:paraId="331F1DF1" w14:textId="77777777" w:rsidR="001B7E74" w:rsidRDefault="001B7E74" w:rsidP="00947CEF">
            <w:pPr>
              <w:keepNext/>
              <w:jc w:val="center"/>
              <w:rPr>
                <w:rFonts w:ascii="Calibri" w:hAnsi="Calibri" w:cs="Calibri"/>
                <w:color w:val="000000"/>
                <w:sz w:val="22"/>
                <w:szCs w:val="22"/>
              </w:rPr>
            </w:pPr>
            <w:r>
              <w:rPr>
                <w:rFonts w:ascii="Calibri" w:hAnsi="Calibri" w:cs="Calibri"/>
                <w:color w:val="000000"/>
                <w:sz w:val="22"/>
                <w:szCs w:val="22"/>
              </w:rPr>
              <w:t>0.246</w:t>
            </w:r>
          </w:p>
        </w:tc>
        <w:tc>
          <w:tcPr>
            <w:tcW w:w="1454" w:type="dxa"/>
            <w:tcBorders>
              <w:top w:val="nil"/>
              <w:left w:val="nil"/>
              <w:bottom w:val="nil"/>
              <w:right w:val="nil"/>
            </w:tcBorders>
          </w:tcPr>
          <w:p w14:paraId="6F46DD76" w14:textId="04FB273D" w:rsidR="001B7E74" w:rsidRDefault="001B7E74" w:rsidP="00947CEF">
            <w:pPr>
              <w:keepNext/>
              <w:jc w:val="center"/>
              <w:rPr>
                <w:rFonts w:ascii="Calibri" w:hAnsi="Calibri" w:cs="Calibri"/>
                <w:color w:val="000000"/>
                <w:sz w:val="22"/>
                <w:szCs w:val="22"/>
              </w:rPr>
            </w:pPr>
            <w:r>
              <w:rPr>
                <w:rFonts w:ascii="Calibri" w:hAnsi="Calibri" w:cs="Calibri"/>
                <w:color w:val="000000"/>
                <w:sz w:val="22"/>
                <w:szCs w:val="22"/>
              </w:rPr>
              <w:t>-115.45</w:t>
            </w:r>
          </w:p>
        </w:tc>
      </w:tr>
      <w:tr w:rsidR="001B7E74" w14:paraId="51A1C8DD" w14:textId="77777777" w:rsidTr="00244E7F">
        <w:trPr>
          <w:trHeight w:val="324"/>
        </w:trPr>
        <w:tc>
          <w:tcPr>
            <w:tcW w:w="1946" w:type="dxa"/>
            <w:tcBorders>
              <w:top w:val="nil"/>
              <w:left w:val="nil"/>
              <w:bottom w:val="nil"/>
              <w:right w:val="nil"/>
            </w:tcBorders>
            <w:shd w:val="clear" w:color="auto" w:fill="auto"/>
            <w:noWrap/>
            <w:vAlign w:val="bottom"/>
          </w:tcPr>
          <w:p w14:paraId="535D1717" w14:textId="054BA69E" w:rsidR="001B7E74" w:rsidRDefault="00244E7F" w:rsidP="00947CEF">
            <w:pPr>
              <w:jc w:val="center"/>
              <w:rPr>
                <w:rFonts w:ascii="Calibri" w:hAnsi="Calibri" w:cs="Calibri"/>
                <w:color w:val="000000"/>
                <w:sz w:val="22"/>
                <w:szCs w:val="22"/>
              </w:rPr>
            </w:pPr>
            <w:r>
              <w:rPr>
                <w:rFonts w:ascii="Calibri" w:hAnsi="Calibri" w:cs="Calibri"/>
                <w:color w:val="000000"/>
                <w:sz w:val="22"/>
                <w:szCs w:val="22"/>
              </w:rPr>
              <w:t>Extras</w:t>
            </w:r>
          </w:p>
        </w:tc>
        <w:tc>
          <w:tcPr>
            <w:tcW w:w="1946" w:type="dxa"/>
            <w:tcBorders>
              <w:top w:val="nil"/>
              <w:left w:val="nil"/>
              <w:bottom w:val="nil"/>
              <w:right w:val="nil"/>
            </w:tcBorders>
            <w:shd w:val="clear" w:color="auto" w:fill="auto"/>
            <w:noWrap/>
            <w:vAlign w:val="bottom"/>
          </w:tcPr>
          <w:p w14:paraId="354BB8BB" w14:textId="351DC4E4" w:rsidR="001B7E74" w:rsidRDefault="00244E7F" w:rsidP="00947CEF">
            <w:pPr>
              <w:jc w:val="center"/>
              <w:rPr>
                <w:rFonts w:ascii="Calibri" w:hAnsi="Calibri" w:cs="Calibri"/>
                <w:color w:val="000000"/>
                <w:sz w:val="22"/>
                <w:szCs w:val="22"/>
              </w:rPr>
            </w:pPr>
            <w:r>
              <w:rPr>
                <w:rFonts w:ascii="Calibri" w:hAnsi="Calibri" w:cs="Calibri"/>
                <w:color w:val="000000"/>
                <w:sz w:val="22"/>
                <w:szCs w:val="22"/>
              </w:rPr>
              <w:t>223</w:t>
            </w:r>
            <w:r w:rsidR="001B7E74">
              <w:rPr>
                <w:rFonts w:ascii="Calibri" w:hAnsi="Calibri" w:cs="Calibri"/>
                <w:color w:val="000000"/>
                <w:sz w:val="22"/>
                <w:szCs w:val="22"/>
              </w:rPr>
              <w:t>-9</w:t>
            </w:r>
            <w:r>
              <w:rPr>
                <w:rFonts w:ascii="Calibri" w:hAnsi="Calibri" w:cs="Calibri"/>
                <w:color w:val="000000"/>
                <w:sz w:val="22"/>
                <w:szCs w:val="22"/>
              </w:rPr>
              <w:t>7</w:t>
            </w:r>
            <w:r w:rsidR="001B7E74">
              <w:rPr>
                <w:rFonts w:ascii="Calibri" w:hAnsi="Calibri" w:cs="Calibri"/>
                <w:color w:val="000000"/>
                <w:sz w:val="22"/>
                <w:szCs w:val="22"/>
              </w:rPr>
              <w:t>4</w:t>
            </w:r>
          </w:p>
        </w:tc>
        <w:tc>
          <w:tcPr>
            <w:tcW w:w="3174" w:type="dxa"/>
            <w:tcBorders>
              <w:top w:val="nil"/>
              <w:left w:val="nil"/>
              <w:bottom w:val="nil"/>
              <w:right w:val="nil"/>
            </w:tcBorders>
            <w:shd w:val="clear" w:color="auto" w:fill="auto"/>
            <w:noWrap/>
            <w:vAlign w:val="bottom"/>
          </w:tcPr>
          <w:p w14:paraId="34FA9C93" w14:textId="6720A2D6" w:rsidR="001B7E74" w:rsidRDefault="00244E7F" w:rsidP="00947CEF">
            <w:pPr>
              <w:jc w:val="center"/>
              <w:rPr>
                <w:rFonts w:ascii="Calibri" w:hAnsi="Calibri" w:cs="Calibri"/>
                <w:color w:val="000000"/>
                <w:sz w:val="22"/>
                <w:szCs w:val="22"/>
              </w:rPr>
            </w:pPr>
            <w:r>
              <w:rPr>
                <w:rFonts w:ascii="Calibri" w:hAnsi="Calibri" w:cs="Calibri"/>
                <w:color w:val="000000"/>
                <w:sz w:val="22"/>
                <w:szCs w:val="22"/>
              </w:rPr>
              <w:t>18 out of 30</w:t>
            </w:r>
          </w:p>
        </w:tc>
        <w:tc>
          <w:tcPr>
            <w:tcW w:w="1946" w:type="dxa"/>
            <w:tcBorders>
              <w:top w:val="nil"/>
              <w:left w:val="nil"/>
              <w:bottom w:val="nil"/>
              <w:right w:val="nil"/>
            </w:tcBorders>
            <w:shd w:val="clear" w:color="auto" w:fill="auto"/>
            <w:noWrap/>
            <w:vAlign w:val="bottom"/>
          </w:tcPr>
          <w:p w14:paraId="0D55878D" w14:textId="77777777" w:rsidR="001B7E74" w:rsidRDefault="001B7E74" w:rsidP="00947CEF">
            <w:pPr>
              <w:keepNext/>
              <w:jc w:val="center"/>
              <w:rPr>
                <w:rFonts w:ascii="Calibri" w:hAnsi="Calibri" w:cs="Calibri"/>
                <w:color w:val="000000"/>
                <w:sz w:val="22"/>
                <w:szCs w:val="22"/>
              </w:rPr>
            </w:pPr>
          </w:p>
        </w:tc>
        <w:tc>
          <w:tcPr>
            <w:tcW w:w="1454" w:type="dxa"/>
            <w:tcBorders>
              <w:top w:val="nil"/>
              <w:left w:val="nil"/>
              <w:bottom w:val="nil"/>
              <w:right w:val="nil"/>
            </w:tcBorders>
          </w:tcPr>
          <w:p w14:paraId="253DDF07" w14:textId="02FC8C8C" w:rsidR="001B7E74" w:rsidRDefault="00244E7F" w:rsidP="00244E7F">
            <w:pPr>
              <w:keepNext/>
              <w:jc w:val="center"/>
              <w:rPr>
                <w:rFonts w:ascii="Calibri" w:hAnsi="Calibri" w:cs="Calibri"/>
                <w:color w:val="000000"/>
                <w:sz w:val="22"/>
                <w:szCs w:val="22"/>
              </w:rPr>
            </w:pPr>
            <w:r>
              <w:rPr>
                <w:rFonts w:ascii="Calibri" w:hAnsi="Calibri" w:cs="Calibri"/>
                <w:color w:val="000000"/>
                <w:sz w:val="22"/>
                <w:szCs w:val="22"/>
              </w:rPr>
              <w:t>-111.53</w:t>
            </w:r>
          </w:p>
        </w:tc>
      </w:tr>
      <w:tr w:rsidR="00244E7F" w14:paraId="0E3B98BF" w14:textId="77777777" w:rsidTr="00244E7F">
        <w:trPr>
          <w:trHeight w:val="324"/>
        </w:trPr>
        <w:tc>
          <w:tcPr>
            <w:tcW w:w="1946" w:type="dxa"/>
            <w:tcBorders>
              <w:top w:val="nil"/>
              <w:left w:val="nil"/>
              <w:bottom w:val="nil"/>
              <w:right w:val="nil"/>
            </w:tcBorders>
            <w:shd w:val="clear" w:color="auto" w:fill="auto"/>
            <w:noWrap/>
            <w:vAlign w:val="bottom"/>
          </w:tcPr>
          <w:p w14:paraId="3A99547E" w14:textId="77777777" w:rsidR="00244E7F" w:rsidRDefault="00244E7F" w:rsidP="00947CEF">
            <w:pPr>
              <w:jc w:val="center"/>
              <w:rPr>
                <w:rFonts w:ascii="Calibri" w:hAnsi="Calibri" w:cs="Calibri"/>
                <w:color w:val="000000"/>
                <w:sz w:val="22"/>
                <w:szCs w:val="22"/>
              </w:rPr>
            </w:pPr>
          </w:p>
        </w:tc>
        <w:tc>
          <w:tcPr>
            <w:tcW w:w="1946" w:type="dxa"/>
            <w:tcBorders>
              <w:top w:val="nil"/>
              <w:left w:val="nil"/>
              <w:bottom w:val="nil"/>
              <w:right w:val="nil"/>
            </w:tcBorders>
            <w:shd w:val="clear" w:color="auto" w:fill="auto"/>
            <w:noWrap/>
            <w:vAlign w:val="bottom"/>
          </w:tcPr>
          <w:p w14:paraId="274B2E88" w14:textId="30404EB1" w:rsidR="00244E7F" w:rsidRDefault="00244E7F" w:rsidP="00947CEF">
            <w:pPr>
              <w:jc w:val="center"/>
              <w:rPr>
                <w:rFonts w:ascii="Calibri" w:hAnsi="Calibri" w:cs="Calibri"/>
                <w:color w:val="000000"/>
                <w:sz w:val="22"/>
                <w:szCs w:val="22"/>
              </w:rPr>
            </w:pPr>
            <w:r>
              <w:rPr>
                <w:rFonts w:ascii="Calibri" w:hAnsi="Calibri" w:cs="Calibri"/>
                <w:color w:val="000000"/>
                <w:sz w:val="22"/>
                <w:szCs w:val="22"/>
              </w:rPr>
              <w:t>398-1013</w:t>
            </w:r>
          </w:p>
        </w:tc>
        <w:tc>
          <w:tcPr>
            <w:tcW w:w="3174" w:type="dxa"/>
            <w:tcBorders>
              <w:top w:val="nil"/>
              <w:left w:val="nil"/>
              <w:bottom w:val="nil"/>
              <w:right w:val="nil"/>
            </w:tcBorders>
            <w:shd w:val="clear" w:color="auto" w:fill="auto"/>
            <w:noWrap/>
            <w:vAlign w:val="bottom"/>
          </w:tcPr>
          <w:p w14:paraId="0A44D932" w14:textId="6DEC3D77" w:rsidR="00244E7F" w:rsidRDefault="00244E7F" w:rsidP="00947CEF">
            <w:pPr>
              <w:jc w:val="center"/>
              <w:rPr>
                <w:rFonts w:ascii="Calibri" w:hAnsi="Calibri" w:cs="Calibri"/>
                <w:color w:val="000000"/>
                <w:sz w:val="22"/>
                <w:szCs w:val="22"/>
              </w:rPr>
            </w:pPr>
            <w:r>
              <w:rPr>
                <w:rFonts w:ascii="Calibri" w:hAnsi="Calibri" w:cs="Calibri"/>
                <w:color w:val="000000"/>
                <w:sz w:val="22"/>
                <w:szCs w:val="22"/>
              </w:rPr>
              <w:t>18 out of 30</w:t>
            </w:r>
          </w:p>
        </w:tc>
        <w:tc>
          <w:tcPr>
            <w:tcW w:w="1946" w:type="dxa"/>
            <w:tcBorders>
              <w:top w:val="nil"/>
              <w:left w:val="nil"/>
              <w:bottom w:val="nil"/>
              <w:right w:val="nil"/>
            </w:tcBorders>
            <w:shd w:val="clear" w:color="auto" w:fill="auto"/>
            <w:noWrap/>
            <w:vAlign w:val="bottom"/>
          </w:tcPr>
          <w:p w14:paraId="0E4D1913" w14:textId="77777777" w:rsidR="00244E7F" w:rsidRDefault="00244E7F" w:rsidP="00947CEF">
            <w:pPr>
              <w:keepNext/>
              <w:jc w:val="center"/>
              <w:rPr>
                <w:rFonts w:ascii="Calibri" w:hAnsi="Calibri" w:cs="Calibri"/>
                <w:color w:val="000000"/>
                <w:sz w:val="22"/>
                <w:szCs w:val="22"/>
              </w:rPr>
            </w:pPr>
          </w:p>
        </w:tc>
        <w:tc>
          <w:tcPr>
            <w:tcW w:w="1454" w:type="dxa"/>
            <w:tcBorders>
              <w:top w:val="nil"/>
              <w:left w:val="nil"/>
              <w:bottom w:val="nil"/>
              <w:right w:val="nil"/>
            </w:tcBorders>
          </w:tcPr>
          <w:p w14:paraId="3EC7B370" w14:textId="03458537" w:rsidR="00244E7F" w:rsidRPr="00244E7F" w:rsidRDefault="00244E7F" w:rsidP="00947CEF">
            <w:pPr>
              <w:keepNext/>
              <w:jc w:val="center"/>
              <w:rPr>
                <w:rFonts w:ascii="Calibri" w:hAnsi="Calibri" w:cs="Calibri"/>
                <w:color w:val="000000"/>
                <w:sz w:val="22"/>
                <w:szCs w:val="22"/>
              </w:rPr>
            </w:pPr>
            <w:r>
              <w:rPr>
                <w:rFonts w:ascii="Calibri" w:hAnsi="Calibri" w:cs="Calibri"/>
                <w:color w:val="000000"/>
                <w:sz w:val="22"/>
                <w:szCs w:val="22"/>
              </w:rPr>
              <w:t>-109.04</w:t>
            </w:r>
          </w:p>
        </w:tc>
      </w:tr>
      <w:tr w:rsidR="00244E7F" w14:paraId="1E471B7C" w14:textId="77777777" w:rsidTr="001B7E74">
        <w:trPr>
          <w:trHeight w:val="324"/>
        </w:trPr>
        <w:tc>
          <w:tcPr>
            <w:tcW w:w="1946" w:type="dxa"/>
            <w:tcBorders>
              <w:top w:val="nil"/>
              <w:left w:val="nil"/>
              <w:bottom w:val="single" w:sz="4" w:space="0" w:color="auto"/>
              <w:right w:val="nil"/>
            </w:tcBorders>
            <w:shd w:val="clear" w:color="auto" w:fill="auto"/>
            <w:noWrap/>
            <w:vAlign w:val="bottom"/>
          </w:tcPr>
          <w:p w14:paraId="16CD1518" w14:textId="35D0D544" w:rsidR="00244E7F" w:rsidRDefault="00244E7F" w:rsidP="00947CEF">
            <w:pPr>
              <w:jc w:val="center"/>
              <w:rPr>
                <w:rFonts w:ascii="Calibri" w:hAnsi="Calibri" w:cs="Calibri"/>
                <w:color w:val="000000"/>
                <w:sz w:val="22"/>
                <w:szCs w:val="22"/>
              </w:rPr>
            </w:pPr>
          </w:p>
        </w:tc>
        <w:tc>
          <w:tcPr>
            <w:tcW w:w="1946" w:type="dxa"/>
            <w:tcBorders>
              <w:top w:val="nil"/>
              <w:left w:val="nil"/>
              <w:bottom w:val="single" w:sz="4" w:space="0" w:color="auto"/>
              <w:right w:val="nil"/>
            </w:tcBorders>
            <w:shd w:val="clear" w:color="auto" w:fill="auto"/>
            <w:noWrap/>
            <w:vAlign w:val="bottom"/>
          </w:tcPr>
          <w:p w14:paraId="54AEFD3A" w14:textId="563F3B81" w:rsidR="00244E7F" w:rsidRDefault="00244E7F" w:rsidP="00947CEF">
            <w:pPr>
              <w:jc w:val="center"/>
              <w:rPr>
                <w:rFonts w:ascii="Calibri" w:hAnsi="Calibri" w:cs="Calibri"/>
                <w:color w:val="000000"/>
                <w:sz w:val="22"/>
                <w:szCs w:val="22"/>
              </w:rPr>
            </w:pPr>
            <w:r>
              <w:rPr>
                <w:rFonts w:ascii="Calibri" w:hAnsi="Calibri" w:cs="Calibri"/>
                <w:color w:val="000000"/>
                <w:sz w:val="22"/>
                <w:szCs w:val="22"/>
              </w:rPr>
              <w:t>1070-7273</w:t>
            </w:r>
          </w:p>
        </w:tc>
        <w:tc>
          <w:tcPr>
            <w:tcW w:w="3174" w:type="dxa"/>
            <w:tcBorders>
              <w:top w:val="nil"/>
              <w:left w:val="nil"/>
              <w:bottom w:val="single" w:sz="4" w:space="0" w:color="auto"/>
              <w:right w:val="nil"/>
            </w:tcBorders>
            <w:shd w:val="clear" w:color="auto" w:fill="auto"/>
            <w:noWrap/>
            <w:vAlign w:val="bottom"/>
          </w:tcPr>
          <w:p w14:paraId="58358D29" w14:textId="251FDB34" w:rsidR="00244E7F" w:rsidRDefault="00244E7F" w:rsidP="00947CEF">
            <w:pPr>
              <w:jc w:val="center"/>
              <w:rPr>
                <w:rFonts w:ascii="Calibri" w:hAnsi="Calibri" w:cs="Calibri"/>
                <w:color w:val="000000"/>
                <w:sz w:val="22"/>
                <w:szCs w:val="22"/>
              </w:rPr>
            </w:pPr>
            <w:r>
              <w:rPr>
                <w:rFonts w:ascii="Calibri" w:hAnsi="Calibri" w:cs="Calibri"/>
                <w:color w:val="000000"/>
                <w:sz w:val="22"/>
                <w:szCs w:val="22"/>
              </w:rPr>
              <w:t>30 but only sheet</w:t>
            </w:r>
          </w:p>
        </w:tc>
        <w:tc>
          <w:tcPr>
            <w:tcW w:w="1946" w:type="dxa"/>
            <w:tcBorders>
              <w:top w:val="nil"/>
              <w:left w:val="nil"/>
              <w:bottom w:val="single" w:sz="4" w:space="0" w:color="auto"/>
              <w:right w:val="nil"/>
            </w:tcBorders>
            <w:shd w:val="clear" w:color="auto" w:fill="auto"/>
            <w:noWrap/>
            <w:vAlign w:val="bottom"/>
          </w:tcPr>
          <w:p w14:paraId="197537BC" w14:textId="77777777" w:rsidR="00244E7F" w:rsidRDefault="00244E7F" w:rsidP="00947CEF">
            <w:pPr>
              <w:keepNext/>
              <w:jc w:val="center"/>
              <w:rPr>
                <w:rFonts w:ascii="Calibri" w:hAnsi="Calibri" w:cs="Calibri"/>
                <w:color w:val="000000"/>
                <w:sz w:val="22"/>
                <w:szCs w:val="22"/>
              </w:rPr>
            </w:pPr>
          </w:p>
        </w:tc>
        <w:tc>
          <w:tcPr>
            <w:tcW w:w="1454" w:type="dxa"/>
            <w:tcBorders>
              <w:top w:val="nil"/>
              <w:left w:val="nil"/>
              <w:bottom w:val="single" w:sz="4" w:space="0" w:color="auto"/>
              <w:right w:val="nil"/>
            </w:tcBorders>
          </w:tcPr>
          <w:p w14:paraId="40E7F8F8" w14:textId="7A06A1AD" w:rsidR="00244E7F" w:rsidRDefault="00244E7F" w:rsidP="00947CEF">
            <w:pPr>
              <w:keepNext/>
              <w:jc w:val="center"/>
              <w:rPr>
                <w:rFonts w:ascii="Calibri" w:hAnsi="Calibri" w:cs="Calibri"/>
                <w:color w:val="000000"/>
                <w:sz w:val="22"/>
                <w:szCs w:val="22"/>
              </w:rPr>
            </w:pPr>
            <w:r>
              <w:rPr>
                <w:rFonts w:ascii="Calibri" w:hAnsi="Calibri" w:cs="Calibri"/>
                <w:color w:val="000000"/>
                <w:sz w:val="22"/>
                <w:szCs w:val="22"/>
              </w:rPr>
              <w:t>-100.04</w:t>
            </w:r>
          </w:p>
        </w:tc>
      </w:tr>
    </w:tbl>
    <w:p w14:paraId="42D745E7" w14:textId="282DE617" w:rsidR="001B7E74" w:rsidRDefault="001B7E74" w:rsidP="009F4597">
      <w:pPr>
        <w:rPr>
          <w:lang w:val="en-US"/>
        </w:rPr>
      </w:pPr>
    </w:p>
    <w:p w14:paraId="616FFE42" w14:textId="77777777" w:rsidR="001B7E74" w:rsidRPr="009F4597" w:rsidRDefault="001B7E74" w:rsidP="009F4597">
      <w:pPr>
        <w:rPr>
          <w:lang w:val="en-US"/>
        </w:rPr>
      </w:pPr>
      <w:bookmarkStart w:id="1" w:name="_GoBack"/>
      <w:bookmarkEnd w:id="1"/>
    </w:p>
    <w:sectPr w:rsidR="001B7E74" w:rsidRPr="009F4597" w:rsidSect="00D47C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040A1"/>
    <w:multiLevelType w:val="hybridMultilevel"/>
    <w:tmpl w:val="2C9A6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CAB"/>
    <w:rsid w:val="000E702E"/>
    <w:rsid w:val="00121C65"/>
    <w:rsid w:val="001B7E74"/>
    <w:rsid w:val="00205A41"/>
    <w:rsid w:val="00244E7F"/>
    <w:rsid w:val="0032599A"/>
    <w:rsid w:val="00642D15"/>
    <w:rsid w:val="00702F6E"/>
    <w:rsid w:val="00783F84"/>
    <w:rsid w:val="008C24DF"/>
    <w:rsid w:val="00930DC5"/>
    <w:rsid w:val="00982276"/>
    <w:rsid w:val="009F4597"/>
    <w:rsid w:val="00B10502"/>
    <w:rsid w:val="00D34E11"/>
    <w:rsid w:val="00D47CAB"/>
    <w:rsid w:val="00EC3EA5"/>
    <w:rsid w:val="00F6150B"/>
    <w:rsid w:val="00F81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D349"/>
  <w15:chartTrackingRefBased/>
  <w15:docId w15:val="{F4A81DFD-8005-480F-B46B-F5844BD4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7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CAB"/>
    <w:rPr>
      <w:rFonts w:eastAsiaTheme="majorEastAsia" w:cstheme="majorBidi"/>
      <w:color w:val="272727" w:themeColor="text1" w:themeTint="D8"/>
    </w:rPr>
  </w:style>
  <w:style w:type="paragraph" w:styleId="Title">
    <w:name w:val="Title"/>
    <w:basedOn w:val="Normal"/>
    <w:next w:val="Normal"/>
    <w:link w:val="TitleChar"/>
    <w:uiPriority w:val="10"/>
    <w:qFormat/>
    <w:rsid w:val="00D47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CAB"/>
    <w:pPr>
      <w:spacing w:before="160"/>
      <w:jc w:val="center"/>
    </w:pPr>
    <w:rPr>
      <w:i/>
      <w:iCs/>
      <w:color w:val="404040" w:themeColor="text1" w:themeTint="BF"/>
    </w:rPr>
  </w:style>
  <w:style w:type="character" w:customStyle="1" w:styleId="QuoteChar">
    <w:name w:val="Quote Char"/>
    <w:basedOn w:val="DefaultParagraphFont"/>
    <w:link w:val="Quote"/>
    <w:uiPriority w:val="29"/>
    <w:rsid w:val="00D47CAB"/>
    <w:rPr>
      <w:i/>
      <w:iCs/>
      <w:color w:val="404040" w:themeColor="text1" w:themeTint="BF"/>
    </w:rPr>
  </w:style>
  <w:style w:type="paragraph" w:styleId="ListParagraph">
    <w:name w:val="List Paragraph"/>
    <w:basedOn w:val="Normal"/>
    <w:uiPriority w:val="34"/>
    <w:qFormat/>
    <w:rsid w:val="00D47CAB"/>
    <w:pPr>
      <w:ind w:left="720"/>
      <w:contextualSpacing/>
    </w:pPr>
  </w:style>
  <w:style w:type="character" w:styleId="IntenseEmphasis">
    <w:name w:val="Intense Emphasis"/>
    <w:basedOn w:val="DefaultParagraphFont"/>
    <w:uiPriority w:val="21"/>
    <w:qFormat/>
    <w:rsid w:val="00D47CAB"/>
    <w:rPr>
      <w:i/>
      <w:iCs/>
      <w:color w:val="0F4761" w:themeColor="accent1" w:themeShade="BF"/>
    </w:rPr>
  </w:style>
  <w:style w:type="paragraph" w:styleId="IntenseQuote">
    <w:name w:val="Intense Quote"/>
    <w:basedOn w:val="Normal"/>
    <w:next w:val="Normal"/>
    <w:link w:val="IntenseQuoteChar"/>
    <w:uiPriority w:val="30"/>
    <w:qFormat/>
    <w:rsid w:val="00D47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CAB"/>
    <w:rPr>
      <w:i/>
      <w:iCs/>
      <w:color w:val="0F4761" w:themeColor="accent1" w:themeShade="BF"/>
    </w:rPr>
  </w:style>
  <w:style w:type="character" w:styleId="IntenseReference">
    <w:name w:val="Intense Reference"/>
    <w:basedOn w:val="DefaultParagraphFont"/>
    <w:uiPriority w:val="32"/>
    <w:qFormat/>
    <w:rsid w:val="00D47CAB"/>
    <w:rPr>
      <w:b/>
      <w:bCs/>
      <w:smallCaps/>
      <w:color w:val="0F4761" w:themeColor="accent1" w:themeShade="BF"/>
      <w:spacing w:val="5"/>
    </w:rPr>
  </w:style>
  <w:style w:type="paragraph" w:styleId="Caption">
    <w:name w:val="caption"/>
    <w:basedOn w:val="Normal"/>
    <w:next w:val="Normal"/>
    <w:uiPriority w:val="35"/>
    <w:unhideWhenUsed/>
    <w:qFormat/>
    <w:rsid w:val="00D47CA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6B287-D809-4AB8-9028-49CEB43F4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Louise</dc:creator>
  <cp:keywords/>
  <dc:description/>
  <cp:lastModifiedBy>Price, Sarah (Sally)</cp:lastModifiedBy>
  <cp:revision>4</cp:revision>
  <dcterms:created xsi:type="dcterms:W3CDTF">2025-09-28T11:32:00Z</dcterms:created>
  <dcterms:modified xsi:type="dcterms:W3CDTF">2025-09-29T14:27:00Z</dcterms:modified>
</cp:coreProperties>
</file>