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786CD" w14:textId="0C91B099" w:rsidR="003D57B9" w:rsidRDefault="00045048" w:rsidP="003D57B9">
      <w:pPr>
        <w:pStyle w:val="Nagwek1"/>
        <w:jc w:val="center"/>
      </w:pPr>
      <w:r>
        <w:t>w</w:t>
      </w:r>
      <w:r w:rsidR="003D57B9">
        <w:t>riteup for mce-mecn-100k-293k</w:t>
      </w:r>
    </w:p>
    <w:p w14:paraId="456A4983" w14:textId="39A06EE6" w:rsidR="0026145D" w:rsidRDefault="009424DE" w:rsidP="009424DE">
      <w:r w:rsidRPr="009424DE">
        <w:t xml:space="preserve">A translucent colorless block-like specimen of approximate dimensions 0.310 mm x 0.220 mm x 0.090mm, used for the X-ray crystallographic analysis. The chosen specimen was used for </w:t>
      </w:r>
      <w:r w:rsidR="00075BF8">
        <w:t>both 100K and 293K</w:t>
      </w:r>
      <w:r>
        <w:t xml:space="preserve"> </w:t>
      </w:r>
      <w:r w:rsidRPr="009424DE">
        <w:t xml:space="preserve">temperature experiments. The X-ray intensity data were measured on </w:t>
      </w:r>
      <w:proofErr w:type="spellStart"/>
      <w:r w:rsidRPr="009424DE">
        <w:t>XtaLAB</w:t>
      </w:r>
      <w:proofErr w:type="spellEnd"/>
      <w:r w:rsidRPr="009424DE">
        <w:t xml:space="preserve"> Synergy, </w:t>
      </w:r>
      <w:proofErr w:type="spellStart"/>
      <w:r w:rsidRPr="009424DE">
        <w:t>Dualflex</w:t>
      </w:r>
      <w:proofErr w:type="spellEnd"/>
      <w:r w:rsidRPr="009424DE">
        <w:t xml:space="preserve">, </w:t>
      </w:r>
      <w:proofErr w:type="spellStart"/>
      <w:r w:rsidRPr="009424DE">
        <w:t>HyPix</w:t>
      </w:r>
      <w:proofErr w:type="spellEnd"/>
      <w:r>
        <w:t xml:space="preserve"> </w:t>
      </w:r>
      <w:r w:rsidRPr="009424DE">
        <w:t xml:space="preserve">four-circle diffractometer (microfocus sealed x-ray tube, </w:t>
      </w:r>
      <w:proofErr w:type="spellStart"/>
      <w:r w:rsidRPr="009424DE">
        <w:t>CuK</w:t>
      </w:r>
      <w:proofErr w:type="spellEnd"/>
      <w:r w:rsidR="0026145D">
        <w:t>α</w:t>
      </w:r>
      <w:r w:rsidRPr="009424DE">
        <w:t xml:space="preserve"> , λ = 1.54184Å) operated at 50KV voltage</w:t>
      </w:r>
      <w:r>
        <w:t xml:space="preserve"> </w:t>
      </w:r>
      <w:r w:rsidRPr="009424DE">
        <w:t>and 1mA current. Diffractometer was further equipped with Oxford Cyro system Plus Controller for</w:t>
      </w:r>
      <w:r>
        <w:t xml:space="preserve"> </w:t>
      </w:r>
      <w:r w:rsidRPr="009424DE">
        <w:t>variable temperature data collection(</w:t>
      </w:r>
      <w:r w:rsidR="0026145D">
        <w:t>N</w:t>
      </w:r>
      <w:r w:rsidR="0026145D" w:rsidRPr="0026145D">
        <w:rPr>
          <w:vertAlign w:val="subscript"/>
        </w:rPr>
        <w:t>2</w:t>
      </w:r>
      <w:r w:rsidRPr="009424DE">
        <w:t xml:space="preserve"> flow). The frames were integrated with the </w:t>
      </w:r>
      <w:proofErr w:type="spellStart"/>
      <w:r w:rsidRPr="009424DE">
        <w:t>CrysAlisPro</w:t>
      </w:r>
      <w:proofErr w:type="spellEnd"/>
      <w:r>
        <w:t xml:space="preserve"> </w:t>
      </w:r>
      <w:r w:rsidRPr="009424DE">
        <w:t>1.171.43.104a software package</w:t>
      </w:r>
      <w:r w:rsidR="0026145D">
        <w:t>.</w:t>
      </w:r>
      <w:r w:rsidRPr="009424DE">
        <w:t xml:space="preserve"> The structure was solved and refined</w:t>
      </w:r>
      <w:r>
        <w:t xml:space="preserve"> </w:t>
      </w:r>
      <w:r w:rsidRPr="009424DE">
        <w:t xml:space="preserve">using the SHELXT [1] and SHELXL [2] programs respectively, using the space group type </w:t>
      </w:r>
      <w:r w:rsidRPr="009424DE">
        <w:rPr>
          <w:i/>
          <w:iCs/>
        </w:rPr>
        <w:t>P</w:t>
      </w:r>
      <w:r>
        <w:t>-1</w:t>
      </w:r>
      <w:r w:rsidRPr="009424DE">
        <w:t xml:space="preserve"> (no.</w:t>
      </w:r>
      <w:r>
        <w:t xml:space="preserve"> 2</w:t>
      </w:r>
      <w:r w:rsidRPr="009424DE">
        <w:t>). All non-hydrogen atoms were refined with anisotropic</w:t>
      </w:r>
      <w:r>
        <w:t xml:space="preserve"> </w:t>
      </w:r>
      <w:r w:rsidRPr="009424DE">
        <w:t>displacement parameters.</w:t>
      </w:r>
      <w:r w:rsidR="0026145D">
        <w:t xml:space="preserve"> All hydrogen atoms were found from difference Fourier map. For 100K dataset, hydrogen atom positions and thermal parameters were refined, but for 293K dataset, restrains were applied using SADI and DFIX cards. Following DFIX restraint was applied for hydroxyl hydrogen atom:</w:t>
      </w:r>
    </w:p>
    <w:p w14:paraId="2280159E" w14:textId="55391A1D" w:rsidR="0026145D" w:rsidRDefault="0026145D" w:rsidP="009424DE">
      <w:r>
        <w:t>DFIX 0.98 O2 H2O</w:t>
      </w:r>
    </w:p>
    <w:p w14:paraId="44C6709F" w14:textId="2854A828" w:rsidR="0026145D" w:rsidRDefault="0026145D" w:rsidP="009424DE">
      <w:r>
        <w:t>Aromatic hydrogen atoms were restrained to have same distance using the following SADI restraint:</w:t>
      </w:r>
    </w:p>
    <w:p w14:paraId="1974CCD5" w14:textId="77777777" w:rsidR="00BE6AB2" w:rsidRDefault="00BE6AB2" w:rsidP="009424DE">
      <w:r w:rsidRPr="00BE6AB2">
        <w:t>SADI C2 H2 C3 H3 C4 H4 C6 H6 ! AROMATIC C-H DIST</w:t>
      </w:r>
    </w:p>
    <w:p w14:paraId="3B5C630D" w14:textId="71AA1BB3" w:rsidR="00BE6AB2" w:rsidRDefault="00BE6AB2" w:rsidP="00BE6AB2">
      <w:r>
        <w:t xml:space="preserve">Methyl hydrogens in MCE moiety and solvent </w:t>
      </w:r>
      <w:proofErr w:type="spellStart"/>
      <w:r>
        <w:t>MeCN</w:t>
      </w:r>
      <w:proofErr w:type="spellEnd"/>
      <w:r>
        <w:t xml:space="preserve"> were also restrained using SADI cards.</w:t>
      </w:r>
    </w:p>
    <w:p w14:paraId="07B0D802" w14:textId="55F03860" w:rsidR="00BE6AB2" w:rsidRDefault="00BE6AB2" w:rsidP="00BE6AB2">
      <w:r>
        <w:t>SADI C8 H8A C8 H8B C8 H8C C9 H9A C9 H9B C9 H9C ! C-H distance</w:t>
      </w:r>
      <w:r>
        <w:br/>
        <w:t>SADI H8A H8B H8A H8C H8B H8C H9A H9B H9A H9C H9B H9C ! H...H non-bonded</w:t>
      </w:r>
      <w:r>
        <w:br/>
        <w:t>SADI C7 H8A C7 H8B C7 H8C ! 1,3-distances</w:t>
      </w:r>
    </w:p>
    <w:p w14:paraId="4CA155C0" w14:textId="30E2CBCA" w:rsidR="00F56892" w:rsidRDefault="009424DE" w:rsidP="009424DE">
      <w:r w:rsidRPr="009424DE">
        <w:t>Software used for creating molecular graphics is ORTEP3 [5] for</w:t>
      </w:r>
      <w:r>
        <w:t xml:space="preserve"> </w:t>
      </w:r>
      <w:r w:rsidRPr="009424DE">
        <w:t xml:space="preserve">windows/PLATON [3] and packages used for computing publication materials are SHELXLE [4] and </w:t>
      </w:r>
      <w:proofErr w:type="spellStart"/>
      <w:r w:rsidRPr="009424DE">
        <w:t>WinGX</w:t>
      </w:r>
      <w:proofErr w:type="spellEnd"/>
      <w:r w:rsidRPr="009424DE">
        <w:t xml:space="preserve"> [5]</w:t>
      </w:r>
      <w:r>
        <w:t xml:space="preserve"> </w:t>
      </w:r>
      <w:r w:rsidRPr="009424DE">
        <w:t>suite of programs.</w:t>
      </w:r>
    </w:p>
    <w:p w14:paraId="243B6310" w14:textId="77777777" w:rsidR="00363E39" w:rsidRDefault="00363E39" w:rsidP="00363E39">
      <w:r>
        <w:t>References:</w:t>
      </w:r>
    </w:p>
    <w:p w14:paraId="57437E8F" w14:textId="0CD6AEF0" w:rsidR="00363E39" w:rsidRPr="00FB3645" w:rsidRDefault="00363E39" w:rsidP="00FB3645">
      <w:pPr>
        <w:pStyle w:val="Akapitzlist"/>
        <w:numPr>
          <w:ilvl w:val="0"/>
          <w:numId w:val="2"/>
        </w:numPr>
      </w:pPr>
      <w:r w:rsidRPr="00FB3645">
        <w:t xml:space="preserve">Sheldrick, George M. “SHELXT–Integrated space-group and crystal-structure determination.” </w:t>
      </w:r>
      <w:r w:rsidRPr="00FB3645">
        <w:rPr>
          <w:i/>
          <w:iCs/>
        </w:rPr>
        <w:t xml:space="preserve">Acta </w:t>
      </w:r>
      <w:proofErr w:type="spellStart"/>
      <w:r w:rsidRPr="00FB3645">
        <w:rPr>
          <w:i/>
          <w:iCs/>
        </w:rPr>
        <w:t>Crystallographica</w:t>
      </w:r>
      <w:proofErr w:type="spellEnd"/>
      <w:r w:rsidRPr="00FB3645">
        <w:rPr>
          <w:i/>
          <w:iCs/>
        </w:rPr>
        <w:t xml:space="preserve"> Section A: Foundations and Advances</w:t>
      </w:r>
      <w:r w:rsidRPr="00FB3645">
        <w:t> 71.1 (</w:t>
      </w:r>
      <w:r w:rsidRPr="00FB3645">
        <w:rPr>
          <w:b/>
          <w:bCs/>
        </w:rPr>
        <w:t>2015</w:t>
      </w:r>
      <w:r w:rsidRPr="00FB3645">
        <w:t>): 3-8.</w:t>
      </w:r>
    </w:p>
    <w:p w14:paraId="697455CD" w14:textId="780E4057" w:rsidR="00363E39" w:rsidRPr="00FB3645" w:rsidRDefault="00363E39" w:rsidP="00FB3645">
      <w:pPr>
        <w:pStyle w:val="Akapitzlist"/>
        <w:numPr>
          <w:ilvl w:val="0"/>
          <w:numId w:val="2"/>
        </w:numPr>
      </w:pPr>
      <w:r w:rsidRPr="00FB3645">
        <w:t>Sheldrick, George M. “Crystal structure refinement with SHELXL.” </w:t>
      </w:r>
      <w:r w:rsidRPr="00FB3645">
        <w:rPr>
          <w:i/>
          <w:iCs/>
        </w:rPr>
        <w:t xml:space="preserve">Acta </w:t>
      </w:r>
      <w:proofErr w:type="spellStart"/>
      <w:r w:rsidRPr="00FB3645">
        <w:rPr>
          <w:i/>
          <w:iCs/>
        </w:rPr>
        <w:t>Crystallographica</w:t>
      </w:r>
      <w:proofErr w:type="spellEnd"/>
      <w:r w:rsidRPr="00FB3645">
        <w:rPr>
          <w:i/>
          <w:iCs/>
        </w:rPr>
        <w:t xml:space="preserve"> Section C: Structural Chemistry</w:t>
      </w:r>
      <w:r w:rsidRPr="00FB3645">
        <w:t> 71.1 (</w:t>
      </w:r>
      <w:r w:rsidRPr="00FB3645">
        <w:rPr>
          <w:b/>
          <w:bCs/>
        </w:rPr>
        <w:t>2015</w:t>
      </w:r>
      <w:r w:rsidRPr="00FB3645">
        <w:t>): 3-8.</w:t>
      </w:r>
    </w:p>
    <w:p w14:paraId="0CBBE9B6" w14:textId="65F0FC30" w:rsidR="00363E39" w:rsidRPr="00FB3645" w:rsidRDefault="00363E39" w:rsidP="00FB3645">
      <w:pPr>
        <w:pStyle w:val="Akapitzlist"/>
        <w:numPr>
          <w:ilvl w:val="0"/>
          <w:numId w:val="2"/>
        </w:numPr>
      </w:pPr>
      <w:r w:rsidRPr="00FB3645">
        <w:t>Spek, Anthony L. “Structure validation in chemical crystallography.” </w:t>
      </w:r>
      <w:r w:rsidRPr="00FB3645">
        <w:rPr>
          <w:i/>
          <w:iCs/>
        </w:rPr>
        <w:t xml:space="preserve">Acta </w:t>
      </w:r>
      <w:proofErr w:type="spellStart"/>
      <w:r w:rsidRPr="00FB3645">
        <w:rPr>
          <w:i/>
          <w:iCs/>
        </w:rPr>
        <w:t>Crystallographica</w:t>
      </w:r>
      <w:proofErr w:type="spellEnd"/>
      <w:r w:rsidRPr="00FB3645">
        <w:rPr>
          <w:i/>
          <w:iCs/>
        </w:rPr>
        <w:t xml:space="preserve"> Section D: Biological Crystallography</w:t>
      </w:r>
      <w:r w:rsidRPr="00FB3645">
        <w:t> 65.2 (</w:t>
      </w:r>
      <w:r w:rsidRPr="00FB3645">
        <w:rPr>
          <w:b/>
          <w:bCs/>
        </w:rPr>
        <w:t>2009</w:t>
      </w:r>
      <w:r w:rsidRPr="00FB3645">
        <w:t>): 148-155.</w:t>
      </w:r>
    </w:p>
    <w:p w14:paraId="792B1F04" w14:textId="09E0141E" w:rsidR="00363E39" w:rsidRPr="00FB3645" w:rsidRDefault="00363E39" w:rsidP="00FB3645">
      <w:pPr>
        <w:pStyle w:val="Akapitzlist"/>
        <w:numPr>
          <w:ilvl w:val="0"/>
          <w:numId w:val="2"/>
        </w:numPr>
      </w:pPr>
      <w:proofErr w:type="spellStart"/>
      <w:r w:rsidRPr="00FB3645">
        <w:t>Hübschle</w:t>
      </w:r>
      <w:proofErr w:type="spellEnd"/>
      <w:r w:rsidRPr="00FB3645">
        <w:t xml:space="preserve">, Christian B., George M. Sheldrick, and Birger Dittrich. </w:t>
      </w:r>
      <w:proofErr w:type="spellStart"/>
      <w:r w:rsidRPr="00FB3645">
        <w:t>ShelXle</w:t>
      </w:r>
      <w:proofErr w:type="spellEnd"/>
      <w:r w:rsidRPr="00FB3645">
        <w:t xml:space="preserve">: a Qt graphical user interface for SHELXL.” </w:t>
      </w:r>
      <w:r w:rsidRPr="00FB3645">
        <w:rPr>
          <w:i/>
          <w:iCs/>
        </w:rPr>
        <w:t>Journal of applied crystallography</w:t>
      </w:r>
      <w:r w:rsidRPr="00FB3645">
        <w:t> 44.6 (</w:t>
      </w:r>
      <w:r w:rsidRPr="00FB3645">
        <w:rPr>
          <w:b/>
          <w:bCs/>
        </w:rPr>
        <w:t>2011</w:t>
      </w:r>
      <w:r w:rsidRPr="00FB3645">
        <w:t>): 1281-1284.</w:t>
      </w:r>
    </w:p>
    <w:p w14:paraId="7F688328" w14:textId="097375FF" w:rsidR="00363E39" w:rsidRPr="00FB3645" w:rsidRDefault="00363E39" w:rsidP="00FB3645">
      <w:pPr>
        <w:pStyle w:val="Akapitzlist"/>
        <w:numPr>
          <w:ilvl w:val="0"/>
          <w:numId w:val="2"/>
        </w:numPr>
      </w:pPr>
      <w:r w:rsidRPr="00FB3645">
        <w:t>Farrugia, Louis J. “</w:t>
      </w:r>
      <w:proofErr w:type="spellStart"/>
      <w:r w:rsidRPr="00FB3645">
        <w:t>WinGX</w:t>
      </w:r>
      <w:proofErr w:type="spellEnd"/>
      <w:r w:rsidRPr="00FB3645">
        <w:t xml:space="preserve"> and ORTEP for Windows: an update” </w:t>
      </w:r>
      <w:r w:rsidRPr="00FB3645">
        <w:rPr>
          <w:i/>
          <w:iCs/>
        </w:rPr>
        <w:t>Journal of Applied Crystallography</w:t>
      </w:r>
      <w:r w:rsidRPr="00FB3645">
        <w:t> 45.4 (</w:t>
      </w:r>
      <w:r w:rsidRPr="00FB3645">
        <w:rPr>
          <w:b/>
          <w:bCs/>
        </w:rPr>
        <w:t>2012</w:t>
      </w:r>
      <w:r w:rsidRPr="00FB3645">
        <w:t>): 849-854.</w:t>
      </w:r>
    </w:p>
    <w:sectPr w:rsidR="00363E39" w:rsidRPr="00FB3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F870CB"/>
    <w:multiLevelType w:val="hybridMultilevel"/>
    <w:tmpl w:val="5F42F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4F3B5E"/>
    <w:multiLevelType w:val="hybridMultilevel"/>
    <w:tmpl w:val="8A6CC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706807">
    <w:abstractNumId w:val="1"/>
  </w:num>
  <w:num w:numId="2" w16cid:durableId="137989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A1"/>
    <w:rsid w:val="00045048"/>
    <w:rsid w:val="00075BF8"/>
    <w:rsid w:val="0022159B"/>
    <w:rsid w:val="002573C4"/>
    <w:rsid w:val="0026145D"/>
    <w:rsid w:val="00363E39"/>
    <w:rsid w:val="003D57B9"/>
    <w:rsid w:val="006259A1"/>
    <w:rsid w:val="006A4A32"/>
    <w:rsid w:val="008E24CF"/>
    <w:rsid w:val="009424DE"/>
    <w:rsid w:val="00BD0548"/>
    <w:rsid w:val="00BE6AB2"/>
    <w:rsid w:val="00D65946"/>
    <w:rsid w:val="00DF4B72"/>
    <w:rsid w:val="00F56892"/>
    <w:rsid w:val="00FB3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2129"/>
  <w15:chartTrackingRefBased/>
  <w15:docId w15:val="{0436450D-3020-46C4-AA7C-A86F9491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259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Nagwek2">
    <w:name w:val="heading 2"/>
    <w:basedOn w:val="Normalny"/>
    <w:next w:val="Normalny"/>
    <w:link w:val="Nagwek2Znak"/>
    <w:uiPriority w:val="9"/>
    <w:semiHidden/>
    <w:unhideWhenUsed/>
    <w:qFormat/>
    <w:rsid w:val="006259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Nagwek3">
    <w:name w:val="heading 3"/>
    <w:basedOn w:val="Normalny"/>
    <w:next w:val="Normalny"/>
    <w:link w:val="Nagwek3Znak"/>
    <w:uiPriority w:val="9"/>
    <w:semiHidden/>
    <w:unhideWhenUsed/>
    <w:qFormat/>
    <w:rsid w:val="006259A1"/>
    <w:pPr>
      <w:keepNext/>
      <w:keepLines/>
      <w:spacing w:before="160" w:after="80"/>
      <w:outlineLvl w:val="2"/>
    </w:pPr>
    <w:rPr>
      <w:rFonts w:eastAsiaTheme="majorEastAsia" w:cstheme="majorBidi"/>
      <w:color w:val="2E74B5" w:themeColor="accent1" w:themeShade="BF"/>
      <w:sz w:val="28"/>
      <w:szCs w:val="28"/>
    </w:rPr>
  </w:style>
  <w:style w:type="paragraph" w:styleId="Nagwek4">
    <w:name w:val="heading 4"/>
    <w:basedOn w:val="Normalny"/>
    <w:next w:val="Normalny"/>
    <w:link w:val="Nagwek4Znak"/>
    <w:uiPriority w:val="9"/>
    <w:semiHidden/>
    <w:unhideWhenUsed/>
    <w:qFormat/>
    <w:rsid w:val="006259A1"/>
    <w:pPr>
      <w:keepNext/>
      <w:keepLines/>
      <w:spacing w:before="80" w:after="40"/>
      <w:outlineLvl w:val="3"/>
    </w:pPr>
    <w:rPr>
      <w:rFonts w:eastAsiaTheme="majorEastAsia" w:cstheme="majorBidi"/>
      <w:i/>
      <w:iCs/>
      <w:color w:val="2E74B5" w:themeColor="accent1" w:themeShade="BF"/>
    </w:rPr>
  </w:style>
  <w:style w:type="paragraph" w:styleId="Nagwek5">
    <w:name w:val="heading 5"/>
    <w:basedOn w:val="Normalny"/>
    <w:next w:val="Normalny"/>
    <w:link w:val="Nagwek5Znak"/>
    <w:uiPriority w:val="9"/>
    <w:semiHidden/>
    <w:unhideWhenUsed/>
    <w:qFormat/>
    <w:rsid w:val="006259A1"/>
    <w:pPr>
      <w:keepNext/>
      <w:keepLines/>
      <w:spacing w:before="80" w:after="40"/>
      <w:outlineLvl w:val="4"/>
    </w:pPr>
    <w:rPr>
      <w:rFonts w:eastAsiaTheme="majorEastAsia" w:cstheme="majorBidi"/>
      <w:color w:val="2E74B5" w:themeColor="accent1" w:themeShade="BF"/>
    </w:rPr>
  </w:style>
  <w:style w:type="paragraph" w:styleId="Nagwek6">
    <w:name w:val="heading 6"/>
    <w:basedOn w:val="Normalny"/>
    <w:next w:val="Normalny"/>
    <w:link w:val="Nagwek6Znak"/>
    <w:uiPriority w:val="9"/>
    <w:semiHidden/>
    <w:unhideWhenUsed/>
    <w:qFormat/>
    <w:rsid w:val="006259A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259A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259A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259A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259A1"/>
    <w:rPr>
      <w:rFonts w:asciiTheme="majorHAnsi" w:eastAsiaTheme="majorEastAsia" w:hAnsiTheme="majorHAnsi" w:cstheme="majorBidi"/>
      <w:color w:val="2E74B5" w:themeColor="accent1" w:themeShade="BF"/>
      <w:sz w:val="40"/>
      <w:szCs w:val="40"/>
    </w:rPr>
  </w:style>
  <w:style w:type="character" w:customStyle="1" w:styleId="Nagwek2Znak">
    <w:name w:val="Nagłówek 2 Znak"/>
    <w:basedOn w:val="Domylnaczcionkaakapitu"/>
    <w:link w:val="Nagwek2"/>
    <w:uiPriority w:val="9"/>
    <w:semiHidden/>
    <w:rsid w:val="006259A1"/>
    <w:rPr>
      <w:rFonts w:asciiTheme="majorHAnsi" w:eastAsiaTheme="majorEastAsia" w:hAnsiTheme="majorHAnsi" w:cstheme="majorBidi"/>
      <w:color w:val="2E74B5" w:themeColor="accent1" w:themeShade="BF"/>
      <w:sz w:val="32"/>
      <w:szCs w:val="32"/>
    </w:rPr>
  </w:style>
  <w:style w:type="character" w:customStyle="1" w:styleId="Nagwek3Znak">
    <w:name w:val="Nagłówek 3 Znak"/>
    <w:basedOn w:val="Domylnaczcionkaakapitu"/>
    <w:link w:val="Nagwek3"/>
    <w:uiPriority w:val="9"/>
    <w:semiHidden/>
    <w:rsid w:val="006259A1"/>
    <w:rPr>
      <w:rFonts w:eastAsiaTheme="majorEastAsia" w:cstheme="majorBidi"/>
      <w:color w:val="2E74B5" w:themeColor="accent1" w:themeShade="BF"/>
      <w:sz w:val="28"/>
      <w:szCs w:val="28"/>
    </w:rPr>
  </w:style>
  <w:style w:type="character" w:customStyle="1" w:styleId="Nagwek4Znak">
    <w:name w:val="Nagłówek 4 Znak"/>
    <w:basedOn w:val="Domylnaczcionkaakapitu"/>
    <w:link w:val="Nagwek4"/>
    <w:uiPriority w:val="9"/>
    <w:semiHidden/>
    <w:rsid w:val="006259A1"/>
    <w:rPr>
      <w:rFonts w:eastAsiaTheme="majorEastAsia" w:cstheme="majorBidi"/>
      <w:i/>
      <w:iCs/>
      <w:color w:val="2E74B5" w:themeColor="accent1" w:themeShade="BF"/>
    </w:rPr>
  </w:style>
  <w:style w:type="character" w:customStyle="1" w:styleId="Nagwek5Znak">
    <w:name w:val="Nagłówek 5 Znak"/>
    <w:basedOn w:val="Domylnaczcionkaakapitu"/>
    <w:link w:val="Nagwek5"/>
    <w:uiPriority w:val="9"/>
    <w:semiHidden/>
    <w:rsid w:val="006259A1"/>
    <w:rPr>
      <w:rFonts w:eastAsiaTheme="majorEastAsia" w:cstheme="majorBidi"/>
      <w:color w:val="2E74B5" w:themeColor="accent1" w:themeShade="BF"/>
    </w:rPr>
  </w:style>
  <w:style w:type="character" w:customStyle="1" w:styleId="Nagwek6Znak">
    <w:name w:val="Nagłówek 6 Znak"/>
    <w:basedOn w:val="Domylnaczcionkaakapitu"/>
    <w:link w:val="Nagwek6"/>
    <w:uiPriority w:val="9"/>
    <w:semiHidden/>
    <w:rsid w:val="006259A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259A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259A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259A1"/>
    <w:rPr>
      <w:rFonts w:eastAsiaTheme="majorEastAsia" w:cstheme="majorBidi"/>
      <w:color w:val="272727" w:themeColor="text1" w:themeTint="D8"/>
    </w:rPr>
  </w:style>
  <w:style w:type="paragraph" w:styleId="Tytu">
    <w:name w:val="Title"/>
    <w:basedOn w:val="Normalny"/>
    <w:next w:val="Normalny"/>
    <w:link w:val="TytuZnak"/>
    <w:uiPriority w:val="10"/>
    <w:qFormat/>
    <w:rsid w:val="0062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259A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259A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259A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259A1"/>
    <w:pPr>
      <w:spacing w:before="160"/>
      <w:jc w:val="center"/>
    </w:pPr>
    <w:rPr>
      <w:i/>
      <w:iCs/>
      <w:color w:val="404040" w:themeColor="text1" w:themeTint="BF"/>
    </w:rPr>
  </w:style>
  <w:style w:type="character" w:customStyle="1" w:styleId="CytatZnak">
    <w:name w:val="Cytat Znak"/>
    <w:basedOn w:val="Domylnaczcionkaakapitu"/>
    <w:link w:val="Cytat"/>
    <w:uiPriority w:val="29"/>
    <w:rsid w:val="006259A1"/>
    <w:rPr>
      <w:i/>
      <w:iCs/>
      <w:color w:val="404040" w:themeColor="text1" w:themeTint="BF"/>
    </w:rPr>
  </w:style>
  <w:style w:type="paragraph" w:styleId="Akapitzlist">
    <w:name w:val="List Paragraph"/>
    <w:basedOn w:val="Normalny"/>
    <w:uiPriority w:val="34"/>
    <w:qFormat/>
    <w:rsid w:val="006259A1"/>
    <w:pPr>
      <w:ind w:left="720"/>
      <w:contextualSpacing/>
    </w:pPr>
  </w:style>
  <w:style w:type="character" w:styleId="Wyrnienieintensywne">
    <w:name w:val="Intense Emphasis"/>
    <w:basedOn w:val="Domylnaczcionkaakapitu"/>
    <w:uiPriority w:val="21"/>
    <w:qFormat/>
    <w:rsid w:val="006259A1"/>
    <w:rPr>
      <w:i/>
      <w:iCs/>
      <w:color w:val="2E74B5" w:themeColor="accent1" w:themeShade="BF"/>
    </w:rPr>
  </w:style>
  <w:style w:type="paragraph" w:styleId="Cytatintensywny">
    <w:name w:val="Intense Quote"/>
    <w:basedOn w:val="Normalny"/>
    <w:next w:val="Normalny"/>
    <w:link w:val="CytatintensywnyZnak"/>
    <w:uiPriority w:val="30"/>
    <w:qFormat/>
    <w:rsid w:val="006259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ytatintensywnyZnak">
    <w:name w:val="Cytat intensywny Znak"/>
    <w:basedOn w:val="Domylnaczcionkaakapitu"/>
    <w:link w:val="Cytatintensywny"/>
    <w:uiPriority w:val="30"/>
    <w:rsid w:val="006259A1"/>
    <w:rPr>
      <w:i/>
      <w:iCs/>
      <w:color w:val="2E74B5" w:themeColor="accent1" w:themeShade="BF"/>
    </w:rPr>
  </w:style>
  <w:style w:type="character" w:styleId="Odwoanieintensywne">
    <w:name w:val="Intense Reference"/>
    <w:basedOn w:val="Domylnaczcionkaakapitu"/>
    <w:uiPriority w:val="32"/>
    <w:qFormat/>
    <w:rsid w:val="006259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2BBC4-4675-40C9-B10E-0E3146D16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Dineshchakravarthy Senthurpandi</dc:creator>
  <cp:keywords/>
  <dc:description/>
  <cp:lastModifiedBy>Marta</cp:lastModifiedBy>
  <cp:revision>2</cp:revision>
  <dcterms:created xsi:type="dcterms:W3CDTF">2024-12-18T16:05:00Z</dcterms:created>
  <dcterms:modified xsi:type="dcterms:W3CDTF">2024-12-18T16:05:00Z</dcterms:modified>
</cp:coreProperties>
</file>