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24B7E" w14:textId="52F0E65F" w:rsidR="00502567" w:rsidRDefault="00502567" w:rsidP="00502567">
      <w:pPr>
        <w:spacing w:after="0"/>
        <w:rPr>
          <w:b/>
          <w:bCs/>
        </w:rPr>
      </w:pPr>
      <w:r>
        <w:rPr>
          <w:b/>
          <w:bCs/>
        </w:rPr>
        <w:t xml:space="preserve">Written Segment for Pandas </w:t>
      </w:r>
      <w:r>
        <w:rPr>
          <w:b/>
          <w:bCs/>
        </w:rPr>
        <w:t>Assignment</w:t>
      </w:r>
    </w:p>
    <w:p w14:paraId="7EC2B282" w14:textId="75E09B36" w:rsidR="00502567" w:rsidRPr="00502567" w:rsidRDefault="00502567" w:rsidP="00502567">
      <w:pPr>
        <w:spacing w:after="0"/>
      </w:pPr>
      <w:r w:rsidRPr="00502567">
        <w:t>By Colin Ek</w:t>
      </w:r>
    </w:p>
    <w:p w14:paraId="44AF6313" w14:textId="77777777" w:rsidR="00502567" w:rsidRDefault="00502567" w:rsidP="00502567">
      <w:pPr>
        <w:spacing w:after="0"/>
        <w:rPr>
          <w:b/>
          <w:bCs/>
        </w:rPr>
      </w:pPr>
    </w:p>
    <w:p w14:paraId="50356B42" w14:textId="750CF28F" w:rsidR="000C6F7C" w:rsidRPr="00502567" w:rsidRDefault="007632D2" w:rsidP="00502567">
      <w:pPr>
        <w:spacing w:after="0"/>
        <w:rPr>
          <w:b/>
          <w:bCs/>
        </w:rPr>
      </w:pPr>
      <w:r w:rsidRPr="00502567">
        <w:rPr>
          <w:b/>
          <w:bCs/>
        </w:rPr>
        <w:t xml:space="preserve">Task: </w:t>
      </w:r>
      <w:r w:rsidRPr="00502567">
        <w:rPr>
          <w:b/>
          <w:bCs/>
        </w:rPr>
        <w:t>You must include a written description of three observable trends based on the data.</w:t>
      </w:r>
    </w:p>
    <w:p w14:paraId="5C17C386" w14:textId="16B4C778" w:rsidR="007632D2" w:rsidRDefault="007632D2" w:rsidP="00502567">
      <w:pPr>
        <w:spacing w:after="0"/>
      </w:pPr>
    </w:p>
    <w:p w14:paraId="30550DA1" w14:textId="54280B76" w:rsidR="007632D2" w:rsidRDefault="007632D2" w:rsidP="00502567">
      <w:pPr>
        <w:pStyle w:val="ListParagraph"/>
        <w:numPr>
          <w:ilvl w:val="0"/>
          <w:numId w:val="1"/>
        </w:numPr>
        <w:spacing w:after="0"/>
      </w:pPr>
      <w:r>
        <w:t xml:space="preserve"> There are significantly more male players than female players</w:t>
      </w:r>
      <w:r w:rsidR="009C7032">
        <w:t xml:space="preserve"> (as seen in </w:t>
      </w:r>
      <w:r w:rsidR="00502567">
        <w:t>T</w:t>
      </w:r>
      <w:r w:rsidR="009C7032">
        <w:t xml:space="preserve">able </w:t>
      </w:r>
      <w:r w:rsidR="00502567">
        <w:t xml:space="preserve">1 </w:t>
      </w:r>
      <w:r w:rsidR="009C7032">
        <w:t>below)</w:t>
      </w:r>
      <w:r>
        <w:t>.</w:t>
      </w:r>
    </w:p>
    <w:p w14:paraId="11B51E11" w14:textId="2A9F90F2" w:rsidR="009C7032" w:rsidRDefault="009C7032" w:rsidP="00502567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Pr="009972F6">
        <w:t>Gender Demographics</w:t>
      </w:r>
    </w:p>
    <w:p w14:paraId="078F6FDE" w14:textId="74D4F49F" w:rsidR="007632D2" w:rsidRDefault="007632D2" w:rsidP="00502567">
      <w:pPr>
        <w:spacing w:after="0"/>
        <w:jc w:val="center"/>
      </w:pPr>
      <w:r>
        <w:rPr>
          <w:noProof/>
        </w:rPr>
        <w:drawing>
          <wp:inline distT="0" distB="0" distL="0" distR="0" wp14:anchorId="3A4E83DE" wp14:editId="29A8B10B">
            <wp:extent cx="2953162" cy="981212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0BE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787E" w14:textId="77777777" w:rsidR="009C7032" w:rsidRDefault="009C7032" w:rsidP="00502567">
      <w:pPr>
        <w:spacing w:after="0"/>
        <w:jc w:val="center"/>
      </w:pPr>
    </w:p>
    <w:p w14:paraId="0FDFDBAA" w14:textId="44450AC9" w:rsidR="009C7032" w:rsidRDefault="007632D2" w:rsidP="00502567">
      <w:pPr>
        <w:pStyle w:val="ListParagraph"/>
        <w:numPr>
          <w:ilvl w:val="0"/>
          <w:numId w:val="1"/>
        </w:numPr>
        <w:spacing w:after="0"/>
      </w:pPr>
      <w:r>
        <w:t xml:space="preserve"> While there were certainly more male players than female, the female players </w:t>
      </w:r>
      <w:r w:rsidR="009C7032">
        <w:t xml:space="preserve">tended to purchase more than their male counterparts (as seen in the “Average Total Purchase per Person” column in </w:t>
      </w:r>
      <w:r w:rsidR="00502567">
        <w:t>T</w:t>
      </w:r>
      <w:r w:rsidR="009C7032">
        <w:t xml:space="preserve">able </w:t>
      </w:r>
      <w:r w:rsidR="00502567">
        <w:t xml:space="preserve">2 </w:t>
      </w:r>
      <w:r w:rsidR="009C7032">
        <w:t>below).</w:t>
      </w:r>
    </w:p>
    <w:p w14:paraId="5D001265" w14:textId="2FB9E6E1" w:rsidR="009C7032" w:rsidRDefault="009C7032" w:rsidP="00502567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r w:rsidRPr="002B37CA">
        <w:t>Purchasing Analysis (Gender)</w:t>
      </w:r>
    </w:p>
    <w:p w14:paraId="6F4C5B9F" w14:textId="1B123443" w:rsidR="009C7032" w:rsidRDefault="009C7032" w:rsidP="00502567">
      <w:pPr>
        <w:spacing w:after="0"/>
        <w:ind w:left="360"/>
      </w:pPr>
      <w:r>
        <w:rPr>
          <w:noProof/>
        </w:rPr>
        <w:drawing>
          <wp:inline distT="0" distB="0" distL="0" distR="0" wp14:anchorId="134869C4" wp14:editId="63F002F8">
            <wp:extent cx="5943600" cy="12204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025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BC0B" w14:textId="77777777" w:rsidR="009C7032" w:rsidRDefault="009C7032" w:rsidP="00502567">
      <w:pPr>
        <w:spacing w:after="0"/>
        <w:ind w:left="360"/>
      </w:pPr>
    </w:p>
    <w:p w14:paraId="0663D16E" w14:textId="196BB549" w:rsidR="009C7032" w:rsidRDefault="00502567" w:rsidP="00502567">
      <w:pPr>
        <w:pStyle w:val="ListParagraph"/>
        <w:numPr>
          <w:ilvl w:val="0"/>
          <w:numId w:val="1"/>
        </w:numPr>
        <w:spacing w:after="0"/>
      </w:pPr>
      <w:r>
        <w:t>As we can see in Table 3 below, t</w:t>
      </w:r>
      <w:r w:rsidR="009C7032">
        <w:t xml:space="preserve">he age of the players tended to be </w:t>
      </w:r>
      <w:proofErr w:type="gramStart"/>
      <w:r w:rsidR="009C7032">
        <w:t>fairly young</w:t>
      </w:r>
      <w:proofErr w:type="gramEnd"/>
      <w:r w:rsidR="009C7032">
        <w:t xml:space="preserve">, with the 20-24 age bracket containing nearly half of the players (44.79%).  Along with the </w:t>
      </w:r>
      <w:r w:rsidR="009C7032">
        <w:t xml:space="preserve">15-19 </w:t>
      </w:r>
      <w:r w:rsidR="009C7032">
        <w:t>bracket immediately below and the 25-29 bracket immediately above (with 18.58% and 13.37%, respectively), these three age groups represented over three quarters of players (76.74% combined).</w:t>
      </w:r>
    </w:p>
    <w:p w14:paraId="3392481A" w14:textId="77777777" w:rsidR="009C7032" w:rsidRDefault="009C7032" w:rsidP="00502567">
      <w:pPr>
        <w:pStyle w:val="ListParagraph"/>
        <w:spacing w:after="0"/>
      </w:pPr>
    </w:p>
    <w:p w14:paraId="5B9331A2" w14:textId="116DA7AB" w:rsidR="009C7032" w:rsidRDefault="009C7032" w:rsidP="00502567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r w:rsidRPr="00C66BA0">
        <w:t>Age Demographics</w:t>
      </w:r>
    </w:p>
    <w:p w14:paraId="662A6D94" w14:textId="13FAB3D4" w:rsidR="009C7032" w:rsidRDefault="009C7032" w:rsidP="00502567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13D179E0" wp14:editId="7F9DEAAB">
            <wp:extent cx="2448267" cy="2210108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02B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E7B72"/>
    <w:multiLevelType w:val="hybridMultilevel"/>
    <w:tmpl w:val="6A387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D2"/>
    <w:rsid w:val="000C6F7C"/>
    <w:rsid w:val="00502567"/>
    <w:rsid w:val="00560E90"/>
    <w:rsid w:val="006F5BEF"/>
    <w:rsid w:val="007632D2"/>
    <w:rsid w:val="009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84FF"/>
  <w15:chartTrackingRefBased/>
  <w15:docId w15:val="{00B22297-87D9-4099-89F6-5729213B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D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C70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51E5-B900-46BD-A889-2549541C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colincek@outlook.com</dc:creator>
  <cp:keywords/>
  <dc:description/>
  <cp:lastModifiedBy>colincek@outlook.com</cp:lastModifiedBy>
  <cp:revision>1</cp:revision>
  <dcterms:created xsi:type="dcterms:W3CDTF">2020-07-27T18:52:00Z</dcterms:created>
  <dcterms:modified xsi:type="dcterms:W3CDTF">2020-07-27T19:14:00Z</dcterms:modified>
</cp:coreProperties>
</file>