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lab-prep-overview"/>
    <w:p>
      <w:pPr>
        <w:pStyle w:val="Heading2"/>
      </w:pPr>
      <w:r>
        <w:t xml:space="preserve">Module 3.1 – Lab Prep Overview</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1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module-4.1-lab-prep-overview"/>
    <w:p>
      <w:pPr>
        <w:pStyle w:val="Heading2"/>
      </w:pPr>
      <w:r>
        <w:t xml:space="preserve">Module 4.1 – Lab Prep Overview</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3" w:name="X755f3bbeb49752777c1925744a6f8a59259f2e4"/>
    <w:p>
      <w:pPr>
        <w:pStyle w:val="Heading2"/>
      </w:pPr>
      <w:r>
        <w:t xml:space="preserve">Module 4.2 – ITS Amplification for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90"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88"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µl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tip.png" id="1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Mastermix Preparation Tips</w:t>
            </w:r>
          </w:p>
        </w:tc>
      </w:tr>
      <w:tr>
        <w:trPr>
          <w:cantSplit/>
        </w:trPr>
        <w:tc>
          <w:tcPr>
            <w:tcMar>
              <w:top w:w="108" w:type="dxa"/>
              <w:bottom w:w="108" w:type="dxa"/>
            </w:tcMar>
          </w:tcPr>
          <w:p>
            <w:pPr>
              <w:pStyle w:val="Compact"/>
              <w:numPr>
                <w:ilvl w:val="0"/>
                <w:numId w:val="1247"/>
              </w:numPr>
            </w:pPr>
            <w:r>
              <w:t xml:space="preserve">Always prepare a mastermix for multiple reactions to minimize pipetting errors and ensure consistency across samples.</w:t>
            </w:r>
          </w:p>
          <w:p>
            <w:pPr>
              <w:pStyle w:val="Compact"/>
              <w:numPr>
                <w:ilvl w:val="0"/>
                <w:numId w:val="1247"/>
              </w:numPr>
            </w:pPr>
            <w:r>
              <w:t xml:space="preserve">Prepare a mastermix for 10 reactions, even if you have fewer samples (two isolates per group member = 2x4), to account for pipetting errors and to have extra volume for troubleshooting if needed.</w:t>
            </w:r>
          </w:p>
          <w:p>
            <w:pPr>
              <w:pStyle w:val="Compact"/>
              <w:numPr>
                <w:ilvl w:val="0"/>
                <w:numId w:val="1247"/>
              </w:numPr>
            </w:pPr>
            <w:r>
              <w:t xml:space="preserve">Mix the mastermix thoroughly by pipetting up and down or vortexing gently, and then briefly centrifuge to collect the liquid at the bottom of the tube before aliquoting into PCR tubes.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Volume for 10 Reactions</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250.00 µL</w:t>
                  </w:r>
                </w:p>
              </w:tc>
            </w:tr>
            <w:tr>
              <w:tc>
                <w:tcPr/>
                <w:p>
                  <w:pPr>
                    <w:pStyle w:val="Compact"/>
                  </w:pPr>
                  <w:r>
                    <w:t xml:space="preserve">ITS 1 Forward Primer</w:t>
                  </w:r>
                </w:p>
              </w:tc>
              <w:tc>
                <w:tcPr/>
                <w:p>
                  <w:pPr>
                    <w:pStyle w:val="Compact"/>
                  </w:pPr>
                  <w:r>
                    <w:t xml:space="preserve">2.50 µL</w:t>
                  </w:r>
                </w:p>
              </w:tc>
              <w:tc>
                <w:tcPr/>
                <w:p>
                  <w:pPr>
                    <w:pStyle w:val="Compact"/>
                  </w:pPr>
                  <w:r>
                    <w:t xml:space="preserve">25.00 µL</w:t>
                  </w:r>
                </w:p>
              </w:tc>
            </w:tr>
            <w:tr>
              <w:tc>
                <w:tcPr/>
                <w:p>
                  <w:pPr>
                    <w:pStyle w:val="Compact"/>
                  </w:pPr>
                  <w:r>
                    <w:t xml:space="preserve">ITS 4 Reverse Primer</w:t>
                  </w:r>
                </w:p>
              </w:tc>
              <w:tc>
                <w:tcPr/>
                <w:p>
                  <w:pPr>
                    <w:pStyle w:val="Compact"/>
                  </w:pPr>
                  <w:r>
                    <w:t xml:space="preserve">2.50 µL</w:t>
                  </w:r>
                </w:p>
              </w:tc>
              <w:tc>
                <w:tcPr/>
                <w:p>
                  <w:pPr>
                    <w:pStyle w:val="Compact"/>
                  </w:pPr>
                  <w:r>
                    <w:t xml:space="preserve">25.00 µL</w:t>
                  </w:r>
                </w:p>
              </w:tc>
            </w:tr>
            <w:tr>
              <w:tc>
                <w:tcPr/>
                <w:p>
                  <w:pPr>
                    <w:pStyle w:val="Compact"/>
                  </w:pPr>
                  <w:r>
                    <w:t xml:space="preserve">Nuclease-Free Water</w:t>
                  </w:r>
                </w:p>
              </w:tc>
              <w:tc>
                <w:tcPr/>
                <w:p>
                  <w:pPr>
                    <w:pStyle w:val="Compact"/>
                  </w:pPr>
                  <w:r>
                    <w:t xml:space="preserve">15.00 µL</w:t>
                  </w:r>
                </w:p>
              </w:tc>
              <w:tc>
                <w:tcPr/>
                <w:p>
                  <w:pPr>
                    <w:pStyle w:val="Compact"/>
                  </w:pPr>
                  <w:r>
                    <w:t xml:space="preserve">150.00 µL</w:t>
                  </w:r>
                </w:p>
              </w:tc>
            </w:tr>
          </w:tbl>
          <w:p/>
        </w:tc>
      </w:tr>
    </w:tbl>
    <w:p>
      <w:pPr>
        <w:pStyle w:val="Compact"/>
        <w:numPr>
          <w:ilvl w:val="0"/>
          <w:numId w:val="1248"/>
        </w:numPr>
      </w:pPr>
      <w:r>
        <w:t xml:space="preserve">Aliquot 45.00 µL of your prepared mastermix into 0.2 mL snap-cap PCR tubes.</w:t>
      </w:r>
    </w:p>
    <w:p>
      <w:pPr>
        <w:pStyle w:val="Compact"/>
        <w:numPr>
          <w:ilvl w:val="0"/>
          <w:numId w:val="1248"/>
        </w:numPr>
      </w:pPr>
      <w:r>
        <w:t xml:space="preserve">Add 5.00 µL of your extracted DNA to the PCR tube containing the mastermix. Be sure to use a new pipette tip for each sample to avoid cross-contamination.</w:t>
      </w:r>
    </w:p>
    <w:p>
      <w:pPr>
        <w:pStyle w:val="Compact"/>
        <w:numPr>
          <w:ilvl w:val="0"/>
          <w:numId w:val="1248"/>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9"/>
        </w:numPr>
      </w:pPr>
      <w:r>
        <w:t xml:space="preserve">After the PCR program is complete, follow the Exo-CIP protocol to prepare your DNA for Sanger sequencing. Then, store your PCR products at -20 °C.</w:t>
      </w:r>
    </w:p>
    <w:p>
      <w:pPr>
        <w:pStyle w:val="Compact"/>
        <w:numPr>
          <w:ilvl w:val="0"/>
          <w:numId w:val="1249"/>
        </w:numPr>
      </w:pPr>
      <w:r>
        <w:t xml:space="preserve">Transfer 5.00 µl of PCR product to a new PCR tube and add 1.00 µl of Exo-CIP A and 1.00 µl of Exo-CIP B, respectively. The final volume is 7.00 µl. Mix thoroughly and briefly centrifuge at 1000 x g.</w:t>
      </w:r>
    </w:p>
    <w:p>
      <w:pPr>
        <w:pStyle w:val="Compact"/>
        <w:numPr>
          <w:ilvl w:val="0"/>
          <w:numId w:val="1249"/>
        </w:numPr>
      </w:pPr>
      <w:r>
        <w:t xml:space="preserve">Incubate the reaction tube for 4 minutes at 37°C followed by 1 minute at 80°C. This will degrade the remaining primers and nucleotides and inactivate the Exo-CIP enzymes.</w:t>
      </w:r>
    </w:p>
    <w:p>
      <w:pPr>
        <w:pStyle w:val="Compact"/>
        <w:numPr>
          <w:ilvl w:val="0"/>
          <w:numId w:val="1249"/>
        </w:numPr>
      </w:pPr>
      <w:r>
        <w:t xml:space="preserve">Submit 5.00 µl of treated PCR product for sequencing with</w:t>
      </w:r>
      <w:r>
        <w:t xml:space="preserve"> </w:t>
      </w:r>
      <w:hyperlink r:id="rId187">
        <w:r>
          <w:rPr>
            <w:rStyle w:val="Hyperlink"/>
          </w:rPr>
          <w:t xml:space="preserve">Eton Biosciences</w:t>
        </w:r>
      </w:hyperlink>
      <w:r>
        <w:t xml:space="preserve">.</w:t>
      </w:r>
    </w:p>
    <w:bookmarkEnd w:id="188"/>
    <w:bookmarkStart w:id="189" w:name="X7a9437114b66a535474c7c1f8d36e2e2fb635f1"/>
    <w:p>
      <w:pPr>
        <w:pStyle w:val="Heading4"/>
      </w:pPr>
      <w:r>
        <w:t xml:space="preserve">PCR Troubleshooting after Gel Electrophoresis</w:t>
      </w:r>
    </w:p>
    <w:p>
      <w:pPr>
        <w:pStyle w:val="Compact"/>
        <w:numPr>
          <w:ilvl w:val="0"/>
          <w:numId w:val="1250"/>
        </w:numPr>
      </w:pPr>
      <w:r>
        <w:t xml:space="preserve">No amplification on any samples: check primers, polymerase, and other reagents.</w:t>
      </w:r>
    </w:p>
    <w:p>
      <w:pPr>
        <w:pStyle w:val="Compact"/>
        <w:numPr>
          <w:ilvl w:val="0"/>
          <w:numId w:val="125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50"/>
        </w:numPr>
      </w:pPr>
      <w:r>
        <w:t xml:space="preserve">Weak or multiple bands, smear: Mispriming from the incorrect program. Check primer concentration: an imbalance of primers can lead to multiple bands.</w:t>
      </w:r>
    </w:p>
    <w:bookmarkEnd w:id="189"/>
    <w:bookmarkEnd w:id="190"/>
    <w:bookmarkStart w:id="202"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1" w:name="X33da8410cb3a6a87a17acf837e70992547b4475"/>
    <w:p>
      <w:pPr>
        <w:pStyle w:val="Heading4"/>
      </w:pPr>
      <w:r>
        <w:t xml:space="preserve">Prepare the E-Gel and Gel Electrophoresis System</w:t>
      </w:r>
    </w:p>
    <w:bookmarkEnd w:id="191"/>
    <w:bookmarkStart w:id="192" w:name="materials-needed-1"/>
    <w:p>
      <w:pPr>
        <w:pStyle w:val="Heading4"/>
      </w:pPr>
      <w:r>
        <w:t xml:space="preserve">Materials Needed</w:t>
      </w:r>
    </w:p>
    <w:p>
      <w:pPr>
        <w:pStyle w:val="Compact"/>
        <w:numPr>
          <w:ilvl w:val="0"/>
          <w:numId w:val="1251"/>
        </w:numPr>
      </w:pPr>
      <w:r>
        <w:t xml:space="preserve">1% E-Gel™ EX precast gels (or 1.2% E-Gel) to visualize PCR products</w:t>
      </w:r>
    </w:p>
    <w:p>
      <w:pPr>
        <w:pStyle w:val="Compact"/>
        <w:numPr>
          <w:ilvl w:val="0"/>
          <w:numId w:val="1252"/>
        </w:numPr>
      </w:pPr>
      <w:r>
        <w:t xml:space="preserve">E-Gel™ 1kb Plus DNA Ladder (ThermoFisher, 10488018) or similar DNA ladder</w:t>
      </w:r>
    </w:p>
    <w:p>
      <w:pPr>
        <w:pStyle w:val="Compact"/>
        <w:numPr>
          <w:ilvl w:val="0"/>
          <w:numId w:val="1253"/>
        </w:numPr>
      </w:pPr>
      <w:r>
        <w:t xml:space="preserve">E-Gel™ Loading Dye (ThermoFisher, 10488100) or similar loading dye</w:t>
      </w:r>
    </w:p>
    <w:p>
      <w:pPr>
        <w:pStyle w:val="Compact"/>
        <w:numPr>
          <w:ilvl w:val="0"/>
          <w:numId w:val="1254"/>
        </w:numPr>
      </w:pPr>
      <w:r>
        <w:t xml:space="preserve">P20 micropipette with tips</w:t>
      </w:r>
    </w:p>
    <w:bookmarkEnd w:id="192"/>
    <w:bookmarkStart w:id="201"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tip.png" id="19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5">
              <w:r>
                <w:rPr>
                  <w:rStyle w:val="Hyperlink"/>
                </w:rPr>
                <w:t xml:space="preserve">video</w:t>
              </w:r>
            </w:hyperlink>
            <w:r>
              <w:t xml:space="preserve"> </w:t>
            </w:r>
            <w:r>
              <w:t xml:space="preserve">for a demonstration of how to load a gel.</w:t>
            </w:r>
          </w:p>
          <w:p/>
        </w:tc>
      </w:tr>
    </w:tbl>
    <w:p>
      <w:pPr>
        <w:pStyle w:val="Compact"/>
        <w:numPr>
          <w:ilvl w:val="0"/>
          <w:numId w:val="1255"/>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5"/>
        </w:numPr>
      </w:pPr>
      <w:r>
        <w:t xml:space="preserve">Label your tubes and make a map of your samples in your gel.</w:t>
      </w:r>
    </w:p>
    <w:p>
      <w:pPr>
        <w:pStyle w:val="Compact"/>
        <w:numPr>
          <w:ilvl w:val="0"/>
          <w:numId w:val="1255"/>
        </w:numPr>
      </w:pPr>
      <w:r>
        <w:t xml:space="preserve">Load 20 μL of the DNA ladder into the first well of the gel. This will allow you to estimate the size of your PCR products.</w:t>
      </w:r>
    </w:p>
    <w:p>
      <w:pPr>
        <w:pStyle w:val="Compact"/>
        <w:numPr>
          <w:ilvl w:val="0"/>
          <w:numId w:val="1255"/>
        </w:numPr>
      </w:pPr>
      <w:r>
        <w:t xml:space="preserve">Load 20 μL of your PCR product into the remaining wells of the gel.</w:t>
      </w:r>
    </w:p>
    <w:p>
      <w:pPr>
        <w:pStyle w:val="Compact"/>
        <w:numPr>
          <w:ilvl w:val="0"/>
          <w:numId w:val="1255"/>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5"/>
        </w:numPr>
      </w:pPr>
      <w:r>
        <w:t xml:space="preserve">Be sure to reserve one well per row for a standardized DNA ladder.</w:t>
      </w:r>
    </w:p>
    <w:p>
      <w:pPr>
        <w:pStyle w:val="Compact"/>
        <w:numPr>
          <w:ilvl w:val="0"/>
          <w:numId w:val="1255"/>
        </w:numPr>
      </w:pPr>
      <w:r>
        <w:t xml:space="preserve">Run for about 10 minutes.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caution.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6"/>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important.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201"/>
    <w:bookmarkEnd w:id="202"/>
    <w:bookmarkEnd w:id="203"/>
    <w:bookmarkStart w:id="207" w:name="X37c226c569f2782ddd34a7e3dda9ae1f37e644c"/>
    <w:p>
      <w:pPr>
        <w:pStyle w:val="Heading2"/>
      </w:pPr>
      <w:r>
        <w:t xml:space="preserve">Module 4.3 –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p>
      <w:pPr>
        <w:pStyle w:val="BodyText"/>
      </w:pPr>
      <w:r>
        <w:t xml:space="preserve">Follow the</w:t>
      </w:r>
      <w:r>
        <w:t xml:space="preserve"> </w:t>
      </w:r>
      <w:hyperlink r:id="rId204">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 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important.png" id="20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7"/>
    <w:bookmarkStart w:id="209" w:name="Xe214f4473026be468b4bdee86ab7b25460265f4"/>
    <w:p>
      <w:pPr>
        <w:pStyle w:val="Heading2"/>
      </w:pPr>
      <w:r>
        <w:t xml:space="preserve">Module 4.4 – Sanger Sequence Analysis and Species Identification</w:t>
      </w:r>
    </w:p>
    <w:p>
      <w:pPr>
        <w:pStyle w:val="FirstParagraph"/>
      </w:pPr>
      <w:r>
        <w:t xml:space="preserve">Your cleaned PCR product will be sent to an external facility for Sanger sequencing.</w:t>
      </w:r>
    </w:p>
    <w:bookmarkStart w:id="208" w:name="identify-your-sequence-data-using-blast"/>
    <w:p>
      <w:pPr>
        <w:pStyle w:val="Heading3"/>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7"/>
        </w:numPr>
      </w:pPr>
      <w:r>
        <w:t xml:space="preserve">Go to NCBI: https://www.ncbi.nlm.nih.gov/.</w:t>
      </w:r>
    </w:p>
    <w:p>
      <w:pPr>
        <w:pStyle w:val="Compact"/>
        <w:numPr>
          <w:ilvl w:val="0"/>
          <w:numId w:val="1257"/>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8"/>
        </w:numPr>
      </w:pPr>
      <w:r>
        <w:t xml:space="preserve">BLAST = Basic Local Alignment Search Tool</w:t>
      </w:r>
    </w:p>
    <w:p>
      <w:pPr>
        <w:pStyle w:val="Compact"/>
        <w:numPr>
          <w:ilvl w:val="0"/>
          <w:numId w:val="1257"/>
        </w:numPr>
      </w:pPr>
      <w:r>
        <w:t xml:space="preserve">Click on the Nucleotide BLAST image.</w:t>
      </w:r>
    </w:p>
    <w:p>
      <w:pPr>
        <w:pStyle w:val="Compact"/>
        <w:numPr>
          <w:ilvl w:val="1"/>
          <w:numId w:val="1259"/>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7"/>
        </w:numPr>
      </w:pPr>
      <w:r>
        <w:t xml:space="preserve">Paste your sequence data into the big space under</w:t>
      </w:r>
      <w:r>
        <w:t xml:space="preserve"> </w:t>
      </w:r>
      <w:r>
        <w:t xml:space="preserve">“Enter Query Sequence”</w:t>
      </w:r>
      <w:r>
        <w:t xml:space="preserve">.</w:t>
      </w:r>
    </w:p>
    <w:p>
      <w:pPr>
        <w:pStyle w:val="Compact"/>
        <w:numPr>
          <w:ilvl w:val="1"/>
          <w:numId w:val="1260"/>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7"/>
        </w:numPr>
      </w:pPr>
      <w:r>
        <w:t xml:space="preserve">Under Choose Search Set you can keep it under</w:t>
      </w:r>
      <w:r>
        <w:t xml:space="preserve"> </w:t>
      </w:r>
      <w:r>
        <w:t xml:space="preserve">“Standard databases (nr etc.)”</w:t>
      </w:r>
      <w:r>
        <w:t xml:space="preserve">.</w:t>
      </w:r>
    </w:p>
    <w:p>
      <w:pPr>
        <w:pStyle w:val="Compact"/>
        <w:numPr>
          <w:ilvl w:val="1"/>
          <w:numId w:val="1261"/>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7"/>
        </w:numPr>
      </w:pPr>
      <w:r>
        <w:t xml:space="preserve">Select the</w:t>
      </w:r>
      <w:r>
        <w:t xml:space="preserve"> </w:t>
      </w:r>
      <w:r>
        <w:t xml:space="preserve">“BLAST”</w:t>
      </w:r>
      <w:r>
        <w:t xml:space="preserve"> </w:t>
      </w:r>
      <w:r>
        <w:t xml:space="preserve">button at the end.</w:t>
      </w:r>
    </w:p>
    <w:p>
      <w:pPr>
        <w:pStyle w:val="Compact"/>
        <w:numPr>
          <w:ilvl w:val="1"/>
          <w:numId w:val="1262"/>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2"/>
        </w:numPr>
      </w:pPr>
      <w:r>
        <w:t xml:space="preserve">Percent Identity = What percent of your sequence (query sequence) is identical to the matched sequence.</w:t>
      </w:r>
    </w:p>
    <w:p>
      <w:pPr>
        <w:pStyle w:val="Compact"/>
        <w:numPr>
          <w:ilvl w:val="1"/>
          <w:numId w:val="1262"/>
        </w:numPr>
      </w:pPr>
      <w:r>
        <w:t xml:space="preserve">Query Cover = How much of the query sequence covers the matched sequence.</w:t>
      </w:r>
    </w:p>
    <w:p>
      <w:pPr>
        <w:pStyle w:val="Compact"/>
        <w:numPr>
          <w:ilvl w:val="1"/>
          <w:numId w:val="1262"/>
        </w:numPr>
      </w:pPr>
      <w:r>
        <w:t xml:space="preserve">E value = The probability that this match occurred by chance in the provided database.</w:t>
      </w:r>
    </w:p>
    <w:p>
      <w:pPr>
        <w:pStyle w:val="Compact"/>
        <w:numPr>
          <w:ilvl w:val="0"/>
          <w:numId w:val="1257"/>
        </w:numPr>
      </w:pPr>
      <w:r>
        <w:t xml:space="preserve">Review the results.</w:t>
      </w:r>
    </w:p>
    <w:p>
      <w:pPr>
        <w:pStyle w:val="Compact"/>
        <w:numPr>
          <w:ilvl w:val="1"/>
          <w:numId w:val="1263"/>
        </w:numPr>
      </w:pPr>
      <w:r>
        <w:t xml:space="preserve">What is the</w:t>
      </w:r>
      <w:r>
        <w:t xml:space="preserve"> </w:t>
      </w:r>
      <w:r>
        <w:t xml:space="preserve">“top hit”</w:t>
      </w:r>
      <w:r>
        <w:t xml:space="preserve">?</w:t>
      </w:r>
    </w:p>
    <w:p>
      <w:pPr>
        <w:pStyle w:val="Compact"/>
        <w:numPr>
          <w:ilvl w:val="1"/>
          <w:numId w:val="1263"/>
        </w:numPr>
      </w:pPr>
      <w:r>
        <w:t xml:space="preserve">How much support is provided for this hit given the current database used?</w:t>
      </w:r>
    </w:p>
    <w:p>
      <w:pPr>
        <w:pStyle w:val="Compact"/>
        <w:numPr>
          <w:ilvl w:val="1"/>
          <w:numId w:val="1263"/>
        </w:numPr>
      </w:pPr>
      <w:r>
        <w:t xml:space="preserve">What is the taxonomic ID of this result? What kind of fungi are these?</w:t>
      </w:r>
    </w:p>
    <w:p>
      <w:pPr>
        <w:pStyle w:val="Compact"/>
        <w:numPr>
          <w:ilvl w:val="1"/>
          <w:numId w:val="1263"/>
        </w:numPr>
      </w:pPr>
      <w:r>
        <w:t xml:space="preserve">You may google the names and search under Wikipedia to get a better understanding of these organisms and what is known.</w:t>
      </w:r>
    </w:p>
    <w:bookmarkEnd w:id="208"/>
    <w:bookmarkEnd w:id="209"/>
    <w:bookmarkStart w:id="210" w:name="X7c3ef805c8b7ff84993f0011985cd564d243dc9"/>
    <w:p>
      <w:pPr>
        <w:pStyle w:val="Heading2"/>
      </w:pPr>
      <w:r>
        <w:t xml:space="preserve">Module 4.5 – Data Management - Spreadsheets and iNaturalist</w:t>
      </w:r>
    </w:p>
    <w:p>
      <w:pPr>
        <w:pStyle w:val="FirstParagraph"/>
      </w:pPr>
      <w:r>
        <w:t xml:space="preserve">Update your spreadsheet with the following information:</w:t>
      </w:r>
    </w:p>
    <w:p>
      <w:pPr>
        <w:pStyle w:val="Compact"/>
        <w:numPr>
          <w:ilvl w:val="0"/>
          <w:numId w:val="1264"/>
        </w:numPr>
      </w:pPr>
      <w:r>
        <w:t xml:space="preserve">Isolate name</w:t>
      </w:r>
    </w:p>
    <w:p>
      <w:pPr>
        <w:pStyle w:val="Compact"/>
        <w:numPr>
          <w:ilvl w:val="0"/>
          <w:numId w:val="1264"/>
        </w:numPr>
      </w:pPr>
      <w:r>
        <w:t xml:space="preserve">ITS sequence</w:t>
      </w:r>
    </w:p>
    <w:p>
      <w:pPr>
        <w:pStyle w:val="Compact"/>
        <w:numPr>
          <w:ilvl w:val="0"/>
          <w:numId w:val="1264"/>
        </w:numPr>
      </w:pPr>
      <w:r>
        <w:t xml:space="preserve">BLAST top hit</w:t>
      </w:r>
    </w:p>
    <w:p>
      <w:pPr>
        <w:pStyle w:val="Compact"/>
        <w:numPr>
          <w:ilvl w:val="0"/>
          <w:numId w:val="1264"/>
        </w:numPr>
      </w:pPr>
      <w:r>
        <w:t xml:space="preserve">BLAST percent identity</w:t>
      </w:r>
    </w:p>
    <w:p>
      <w:pPr>
        <w:pStyle w:val="Compact"/>
        <w:numPr>
          <w:ilvl w:val="0"/>
          <w:numId w:val="1264"/>
        </w:numPr>
      </w:pPr>
      <w:r>
        <w:t xml:space="preserve">BLAST query cover</w:t>
      </w:r>
    </w:p>
    <w:p>
      <w:pPr>
        <w:pStyle w:val="Compact"/>
        <w:numPr>
          <w:ilvl w:val="0"/>
          <w:numId w:val="1264"/>
        </w:numPr>
      </w:pPr>
      <w:r>
        <w:t xml:space="preserve">BLAST E value</w:t>
      </w:r>
    </w:p>
    <w:p>
      <w:pPr>
        <w:pStyle w:val="Compact"/>
        <w:numPr>
          <w:ilvl w:val="0"/>
          <w:numId w:val="1264"/>
        </w:numPr>
      </w:pPr>
      <w:r>
        <w:t xml:space="preserve">Notes on the BLAST results (e.g., what kind of fungi are these?)</w:t>
      </w:r>
    </w:p>
    <w:bookmarkEnd w:id="210"/>
    <w:bookmarkEnd w:id="211"/>
    <w:bookmarkStart w:id="22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16" w:name="X0d17ba572a281133a22d073b368b9fbe73454ca"/>
    <w:p>
      <w:pPr>
        <w:pStyle w:val="Heading2"/>
      </w:pPr>
      <w:r>
        <w:t xml:space="preserve">Module 5.1 – Tissue Preparation for Genome Sequencing</w:t>
      </w:r>
    </w:p>
    <w:bookmarkStart w:id="215" w:name="X77a2a5cde368cdc7e0265278fa1fc26eefd1a5c"/>
    <w:p>
      <w:pPr>
        <w:pStyle w:val="Heading3"/>
      </w:pPr>
      <w:r>
        <w:t xml:space="preserve">Instructor Laboratory Preparation Instructions</w:t>
      </w:r>
    </w:p>
    <w:bookmarkStart w:id="214" w:name="materials-and-equipment-9"/>
    <w:p>
      <w:pPr>
        <w:pStyle w:val="Heading4"/>
      </w:pPr>
      <w:r>
        <w:t xml:space="preserve">Materials and Equipment</w:t>
      </w:r>
    </w:p>
    <w:p>
      <w:pPr>
        <w:pStyle w:val="Compact"/>
        <w:numPr>
          <w:ilvl w:val="0"/>
          <w:numId w:val="1265"/>
        </w:numPr>
      </w:pPr>
      <w:r>
        <w:t xml:space="preserve">Autoclave</w:t>
      </w:r>
    </w:p>
    <w:p>
      <w:pPr>
        <w:pStyle w:val="Compact"/>
        <w:numPr>
          <w:ilvl w:val="0"/>
          <w:numId w:val="1266"/>
        </w:numPr>
      </w:pPr>
      <w:r>
        <w:t xml:space="preserve">Laminar Flow Hood (if available)</w:t>
      </w:r>
    </w:p>
    <w:p>
      <w:pPr>
        <w:pStyle w:val="Compact"/>
        <w:numPr>
          <w:ilvl w:val="0"/>
          <w:numId w:val="1267"/>
        </w:numPr>
      </w:pPr>
      <w:r>
        <w:t xml:space="preserve">Cellophane</w:t>
      </w:r>
    </w:p>
    <w:p>
      <w:pPr>
        <w:pStyle w:val="Compact"/>
        <w:numPr>
          <w:ilvl w:val="0"/>
          <w:numId w:val="1268"/>
        </w:numPr>
      </w:pPr>
      <w:r>
        <w:t xml:space="preserve">100x15mm Petri Dishes</w:t>
      </w:r>
    </w:p>
    <w:p>
      <w:pPr>
        <w:pStyle w:val="Compact"/>
        <w:numPr>
          <w:ilvl w:val="0"/>
          <w:numId w:val="1269"/>
        </w:numPr>
      </w:pPr>
      <w:r>
        <w:t xml:space="preserve">60x15mm Petri Dishes</w:t>
      </w:r>
    </w:p>
    <w:p>
      <w:pPr>
        <w:pStyle w:val="Compact"/>
        <w:numPr>
          <w:ilvl w:val="0"/>
          <w:numId w:val="1270"/>
        </w:numPr>
      </w:pPr>
      <w:r>
        <w:t xml:space="preserve">Agar, Bacteriological</w:t>
      </w:r>
    </w:p>
    <w:p>
      <w:pPr>
        <w:pStyle w:val="Compact"/>
        <w:numPr>
          <w:ilvl w:val="0"/>
          <w:numId w:val="1271"/>
        </w:numPr>
      </w:pPr>
      <w:r>
        <w:t xml:space="preserve">Potato Dextrose Agar (PDA) media</w:t>
      </w:r>
    </w:p>
    <w:p>
      <w:pPr>
        <w:pStyle w:val="Compact"/>
        <w:numPr>
          <w:ilvl w:val="0"/>
          <w:numId w:val="1272"/>
        </w:numPr>
      </w:pPr>
      <w:r>
        <w:t xml:space="preserve">Alcohol for sterilization</w:t>
      </w:r>
    </w:p>
    <w:p>
      <w:pPr>
        <w:pStyle w:val="Compact"/>
        <w:numPr>
          <w:ilvl w:val="0"/>
          <w:numId w:val="1273"/>
        </w:numPr>
      </w:pPr>
      <w:r>
        <w:t xml:space="preserve">Forceps</w:t>
      </w:r>
    </w:p>
    <w:p>
      <w:pPr>
        <w:pStyle w:val="Compact"/>
        <w:numPr>
          <w:ilvl w:val="0"/>
          <w:numId w:val="1274"/>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14"/>
    <w:bookmarkEnd w:id="215"/>
    <w:bookmarkEnd w:id="216"/>
    <w:bookmarkStart w:id="224" w:name="Xc8205bcafd44c2f0f2777871d0b670e5430cb18"/>
    <w:p>
      <w:pPr>
        <w:pStyle w:val="Heading2"/>
      </w:pPr>
      <w:r>
        <w:t xml:space="preserve">Module 5.2 – Tissue Preparation for Genome Sequencing</w:t>
      </w:r>
    </w:p>
    <w:bookmarkStart w:id="21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17"/>
    <w:bookmarkStart w:id="21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8"/>
    <w:bookmarkStart w:id="219" w:name="sub-culturing-on-cellophane"/>
    <w:p>
      <w:pPr>
        <w:pStyle w:val="Heading3"/>
      </w:pPr>
      <w:r>
        <w:t xml:space="preserve">Sub-Culturing on Cellophane</w:t>
      </w:r>
    </w:p>
    <w:p>
      <w:pPr>
        <w:pStyle w:val="Compact"/>
        <w:numPr>
          <w:ilvl w:val="0"/>
          <w:numId w:val="1275"/>
        </w:numPr>
      </w:pPr>
      <w:r>
        <w:t xml:space="preserve">Clean your workspace as described previously. Work under flames or in a laminar flow hood if available.</w:t>
      </w:r>
    </w:p>
    <w:p>
      <w:pPr>
        <w:pStyle w:val="Compact"/>
        <w:numPr>
          <w:ilvl w:val="0"/>
          <w:numId w:val="1275"/>
        </w:numPr>
      </w:pPr>
      <w:r>
        <w:t xml:space="preserve">Label your Cellophane lined Petri Dish appropriately.</w:t>
      </w:r>
    </w:p>
    <w:p>
      <w:pPr>
        <w:pStyle w:val="Compact"/>
        <w:numPr>
          <w:ilvl w:val="0"/>
          <w:numId w:val="1275"/>
        </w:numPr>
      </w:pPr>
      <w:r>
        <w:t xml:space="preserve">Sterilize implements (forceps and scalpel).</w:t>
      </w:r>
    </w:p>
    <w:p>
      <w:pPr>
        <w:pStyle w:val="Compact"/>
        <w:numPr>
          <w:ilvl w:val="0"/>
          <w:numId w:val="1275"/>
        </w:numPr>
      </w:pPr>
      <w:r>
        <w:t xml:space="preserve">Scrape mycelia from PDA plates that you have been growing. Be sure to avoid transferring any media as much as possible.</w:t>
      </w:r>
    </w:p>
    <w:p>
      <w:pPr>
        <w:pStyle w:val="Compact"/>
        <w:numPr>
          <w:ilvl w:val="1"/>
          <w:numId w:val="1276"/>
        </w:numPr>
      </w:pPr>
      <w:r>
        <w:t xml:space="preserve">Leaving the assay plate on the bench space, remove the parafilm of the inoculation plate and slightly crack open the lid using your non-dominant hand.</w:t>
      </w:r>
    </w:p>
    <w:p>
      <w:pPr>
        <w:pStyle w:val="Compact"/>
        <w:numPr>
          <w:ilvl w:val="1"/>
          <w:numId w:val="1276"/>
        </w:numPr>
      </w:pPr>
      <w:r>
        <w:t xml:space="preserve">Insert your forceps into the crack of the Petri dish and attempt to sample some mycelium.</w:t>
      </w:r>
    </w:p>
    <w:p>
      <w:pPr>
        <w:pStyle w:val="Compact"/>
        <w:numPr>
          <w:ilvl w:val="2"/>
          <w:numId w:val="1277"/>
        </w:numPr>
      </w:pPr>
      <w:r>
        <w:t xml:space="preserve">If you are unable to remove mycelia with your forceps, use your scalpel to remove mycelia with the least amount of agar possible.</w:t>
      </w:r>
    </w:p>
    <w:p>
      <w:pPr>
        <w:pStyle w:val="Compact"/>
        <w:numPr>
          <w:ilvl w:val="0"/>
          <w:numId w:val="1275"/>
        </w:numPr>
      </w:pPr>
      <w:r>
        <w:t xml:space="preserve">Transfer the mycelia to a Petri dish with cellophane.</w:t>
      </w:r>
    </w:p>
    <w:p>
      <w:pPr>
        <w:pStyle w:val="Compact"/>
        <w:numPr>
          <w:ilvl w:val="1"/>
          <w:numId w:val="1278"/>
        </w:numPr>
      </w:pPr>
      <w:r>
        <w:t xml:space="preserve">Carefully remove the chunk of agar. Replace the lid. Slide the sample plate away. Slide a cellophane plate towards you.</w:t>
      </w:r>
    </w:p>
    <w:p>
      <w:pPr>
        <w:pStyle w:val="Compact"/>
        <w:numPr>
          <w:ilvl w:val="1"/>
          <w:numId w:val="1278"/>
        </w:numPr>
      </w:pPr>
      <w:r>
        <w:t xml:space="preserve">Crack open the cellophane plate using your non-dominant hand, and carefully insert the forceps with the agar and mycelium.</w:t>
      </w:r>
    </w:p>
    <w:p>
      <w:pPr>
        <w:pStyle w:val="Compact"/>
        <w:numPr>
          <w:ilvl w:val="1"/>
          <w:numId w:val="1278"/>
        </w:numPr>
      </w:pPr>
      <w:r>
        <w:t xml:space="preserve">To deposit the agar onto the PDA agar, submerge the forceps into the agar on the plate. This should force the agar and mycelium from your forceps, onto the PDA agar.</w:t>
      </w:r>
    </w:p>
    <w:p>
      <w:pPr>
        <w:pStyle w:val="Compact"/>
        <w:numPr>
          <w:ilvl w:val="1"/>
          <w:numId w:val="1278"/>
        </w:numPr>
      </w:pPr>
      <w:r>
        <w:t xml:space="preserve">Pull your forceps straight out to leave the agar and mycelium on the plate.</w:t>
      </w:r>
    </w:p>
    <w:p>
      <w:pPr>
        <w:pStyle w:val="Compact"/>
        <w:numPr>
          <w:ilvl w:val="1"/>
          <w:numId w:val="12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75"/>
        </w:numPr>
      </w:pPr>
      <w:r>
        <w:t xml:space="preserve">Seal Petri dish with parafilm.</w:t>
      </w:r>
    </w:p>
    <w:p>
      <w:pPr>
        <w:pStyle w:val="Compact"/>
        <w:numPr>
          <w:ilvl w:val="0"/>
          <w:numId w:val="1275"/>
        </w:numPr>
      </w:pPr>
      <w:r>
        <w:t xml:space="preserve">Allow fungi to fill the cellophane.</w:t>
      </w:r>
    </w:p>
    <w:p>
      <w:pPr>
        <w:pStyle w:val="Compact"/>
        <w:numPr>
          <w:ilvl w:val="0"/>
          <w:numId w:val="1275"/>
        </w:numPr>
      </w:pPr>
      <w:r>
        <w:t xml:space="preserve">Repeat this process with all fungal isolates that will be sent for genome sequencing.</w:t>
      </w:r>
    </w:p>
    <w:bookmarkEnd w:id="219"/>
    <w:bookmarkStart w:id="22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20"/>
    <w:bookmarkStart w:id="221" w:name="student-lab-supplies"/>
    <w:p>
      <w:pPr>
        <w:pStyle w:val="Heading3"/>
      </w:pPr>
      <w:r>
        <w:t xml:space="preserve">Student Lab Supplies</w:t>
      </w:r>
    </w:p>
    <w:p>
      <w:pPr>
        <w:pStyle w:val="Compact"/>
        <w:numPr>
          <w:ilvl w:val="0"/>
          <w:numId w:val="1279"/>
        </w:numPr>
      </w:pPr>
      <w:r>
        <w:t xml:space="preserve">1.5 ml Eppendorf tubes</w:t>
      </w:r>
    </w:p>
    <w:p>
      <w:pPr>
        <w:pStyle w:val="Compact"/>
        <w:numPr>
          <w:ilvl w:val="0"/>
          <w:numId w:val="1280"/>
        </w:numPr>
      </w:pPr>
      <w:r>
        <w:t xml:space="preserve">Sharpie</w:t>
      </w:r>
    </w:p>
    <w:p>
      <w:pPr>
        <w:pStyle w:val="Compact"/>
        <w:numPr>
          <w:ilvl w:val="0"/>
          <w:numId w:val="1281"/>
        </w:numPr>
      </w:pPr>
      <w:r>
        <w:t xml:space="preserve">Scalpel</w:t>
      </w:r>
    </w:p>
    <w:p>
      <w:pPr>
        <w:pStyle w:val="Compact"/>
        <w:numPr>
          <w:ilvl w:val="0"/>
          <w:numId w:val="1282"/>
        </w:numPr>
      </w:pPr>
      <w:r>
        <w:t xml:space="preserve">Forceps</w:t>
      </w:r>
    </w:p>
    <w:p>
      <w:pPr>
        <w:pStyle w:val="Compact"/>
        <w:numPr>
          <w:ilvl w:val="0"/>
          <w:numId w:val="1283"/>
        </w:numPr>
      </w:pPr>
      <w:r>
        <w:t xml:space="preserve">Silica</w:t>
      </w:r>
    </w:p>
    <w:p>
      <w:pPr>
        <w:pStyle w:val="Compact"/>
        <w:numPr>
          <w:ilvl w:val="0"/>
          <w:numId w:val="1284"/>
        </w:numPr>
      </w:pPr>
      <w:r>
        <w:t xml:space="preserve">Probe</w:t>
      </w:r>
    </w:p>
    <w:bookmarkEnd w:id="221"/>
    <w:bookmarkStart w:id="22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22"/>
    <w:bookmarkStart w:id="223" w:name="instructions-3"/>
    <w:p>
      <w:pPr>
        <w:pStyle w:val="Heading3"/>
      </w:pPr>
      <w:r>
        <w:t xml:space="preserve">Instructions</w:t>
      </w:r>
    </w:p>
    <w:p>
      <w:pPr>
        <w:pStyle w:val="Compact"/>
        <w:numPr>
          <w:ilvl w:val="0"/>
          <w:numId w:val="1285"/>
        </w:numPr>
      </w:pPr>
      <w:r>
        <w:t xml:space="preserve">You will be harvesting fungal tissue from the cellophane PDA petri dishes.</w:t>
      </w:r>
    </w:p>
    <w:p>
      <w:pPr>
        <w:pStyle w:val="Compact"/>
        <w:numPr>
          <w:ilvl w:val="0"/>
          <w:numId w:val="1285"/>
        </w:numPr>
      </w:pPr>
      <w:r>
        <w:t xml:space="preserve">Use a laminar flow hood or set up flames to create a sterile environment. Clean your sterile area.</w:t>
      </w:r>
    </w:p>
    <w:p>
      <w:pPr>
        <w:pStyle w:val="Compact"/>
        <w:numPr>
          <w:ilvl w:val="0"/>
          <w:numId w:val="1285"/>
        </w:numPr>
      </w:pPr>
      <w:r>
        <w:t xml:space="preserve">Light your flame source. Dip your harvesting implement(s) (scalpel, forceps, and/or probe) into alcohol. Flame your implements and let it cool.</w:t>
      </w:r>
    </w:p>
    <w:p>
      <w:pPr>
        <w:pStyle w:val="Compact"/>
        <w:numPr>
          <w:ilvl w:val="0"/>
          <w:numId w:val="128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8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85"/>
        </w:numPr>
      </w:pPr>
      <w:r>
        <w:t xml:space="preserve">Seal silica-filled jar with the lid. Allow the tissue to dry for 5-10 days.</w:t>
      </w:r>
    </w:p>
    <w:p>
      <w:pPr>
        <w:pStyle w:val="Compact"/>
        <w:numPr>
          <w:ilvl w:val="0"/>
          <w:numId w:val="1285"/>
        </w:numPr>
      </w:pPr>
      <w:r>
        <w:t xml:space="preserve">Once the tissue is dry, remove the Eppendorf tubes from the silica jar and close the lids.</w:t>
      </w:r>
    </w:p>
    <w:p>
      <w:pPr>
        <w:pStyle w:val="Compact"/>
        <w:numPr>
          <w:ilvl w:val="0"/>
          <w:numId w:val="1285"/>
        </w:numPr>
      </w:pPr>
      <w:r>
        <w:t xml:space="preserve">Proceed to the Sample submission module.</w:t>
      </w:r>
    </w:p>
    <w:bookmarkEnd w:id="223"/>
    <w:bookmarkEnd w:id="224"/>
    <w:bookmarkEnd w:id="225"/>
    <w:bookmarkStart w:id="23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33" w:name="module-6.1-myco-ed-sample-submission-sop"/>
    <w:p>
      <w:pPr>
        <w:pStyle w:val="Heading2"/>
      </w:pPr>
      <w:r>
        <w:t xml:space="preserve">Module 6.1 – Myco-Ed Sample Submission SOP</w:t>
      </w:r>
    </w:p>
    <w:bookmarkStart w:id="228" w:name="overview-2"/>
    <w:p>
      <w:pPr>
        <w:pStyle w:val="Heading3"/>
      </w:pPr>
      <w:r>
        <w:t xml:space="preserve">Overview</w:t>
      </w:r>
    </w:p>
    <w:p>
      <w:pPr>
        <w:pStyle w:val="FirstParagraph"/>
      </w:pPr>
      <w:r>
        <w:t xml:space="preserve">Use this document to submit fungal samples to Arizona Genomics Institute (AGI) for DNA extraction.</w:t>
      </w:r>
    </w:p>
    <w:bookmarkEnd w:id="228"/>
    <w:bookmarkStart w:id="229" w:name="definitions"/>
    <w:p>
      <w:pPr>
        <w:pStyle w:val="Heading3"/>
      </w:pPr>
      <w:r>
        <w:t xml:space="preserve">Definitions</w:t>
      </w:r>
    </w:p>
    <w:p>
      <w:pPr>
        <w:pStyle w:val="Compact"/>
        <w:numPr>
          <w:ilvl w:val="0"/>
          <w:numId w:val="1286"/>
        </w:numPr>
      </w:pPr>
      <w:r>
        <w:t xml:space="preserve">JGI = Joint Genomics Institute</w:t>
      </w:r>
    </w:p>
    <w:p>
      <w:pPr>
        <w:pStyle w:val="Compact"/>
        <w:numPr>
          <w:ilvl w:val="0"/>
          <w:numId w:val="1286"/>
        </w:numPr>
      </w:pPr>
      <w:r>
        <w:t xml:space="preserve">AGI = Arizona Genome Institute</w:t>
      </w:r>
    </w:p>
    <w:bookmarkEnd w:id="229"/>
    <w:bookmarkStart w:id="230" w:name="associated-documents"/>
    <w:p>
      <w:pPr>
        <w:pStyle w:val="Heading3"/>
      </w:pPr>
      <w:r>
        <w:t xml:space="preserve">Associated Documents</w:t>
      </w:r>
    </w:p>
    <w:p>
      <w:pPr>
        <w:pStyle w:val="FirstParagraph"/>
      </w:pPr>
      <w:r>
        <w:t xml:space="preserve">MycoEd Metadata Form</w:t>
      </w:r>
    </w:p>
    <w:bookmarkEnd w:id="230"/>
    <w:bookmarkStart w:id="231" w:name="process-steps"/>
    <w:p>
      <w:pPr>
        <w:pStyle w:val="Heading3"/>
      </w:pPr>
      <w:r>
        <w:t xml:space="preserve">Process Steps</w:t>
      </w:r>
    </w:p>
    <w:p>
      <w:pPr>
        <w:pStyle w:val="Compact"/>
        <w:numPr>
          <w:ilvl w:val="0"/>
          <w:numId w:val="1287"/>
        </w:numPr>
      </w:pPr>
      <w:r>
        <w:t xml:space="preserve">Create a JGI Single Sign on Account</w:t>
      </w:r>
    </w:p>
    <w:p>
      <w:pPr>
        <w:pStyle w:val="Compact"/>
        <w:numPr>
          <w:ilvl w:val="0"/>
          <w:numId w:val="1287"/>
        </w:numPr>
      </w:pPr>
      <w:r>
        <w:t xml:space="preserve">Email photos of the live tissue you intend to send AGI before collection to JTALAG@email.arizona.edu and kwbarry@lbl.gov.</w:t>
      </w:r>
    </w:p>
    <w:p>
      <w:pPr>
        <w:pStyle w:val="Compact"/>
        <w:numPr>
          <w:ilvl w:val="0"/>
          <w:numId w:val="1287"/>
        </w:numPr>
      </w:pPr>
      <w:r>
        <w:t xml:space="preserve">Make a copy of the MycoEd Metadata Form</w:t>
      </w:r>
    </w:p>
    <w:p>
      <w:pPr>
        <w:pStyle w:val="Compact"/>
        <w:numPr>
          <w:ilvl w:val="1"/>
          <w:numId w:val="1288"/>
        </w:numPr>
      </w:pPr>
      <w:r>
        <w:t xml:space="preserve">Click on MycoEd Metadata Form link</w:t>
      </w:r>
    </w:p>
    <w:p>
      <w:pPr>
        <w:pStyle w:val="Compact"/>
        <w:numPr>
          <w:ilvl w:val="1"/>
          <w:numId w:val="1288"/>
        </w:numPr>
      </w:pPr>
      <w:r>
        <w:t xml:space="preserve">Under file, select Make a Copy</w:t>
      </w:r>
    </w:p>
    <w:p>
      <w:pPr>
        <w:pStyle w:val="Compact"/>
        <w:numPr>
          <w:ilvl w:val="1"/>
          <w:numId w:val="1288"/>
        </w:numPr>
      </w:pPr>
      <w:r>
        <w:t xml:space="preserve">Rename your new copy [University][Instructor Last Name][MycoEd Metadata][Date]</w:t>
      </w:r>
    </w:p>
    <w:p>
      <w:pPr>
        <w:pStyle w:val="Compact"/>
        <w:numPr>
          <w:ilvl w:val="0"/>
          <w:numId w:val="1287"/>
        </w:numPr>
      </w:pPr>
      <w:r>
        <w:t xml:space="preserve">Fill out your copy of the MycoEd Metadata Form</w:t>
      </w:r>
    </w:p>
    <w:p>
      <w:pPr>
        <w:pStyle w:val="Compact"/>
        <w:numPr>
          <w:ilvl w:val="1"/>
          <w:numId w:val="1289"/>
        </w:numPr>
      </w:pPr>
      <w:r>
        <w:t xml:space="preserve">Professor is the instructor for the class and their email address</w:t>
      </w:r>
    </w:p>
    <w:p>
      <w:pPr>
        <w:pStyle w:val="Compact"/>
        <w:numPr>
          <w:ilvl w:val="1"/>
          <w:numId w:val="1289"/>
        </w:numPr>
      </w:pPr>
      <w:r>
        <w:t xml:space="preserve">Name of the University/Institution is your University/Institution</w:t>
      </w:r>
    </w:p>
    <w:p>
      <w:pPr>
        <w:pStyle w:val="Compact"/>
        <w:numPr>
          <w:ilvl w:val="1"/>
          <w:numId w:val="1289"/>
        </w:numPr>
      </w:pPr>
      <w:r>
        <w:t xml:space="preserve">Date submitted/shipped is the date you ship the samples to AGI</w:t>
      </w:r>
    </w:p>
    <w:p>
      <w:pPr>
        <w:pStyle w:val="Compact"/>
        <w:numPr>
          <w:ilvl w:val="1"/>
          <w:numId w:val="1289"/>
        </w:numPr>
      </w:pPr>
      <w:r>
        <w:t xml:space="preserve">JGI proposal name &amp; number is DS 509937 (already provided)</w:t>
      </w:r>
    </w:p>
    <w:p>
      <w:pPr>
        <w:pStyle w:val="Compact"/>
        <w:numPr>
          <w:ilvl w:val="0"/>
          <w:numId w:val="1287"/>
        </w:numPr>
      </w:pPr>
      <w:r>
        <w:t xml:space="preserve">Fill out Sample Table</w:t>
      </w:r>
    </w:p>
    <w:p>
      <w:pPr>
        <w:pStyle w:val="Compact"/>
        <w:numPr>
          <w:ilvl w:val="1"/>
          <w:numId w:val="1290"/>
        </w:numPr>
      </w:pPr>
      <w:r>
        <w:t xml:space="preserve">Enter requested metadata into the table</w:t>
      </w:r>
    </w:p>
    <w:p>
      <w:pPr>
        <w:pStyle w:val="Compact"/>
        <w:numPr>
          <w:ilvl w:val="1"/>
          <w:numId w:val="1290"/>
        </w:numPr>
      </w:pPr>
      <w:r>
        <w:t xml:space="preserve">Use one row per sample/tube</w:t>
      </w:r>
    </w:p>
    <w:p>
      <w:pPr>
        <w:pStyle w:val="Compact"/>
        <w:numPr>
          <w:ilvl w:val="1"/>
          <w:numId w:val="1290"/>
        </w:numPr>
      </w:pPr>
      <w:r>
        <w:t xml:space="preserve">Insert additional rows if needed</w:t>
      </w:r>
    </w:p>
    <w:p>
      <w:pPr>
        <w:pStyle w:val="Compact"/>
        <w:numPr>
          <w:ilvl w:val="1"/>
          <w:numId w:val="1290"/>
        </w:numPr>
      </w:pPr>
      <w:r>
        <w:t xml:space="preserve">Columns with gray field headers, B and D, will be filled out by JGI</w:t>
      </w:r>
    </w:p>
    <w:p>
      <w:pPr>
        <w:pStyle w:val="Compact"/>
        <w:numPr>
          <w:ilvl w:val="1"/>
          <w:numId w:val="1290"/>
        </w:numPr>
      </w:pPr>
      <w:r>
        <w:t xml:space="preserve">For Column C, Sample Name - please use below convention for naming: [University][Plant][Plant tissue] Metagenome [Sample ID]</w:t>
      </w:r>
    </w:p>
    <w:p>
      <w:pPr>
        <w:pStyle w:val="Compact"/>
        <w:numPr>
          <w:ilvl w:val="1"/>
          <w:numId w:val="1290"/>
        </w:numPr>
      </w:pPr>
      <w:r>
        <w:t xml:space="preserve">Column G is only needed if you are sending more than 22 samples</w:t>
      </w:r>
    </w:p>
    <w:p>
      <w:pPr>
        <w:pStyle w:val="Compact"/>
        <w:numPr>
          <w:ilvl w:val="1"/>
          <w:numId w:val="1290"/>
        </w:numPr>
      </w:pPr>
      <w:r>
        <w:t xml:space="preserve">Student is the full name of student that collected the sample and their email address</w:t>
      </w:r>
    </w:p>
    <w:p>
      <w:pPr>
        <w:pStyle w:val="Compact"/>
        <w:numPr>
          <w:ilvl w:val="1"/>
          <w:numId w:val="1290"/>
        </w:numPr>
      </w:pPr>
      <w:r>
        <w:t xml:space="preserve">Columns with Yellow Header, X-AF, will be filled out by AGI after DNA extraction</w:t>
      </w:r>
    </w:p>
    <w:p>
      <w:pPr>
        <w:pStyle w:val="Compact"/>
        <w:numPr>
          <w:ilvl w:val="0"/>
          <w:numId w:val="1287"/>
        </w:numPr>
      </w:pPr>
      <w:r>
        <w:t xml:space="preserve">Email form to AGI &amp; JGI</w:t>
      </w:r>
    </w:p>
    <w:p>
      <w:pPr>
        <w:pStyle w:val="Compact"/>
        <w:numPr>
          <w:ilvl w:val="1"/>
          <w:numId w:val="1291"/>
        </w:numPr>
      </w:pPr>
      <w:r>
        <w:t xml:space="preserve">Once all required metadata is provided, download a copy to excel</w:t>
      </w:r>
    </w:p>
    <w:p>
      <w:pPr>
        <w:pStyle w:val="Compact"/>
        <w:numPr>
          <w:ilvl w:val="1"/>
          <w:numId w:val="1291"/>
        </w:numPr>
      </w:pPr>
      <w:r>
        <w:t xml:space="preserve">Email a copy to Jayson at (jtalag@ag.arizona.edu ) and Kerrie (kwbarry@lbl.gov).</w:t>
      </w:r>
    </w:p>
    <w:p>
      <w:pPr>
        <w:pStyle w:val="Compact"/>
        <w:numPr>
          <w:ilvl w:val="1"/>
          <w:numId w:val="129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91"/>
        </w:numPr>
      </w:pPr>
      <w:r>
        <w:t xml:space="preserve">Include in your email your name, your college/university, the exact name of your samples (column D) that are ready to ship to AGI (and the rows in this sheet).</w:t>
      </w:r>
    </w:p>
    <w:p>
      <w:pPr>
        <w:pStyle w:val="Compact"/>
        <w:numPr>
          <w:ilvl w:val="1"/>
          <w:numId w:val="1291"/>
        </w:numPr>
      </w:pPr>
      <w:r>
        <w:t xml:space="preserve">Wait for approval/confirmation from AGI &amp; JGI.</w:t>
      </w:r>
    </w:p>
    <w:p>
      <w:pPr>
        <w:pStyle w:val="Compact"/>
        <w:numPr>
          <w:ilvl w:val="2"/>
          <w:numId w:val="1292"/>
        </w:numPr>
      </w:pPr>
      <w:r>
        <w:t xml:space="preserve">If needed make requested changed and email updated copy</w:t>
      </w:r>
    </w:p>
    <w:p>
      <w:pPr>
        <w:pStyle w:val="Compact"/>
        <w:numPr>
          <w:ilvl w:val="0"/>
          <w:numId w:val="1287"/>
        </w:numPr>
      </w:pPr>
      <w:r>
        <w:t xml:space="preserve">Prepare samples for shipment</w:t>
      </w:r>
    </w:p>
    <w:p>
      <w:pPr>
        <w:pStyle w:val="Compact"/>
        <w:numPr>
          <w:ilvl w:val="1"/>
          <w:numId w:val="1293"/>
        </w:numPr>
      </w:pPr>
    </w:p>
    <w:p>
      <w:pPr>
        <w:pStyle w:val="Compact"/>
        <w:numPr>
          <w:ilvl w:val="2"/>
          <w:numId w:val="129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93"/>
        </w:numPr>
      </w:pPr>
      <w:r>
        <w:t xml:space="preserve">Email FEDEX tracking # when your shipment is picked up.</w:t>
      </w:r>
    </w:p>
    <w:p>
      <w:pPr>
        <w:pStyle w:val="Compact"/>
        <w:numPr>
          <w:ilvl w:val="1"/>
          <w:numId w:val="129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31"/>
    <w:bookmarkStart w:id="23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32"/>
    <w:bookmarkEnd w:id="233"/>
    <w:bookmarkEnd w:id="234"/>
    <w:bookmarkStart w:id="25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tip.png" id="2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44" w:name="X46999d4e04aaa0bd6e7f1cf0936f3283e50c93c"/>
    <w:p>
      <w:pPr>
        <w:pStyle w:val="Heading2"/>
      </w:pPr>
      <w:r>
        <w:t xml:space="preserve">Module 7.1 – Sexual Reproduction in Ascomycota Genomic Analysis</w:t>
      </w:r>
    </w:p>
    <w:bookmarkStart w:id="23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37"/>
    <w:bookmarkStart w:id="238" w:name="references"/>
    <w:p>
      <w:pPr>
        <w:pStyle w:val="Heading3"/>
      </w:pPr>
      <w:r>
        <w:t xml:space="preserve">References</w:t>
      </w:r>
    </w:p>
    <w:p>
      <w:pPr>
        <w:pStyle w:val="Compact"/>
        <w:numPr>
          <w:ilvl w:val="0"/>
          <w:numId w:val="1295"/>
        </w:numPr>
      </w:pPr>
      <w:r>
        <w:t xml:space="preserve">Casselton, L.A., Olesnicky, N.S., 1998. Molecular Genetics of Mating Recognition in Basidiomycete Fungi. Microbiol Mol Biol Rev., 62(1): 55–70. doi: 10.1128/mmbr.62.1.55-70.1998</w:t>
      </w:r>
    </w:p>
    <w:p>
      <w:pPr>
        <w:pStyle w:val="Compact"/>
        <w:numPr>
          <w:ilvl w:val="0"/>
          <w:numId w:val="1295"/>
        </w:numPr>
      </w:pPr>
      <w:r>
        <w:t xml:space="preserve">Cambareri, E.B., Singer, M.J., Selker, E.U., 1991. Recurrence of repeat-induced point mutation (RIP) in Neurospora crassa. Genetics, 127(4):699-710. doi: 10.1093/genetics/127.4.699.</w:t>
      </w:r>
    </w:p>
    <w:p>
      <w:pPr>
        <w:pStyle w:val="Compact"/>
        <w:numPr>
          <w:ilvl w:val="0"/>
          <w:numId w:val="1295"/>
        </w:numPr>
      </w:pPr>
      <w:r>
        <w:t xml:space="preserve">Metzenberg, R.L., Glass, N.L., 1990. Mating type and mating strategies in Neurospora. Bioessays. 1990 Feb;12(2):53-9. doi: 10.1002/bies.950120202.</w:t>
      </w:r>
    </w:p>
    <w:bookmarkEnd w:id="238"/>
    <w:bookmarkStart w:id="243" w:name="finding-mat-a"/>
    <w:p>
      <w:pPr>
        <w:pStyle w:val="Heading3"/>
      </w:pPr>
      <w:r>
        <w:t xml:space="preserve">Finding mat A</w:t>
      </w:r>
    </w:p>
    <w:bookmarkStart w:id="23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6"/>
        </w:numPr>
      </w:pPr>
      <w:r>
        <w:t xml:space="preserve">Let’s find the location of this gene in the genome! Go to the Neucr2 MycoCosm portal (https://mycocosm.jgi.doe.gov/Neucr2) and search for it using the BLAST tool.</w:t>
      </w:r>
    </w:p>
    <w:p>
      <w:pPr>
        <w:pStyle w:val="Compact"/>
        <w:numPr>
          <w:ilvl w:val="0"/>
          <w:numId w:val="129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6"/>
        </w:numPr>
      </w:pPr>
      <w:r>
        <w:t xml:space="preserve">You should see two hits, each shown in a separate row.</w:t>
      </w:r>
    </w:p>
    <w:p>
      <w:pPr>
        <w:pStyle w:val="Compact"/>
        <w:numPr>
          <w:ilvl w:val="1"/>
          <w:numId w:val="129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7"/>
        </w:numPr>
      </w:pPr>
      <w:r>
        <w:t xml:space="preserve">The second column shows an alignment of that sequence against your query, which is helpful for seeing how well hits cover your query sequence.</w:t>
      </w:r>
    </w:p>
    <w:p>
      <w:pPr>
        <w:pStyle w:val="Compact"/>
        <w:numPr>
          <w:ilvl w:val="1"/>
          <w:numId w:val="1297"/>
        </w:numPr>
      </w:pPr>
      <w:r>
        <w:t xml:space="preserve">The score and EValue columns are also useful when assessing hit quality. Higher scores are better, and conversely, lower e-values are better.</w:t>
      </w:r>
    </w:p>
    <w:p>
      <w:pPr>
        <w:pStyle w:val="Compact"/>
        <w:numPr>
          <w:ilvl w:val="0"/>
          <w:numId w:val="129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6"/>
        </w:numPr>
      </w:pPr>
      <w:r>
        <w:t xml:space="preserve">Using the information on the protein page, can you find mat A-2 and mat-A3?</w:t>
      </w:r>
    </w:p>
    <w:p>
      <w:pPr>
        <w:pStyle w:val="Compact"/>
        <w:numPr>
          <w:ilvl w:val="0"/>
          <w:numId w:val="1296"/>
        </w:numPr>
      </w:pPr>
      <w:r>
        <w:t xml:space="preserve">At the mating type locus, do you notice anything interesting when exploring the read depth coverage plots (pink tracks) from related Neurospora genomes?</w:t>
      </w:r>
    </w:p>
    <w:p>
      <w:pPr>
        <w:pStyle w:val="Compact"/>
        <w:numPr>
          <w:ilvl w:val="0"/>
          <w:numId w:val="129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9"/>
    <w:bookmarkStart w:id="24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40"/>
    <w:bookmarkStart w:id="24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9"/>
        </w:numPr>
      </w:pPr>
      <w:r>
        <w:t xml:space="preserve">Let’s find it on the mat a genome portal you found earlier for N. tetrasperma strain FGSC 2509, (https://mycocosm.jgi.doe.gov/Neute_mat_a1).</w:t>
      </w:r>
    </w:p>
    <w:p>
      <w:pPr>
        <w:pStyle w:val="Compact"/>
        <w:numPr>
          <w:ilvl w:val="0"/>
          <w:numId w:val="129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9"/>
        </w:numPr>
      </w:pPr>
      <w:r>
        <w:t xml:space="preserve">The best hit is to N. tetrasperma protein ID 124723, can you explain why?</w:t>
      </w:r>
    </w:p>
    <w:p>
      <w:pPr>
        <w:pStyle w:val="Compact"/>
        <w:numPr>
          <w:ilvl w:val="0"/>
          <w:numId w:val="1299"/>
        </w:numPr>
      </w:pPr>
      <w:r>
        <w:t xml:space="preserve">Let’s revisit the Neucr2 mcl clustering page and search for this, again by typing portalID.proteinID (e.g. Neute_mat_a1.124723) in the search field.</w:t>
      </w:r>
    </w:p>
    <w:p>
      <w:pPr>
        <w:pStyle w:val="Compact"/>
        <w:numPr>
          <w:ilvl w:val="0"/>
          <w:numId w:val="129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9"/>
        </w:numPr>
      </w:pPr>
      <w:r>
        <w:t xml:space="preserve">It looks like our mat a gene is found in a region that is not present in any of the others, which are all the opposite mating type (mat A)!</w:t>
      </w:r>
    </w:p>
    <w:p>
      <w:pPr>
        <w:pStyle w:val="Compact"/>
        <w:numPr>
          <w:ilvl w:val="0"/>
          <w:numId w:val="1299"/>
        </w:numPr>
      </w:pPr>
      <w:r>
        <w:t xml:space="preserve">With this information, we can say that all our current evidence supports our hypothesis that fungal mating types are driven by presence/absence of specific genes, mat a and A in particular!</w:t>
      </w:r>
    </w:p>
    <w:bookmarkEnd w:id="241"/>
    <w:bookmarkStart w:id="24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30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30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300"/>
        </w:numPr>
      </w:pPr>
      <w:r>
        <w:t xml:space="preserve">Go through the same exercise to search mcl clusters. Do you see a similar pattern to what we observed in N. crassa?</w:t>
      </w:r>
    </w:p>
    <w:p>
      <w:pPr>
        <w:pStyle w:val="Compact"/>
        <w:numPr>
          <w:ilvl w:val="0"/>
          <w:numId w:val="130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30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3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30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30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42"/>
    <w:bookmarkEnd w:id="243"/>
    <w:bookmarkEnd w:id="244"/>
    <w:bookmarkStart w:id="253" w:name="Xe7b646958662d93788a5fac43551e0623449021"/>
    <w:p>
      <w:pPr>
        <w:pStyle w:val="Heading2"/>
      </w:pPr>
      <w:r>
        <w:t xml:space="preserve">Module 7.2 – Fungal Natural Product Production Genomic Analysis</w:t>
      </w:r>
    </w:p>
    <w:bookmarkStart w:id="24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45"/>
    <w:bookmarkStart w:id="246" w:name="references-1"/>
    <w:p>
      <w:pPr>
        <w:pStyle w:val="Heading3"/>
      </w:pPr>
      <w:r>
        <w:t xml:space="preserve">References</w:t>
      </w:r>
    </w:p>
    <w:p>
      <w:pPr>
        <w:pStyle w:val="Compact"/>
        <w:numPr>
          <w:ilvl w:val="0"/>
          <w:numId w:val="130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301"/>
        </w:numPr>
      </w:pPr>
      <w:r>
        <w:t xml:space="preserve">Seenivasan, A., Subhagar, S., Aravindan, R., Viruthagiri, T., 2008. Microbial Production and Biomedical Applications of Lovastatin. Indian J Pharm Sci. 2008, doi: 10.4103/0250-474X.49087</w:t>
      </w:r>
    </w:p>
    <w:p>
      <w:pPr>
        <w:pStyle w:val="Compact"/>
        <w:numPr>
          <w:ilvl w:val="0"/>
          <w:numId w:val="130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301"/>
        </w:numPr>
      </w:pPr>
      <w:r>
        <w:t xml:space="preserve">Strieker, M., Tanovic, A., Marahiel, M.A., 2010. Nonribosomal peptide synthetases: structures and dynamics. Current Opinion in Structural Biology 2010, 20:234–240</w:t>
      </w:r>
    </w:p>
    <w:p>
      <w:pPr>
        <w:pStyle w:val="Compact"/>
        <w:numPr>
          <w:ilvl w:val="0"/>
          <w:numId w:val="1301"/>
        </w:numPr>
      </w:pPr>
      <w:r>
        <w:t xml:space="preserve">Keller, N., 2019. Fungal secondary metabolism: regulation, function and drug discovery. Nature Reviews Microbiology, 17(3): 167–180. doi: 10.1038/s41579-018-0121-1</w:t>
      </w:r>
    </w:p>
    <w:bookmarkEnd w:id="246"/>
    <w:bookmarkStart w:id="249" w:name="X31643484012ee51f67fd2def9a4608ddd3c7490"/>
    <w:p>
      <w:pPr>
        <w:pStyle w:val="Heading3"/>
      </w:pPr>
      <w:r>
        <w:t xml:space="preserve">Finding the Penicillin Biosynthetic Gene Cluster</w:t>
      </w:r>
    </w:p>
    <w:bookmarkStart w:id="247" w:name="X27e5a65183f9483aec43514a5289c555b8e099a"/>
    <w:p>
      <w:pPr>
        <w:pStyle w:val="Heading4"/>
      </w:pPr>
      <w:r>
        <w:t xml:space="preserve">Locate the known cluster in P. chrysogenum</w:t>
      </w:r>
    </w:p>
    <w:p>
      <w:pPr>
        <w:pStyle w:val="Compact"/>
        <w:numPr>
          <w:ilvl w:val="0"/>
          <w:numId w:val="130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2"/>
        </w:numPr>
      </w:pPr>
      <w:r>
        <w:t xml:space="preserve">You should see a single hit! Click on the coordinates to view this region of the genome.</w:t>
      </w:r>
    </w:p>
    <w:p>
      <w:pPr>
        <w:pStyle w:val="Compact"/>
        <w:numPr>
          <w:ilvl w:val="0"/>
          <w:numId w:val="1302"/>
        </w:numPr>
      </w:pPr>
      <w:r>
        <w:t xml:space="preserve">Of course, we are searching for DNA that is mostly found in between these penicillin-related genes. Click -10x to get a bigger view of this locus.</w:t>
      </w:r>
    </w:p>
    <w:p>
      <w:pPr>
        <w:pStyle w:val="Compact"/>
        <w:numPr>
          <w:ilvl w:val="0"/>
          <w:numId w:val="130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47"/>
    <w:bookmarkStart w:id="248" w:name="X3367d9de4d4452f0e4500f817aabeb87e960cf9"/>
    <w:p>
      <w:pPr>
        <w:pStyle w:val="Heading4"/>
      </w:pPr>
      <w:r>
        <w:t xml:space="preserve">Find candidate Penicillin BGCs in related fungi</w:t>
      </w:r>
    </w:p>
    <w:p>
      <w:pPr>
        <w:pStyle w:val="Compact"/>
        <w:numPr>
          <w:ilvl w:val="0"/>
          <w:numId w:val="1303"/>
        </w:numPr>
      </w:pPr>
      <w:r>
        <w:t xml:space="preserve">With our NRPS bait in hand, let’s try to fish out similar genes in related fungi! But before we do, do you have any hypotheses about how often it will be found?</w:t>
      </w:r>
    </w:p>
    <w:p>
      <w:pPr>
        <w:pStyle w:val="Compact"/>
        <w:numPr>
          <w:ilvl w:val="0"/>
          <w:numId w:val="130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0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0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0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0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0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03"/>
        </w:numPr>
      </w:pPr>
      <w:r>
        <w:t xml:space="preserve">Can you find where hit quality begins to drop off? You can see by just looking at the top 10 that quality drops off really fast!</w:t>
      </w:r>
    </w:p>
    <w:p>
      <w:pPr>
        <w:pStyle w:val="Compact"/>
        <w:numPr>
          <w:ilvl w:val="0"/>
          <w:numId w:val="130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0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0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0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0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0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0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0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0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0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0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0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8"/>
    <w:bookmarkEnd w:id="249"/>
    <w:bookmarkStart w:id="252" w:name="characterize-myco-ed-bgcs"/>
    <w:p>
      <w:pPr>
        <w:pStyle w:val="Heading3"/>
      </w:pPr>
      <w:r>
        <w:t xml:space="preserve">Characterize Myco-Ed BGCs</w:t>
      </w:r>
    </w:p>
    <w:bookmarkStart w:id="25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0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0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04"/>
        </w:numPr>
      </w:pPr>
      <w:r>
        <w:t xml:space="preserve">Let’s set a goal to describe the distribution of fungal BGC backbone genes, following the same workflow you just did for penicillin.</w:t>
      </w:r>
    </w:p>
    <w:p>
      <w:pPr>
        <w:pStyle w:val="Compact"/>
        <w:numPr>
          <w:ilvl w:val="0"/>
          <w:numId w:val="130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0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0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0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0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0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0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50"/>
    <w:bookmarkStart w:id="251" w:name="annotate-them"/>
    <w:p>
      <w:pPr>
        <w:pStyle w:val="Heading4"/>
      </w:pPr>
      <w:r>
        <w:t xml:space="preserve">Annotate them!</w:t>
      </w:r>
    </w:p>
    <w:p>
      <w:pPr>
        <w:pStyle w:val="Compact"/>
        <w:numPr>
          <w:ilvl w:val="0"/>
          <w:numId w:val="130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0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0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51"/>
    <w:bookmarkEnd w:id="252"/>
    <w:bookmarkEnd w:id="253"/>
    <w:bookmarkEnd w:id="254"/>
    <w:bookmarkStart w:id="25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5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56"/>
    <w:bookmarkStart w:id="257" w:name="carlos-c.-goller"/>
    <w:p>
      <w:pPr>
        <w:pStyle w:val="Heading1"/>
      </w:pPr>
      <w:r>
        <w:t xml:space="preserve">1. Carlos C. Goller</w:t>
      </w:r>
    </w:p>
    <w:bookmarkEnd w:id="257"/>
    <w:bookmarkStart w:id="26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8"/>
    <w:bookmarkStart w:id="25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9"/>
    <w:bookmarkEnd w:id="260"/>
    <w:bookmarkStart w:id="267" w:name="references-2"/>
    <w:p>
      <w:pPr>
        <w:pStyle w:val="Heading1"/>
      </w:pPr>
      <w:r>
        <w:t xml:space="preserve">References</w:t>
      </w:r>
    </w:p>
    <w:bookmarkStart w:id="261" w:name="workbook-references"/>
    <w:p>
      <w:pPr>
        <w:pStyle w:val="Heading2"/>
      </w:pPr>
      <w:r>
        <w:t xml:space="preserve">Workbook References</w:t>
      </w:r>
    </w:p>
    <w:p>
      <w:pPr>
        <w:pStyle w:val="Compact"/>
        <w:numPr>
          <w:ilvl w:val="0"/>
          <w:numId w:val="1306"/>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6"/>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61"/>
    <w:bookmarkStart w:id="266" w:name="module-7.1-references"/>
    <w:p>
      <w:pPr>
        <w:pStyle w:val="Heading2"/>
      </w:pPr>
      <w:r>
        <w:t xml:space="preserve">Module 7.1 References</w:t>
      </w:r>
    </w:p>
    <w:p>
      <w:pPr>
        <w:pStyle w:val="Compact"/>
        <w:numPr>
          <w:ilvl w:val="0"/>
          <w:numId w:val="1307"/>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7"/>
        </w:numPr>
      </w:pPr>
      <w:r>
        <w:t xml:space="preserve">Cambareri, E.B., Singer, M.J., Selker, E.U., 1991. Recurrence of repeat-induced point mutation (RIP) in Neurospora crassa. Genetics, 127(4): 699-710. https://doi.org/10.1093/genetics/127.4.699</w:t>
      </w:r>
    </w:p>
    <w:p>
      <w:pPr>
        <w:pStyle w:val="Compact"/>
        <w:numPr>
          <w:ilvl w:val="0"/>
          <w:numId w:val="1307"/>
        </w:numPr>
      </w:pPr>
      <w:r>
        <w:t xml:space="preserve">Metzenberg, R.L., Glass, N.L., 1990. Mating type and mating strategies in Neurospora. BioEssays, 12(2): 53-59. https://doi.org/10.1002/bies.950120202</w:t>
      </w:r>
    </w:p>
    <w:bookmarkStart w:id="265" w:name="refs"/>
    <w:bookmarkStart w:id="26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62"/>
    <w:bookmarkStart w:id="26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63">
        <w:r>
          <w:rPr>
            <w:rStyle w:val="Hyperlink"/>
          </w:rPr>
          <w:t xml:space="preserve">https://doi.org/10.17504/protocols.io.rm7vzqd5xvx1/v1</w:t>
        </w:r>
      </w:hyperlink>
      <w:r>
        <w:t xml:space="preserve">.</w:t>
      </w:r>
    </w:p>
    <w:bookmarkEnd w:id="264"/>
    <w:bookmarkEnd w:id="265"/>
    <w:bookmarkEnd w:id="266"/>
    <w:bookmarkEnd w:id="2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
  </w:num>
  <w:num w:numId="1252">
    <w:abstractNumId w:val="992"/>
  </w:num>
  <w:num w:numId="1253">
    <w:abstractNumId w:val="992"/>
  </w:num>
  <w:num w:numId="1254">
    <w:abstractNumId w:val="992"/>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4"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5"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6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5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4" Target="https://nanoporetech.com/document/extraction-method/fungi-gdna-no-miss"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195"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2026-06-03T03:45:02Z</dcterms:created>
  <dcterms:modified xsi:type="dcterms:W3CDTF">2026-06-03T03:45:02Z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