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
    <w:p>
      <w:pPr>
        <w:pStyle w:val="Heading3"/>
      </w:pPr>
      <w:r>
        <w:t xml:space="preserve">Part III: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3"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1f9141d941555e98bd81ab73b3543cfd3247ac1"/>
    <w:p>
      <w:pPr>
        <w:pStyle w:val="Heading2"/>
      </w:pPr>
      <w:r>
        <w:t xml:space="preserve">Module 4.1 – DNA Sequencing and Species Identification Instructor Resources</w:t>
      </w:r>
    </w:p>
    <w:bookmarkStart w:id="179" w:name="Xf2d43db359788ca93a2d8fe43440f1f2685953f"/>
    <w:p>
      <w:pPr>
        <w:pStyle w:val="Heading3"/>
      </w:pPr>
      <w:r>
        <w:t xml:space="preserve">Instructor 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1.5mL microcentrifuge tubes (Eppendorf DNA LoBind)</w:t>
      </w:r>
    </w:p>
    <w:p>
      <w:pPr>
        <w:pStyle w:val="Compact"/>
        <w:numPr>
          <w:ilvl w:val="0"/>
          <w:numId w:val="1189"/>
        </w:numPr>
      </w:pPr>
      <w:r>
        <w:t xml:space="preserve">0.2 mL PCR tubes</w:t>
      </w:r>
    </w:p>
    <w:p>
      <w:pPr>
        <w:pStyle w:val="Compact"/>
        <w:numPr>
          <w:ilvl w:val="0"/>
          <w:numId w:val="1190"/>
        </w:numPr>
      </w:pPr>
      <w:r>
        <w:t xml:space="preserve">Microfuge and PCR tube racks</w:t>
      </w:r>
    </w:p>
    <w:p>
      <w:pPr>
        <w:pStyle w:val="Compact"/>
        <w:numPr>
          <w:ilvl w:val="0"/>
          <w:numId w:val="1191"/>
        </w:numPr>
      </w:pPr>
      <w:r>
        <w:t xml:space="preserve">Labeling tape</w:t>
      </w:r>
    </w:p>
    <w:p>
      <w:pPr>
        <w:pStyle w:val="Compact"/>
        <w:numPr>
          <w:ilvl w:val="0"/>
          <w:numId w:val="1192"/>
        </w:numPr>
      </w:pPr>
      <w:r>
        <w:t xml:space="preserve">Monarch® Spin gDNA Extraction Kit (New England BioLabs, T3010S)</w:t>
      </w:r>
    </w:p>
    <w:p>
      <w:pPr>
        <w:pStyle w:val="Compact"/>
        <w:numPr>
          <w:ilvl w:val="0"/>
          <w:numId w:val="1193"/>
        </w:numPr>
      </w:pPr>
      <w:r>
        <w:t xml:space="preserve">MetaPolyzyme, DNA free (Millipore Sigma, MAC4LDF-5X1VL)</w:t>
      </w:r>
    </w:p>
    <w:p>
      <w:pPr>
        <w:pStyle w:val="Compact"/>
        <w:numPr>
          <w:ilvl w:val="0"/>
          <w:numId w:val="1194"/>
        </w:numPr>
      </w:pPr>
      <w:r>
        <w:t xml:space="preserve">Q5® High-Fidelity 2X Master Mix (New England BioLabs, M0492)</w:t>
      </w:r>
    </w:p>
    <w:p>
      <w:pPr>
        <w:pStyle w:val="Compact"/>
        <w:numPr>
          <w:ilvl w:val="0"/>
          <w:numId w:val="1195"/>
        </w:numPr>
      </w:pPr>
      <w:r>
        <w:t xml:space="preserve">TE Buffer</w:t>
      </w:r>
    </w:p>
    <w:p>
      <w:pPr>
        <w:pStyle w:val="Compact"/>
        <w:numPr>
          <w:ilvl w:val="0"/>
          <w:numId w:val="1196"/>
        </w:numPr>
      </w:pPr>
      <w:r>
        <w:t xml:space="preserve">CTAB solution (100 ml, Promega, MC1411)</w:t>
      </w:r>
    </w:p>
    <w:p>
      <w:pPr>
        <w:pStyle w:val="Compact"/>
        <w:numPr>
          <w:ilvl w:val="0"/>
          <w:numId w:val="1197"/>
        </w:numPr>
      </w:pPr>
      <w:r>
        <w:t xml:space="preserve">Parafilm</w:t>
      </w:r>
    </w:p>
    <w:p>
      <w:pPr>
        <w:pStyle w:val="Compact"/>
        <w:numPr>
          <w:ilvl w:val="0"/>
          <w:numId w:val="1198"/>
        </w:numPr>
      </w:pPr>
      <w:r>
        <w:t xml:space="preserve">70% ETOH</w:t>
      </w:r>
    </w:p>
    <w:p>
      <w:pPr>
        <w:pStyle w:val="Compact"/>
        <w:numPr>
          <w:ilvl w:val="0"/>
          <w:numId w:val="1199"/>
        </w:numPr>
      </w:pPr>
      <w:r>
        <w:t xml:space="preserve">1-10, 20-200, and 100-1000 µL micropipettors</w:t>
      </w:r>
    </w:p>
    <w:p>
      <w:pPr>
        <w:pStyle w:val="Compact"/>
        <w:numPr>
          <w:ilvl w:val="0"/>
          <w:numId w:val="1200"/>
        </w:numPr>
      </w:pPr>
      <w:r>
        <w:t xml:space="preserve">1-10, 20-200, and 100-1000 µL micropipette tips (preferably filtered)</w:t>
      </w:r>
    </w:p>
    <w:p>
      <w:pPr>
        <w:pStyle w:val="Compact"/>
        <w:numPr>
          <w:ilvl w:val="0"/>
          <w:numId w:val="1201"/>
        </w:numPr>
      </w:pPr>
      <w:r>
        <w:t xml:space="preserve">Kimwipes and/or paper towels</w:t>
      </w:r>
    </w:p>
    <w:p>
      <w:pPr>
        <w:pStyle w:val="Compact"/>
        <w:numPr>
          <w:ilvl w:val="0"/>
          <w:numId w:val="1202"/>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3"/>
        </w:numPr>
      </w:pPr>
      <w:r>
        <w:t xml:space="preserve">ITS1f: 5’-CTTGGTCATTTAGAGGAAGTAA-3’</w:t>
      </w:r>
    </w:p>
    <w:p>
      <w:pPr>
        <w:pStyle w:val="Compact"/>
        <w:numPr>
          <w:ilvl w:val="1"/>
          <w:numId w:val="1203"/>
        </w:numPr>
      </w:pPr>
      <w:r>
        <w:t xml:space="preserve">ITS4: 5’-TCCTCCGCTTATTGATATGC-3’</w:t>
      </w:r>
    </w:p>
    <w:p>
      <w:pPr>
        <w:pStyle w:val="Compact"/>
        <w:numPr>
          <w:ilvl w:val="1"/>
          <w:numId w:val="1203"/>
        </w:numPr>
      </w:pPr>
      <w:r>
        <w:t xml:space="preserve">5.8SR: 5’-CGCTGCGTTCTTCATCG-3’</w:t>
      </w:r>
    </w:p>
    <w:p>
      <w:pPr>
        <w:pStyle w:val="Compact"/>
        <w:numPr>
          <w:ilvl w:val="1"/>
          <w:numId w:val="1203"/>
        </w:numPr>
      </w:pPr>
      <w:r>
        <w:t xml:space="preserve">fITS7: 5’-GTGARTCATCGAATCTTTG-3’</w:t>
      </w:r>
    </w:p>
    <w:p>
      <w:pPr>
        <w:pStyle w:val="Compact"/>
        <w:numPr>
          <w:ilvl w:val="0"/>
          <w:numId w:val="1204"/>
        </w:numPr>
      </w:pPr>
      <w:r>
        <w:t xml:space="preserve">Q5® Hot Start High-Fidelity 2X Master Mix - 100 reactions(New England BioLabs, M0494S)</w:t>
      </w:r>
    </w:p>
    <w:p>
      <w:pPr>
        <w:pStyle w:val="Compact"/>
        <w:numPr>
          <w:ilvl w:val="0"/>
          <w:numId w:val="1205"/>
        </w:numPr>
      </w:pPr>
      <w:r>
        <w:t xml:space="preserve">PCR water (New England BioLabs, B1500S)</w:t>
      </w:r>
    </w:p>
    <w:p>
      <w:pPr>
        <w:pStyle w:val="Compact"/>
        <w:numPr>
          <w:ilvl w:val="0"/>
          <w:numId w:val="1206"/>
        </w:numPr>
      </w:pPr>
      <w:r>
        <w:t xml:space="preserve">Exo-CIP Rapid PCR Cleanup Kit - 100 reactions (New England BioLabs, E1050S)</w:t>
      </w:r>
    </w:p>
    <w:p>
      <w:pPr>
        <w:pStyle w:val="Compact"/>
        <w:numPr>
          <w:ilvl w:val="0"/>
          <w:numId w:val="1207"/>
        </w:numPr>
      </w:pPr>
      <w:r>
        <w:t xml:space="preserve">E-Gel system with 1.2% agarose gels (ThermoFisher, G4010010) or similar gel electrophoresis system</w:t>
      </w:r>
    </w:p>
    <w:p>
      <w:pPr>
        <w:pStyle w:val="Compact"/>
        <w:numPr>
          <w:ilvl w:val="0"/>
          <w:numId w:val="1208"/>
        </w:numPr>
      </w:pPr>
      <w:r>
        <w:t xml:space="preserve">E-Gel™ Sizing DNA Ladder (ThermoFisher, 10488100)</w:t>
      </w:r>
    </w:p>
    <w:p>
      <w:pPr>
        <w:pStyle w:val="Compact"/>
        <w:numPr>
          <w:ilvl w:val="0"/>
          <w:numId w:val="1209"/>
        </w:numPr>
      </w:pPr>
      <w:r>
        <w:t xml:space="preserve">DNA quantification system (for example, Qubit Fluorometer with dsDNA HS Assay Kit, ThermoFisher, Q32851)</w:t>
      </w:r>
    </w:p>
    <w:p>
      <w:pPr>
        <w:pStyle w:val="Compact"/>
        <w:numPr>
          <w:ilvl w:val="0"/>
          <w:numId w:val="1210"/>
        </w:numPr>
      </w:pPr>
      <w:r>
        <w:t xml:space="preserve">Access to Sanger sequencing services (for example, Genewiz, Eurofins, Eton, or similar provider).</w:t>
      </w:r>
    </w:p>
    <w:p>
      <w:pPr>
        <w:pStyle w:val="Compact"/>
        <w:numPr>
          <w:ilvl w:val="0"/>
          <w:numId w:val="1211"/>
        </w:numPr>
      </w:pPr>
      <w:r>
        <w:t xml:space="preserve">Rapid Barcoding Kit v14 (Oxford Nanopore Technologies), SQK-RBK114.24 or similar kit for long-read sequencing (optional)</w:t>
      </w:r>
    </w:p>
    <w:p>
      <w:pPr>
        <w:pStyle w:val="Compact"/>
        <w:numPr>
          <w:ilvl w:val="0"/>
          <w:numId w:val="1212"/>
        </w:numPr>
      </w:pPr>
      <w:r>
        <w:t xml:space="preserve">MinION sequencing device</w:t>
      </w:r>
    </w:p>
    <w:p>
      <w:pPr>
        <w:pStyle w:val="Compact"/>
        <w:numPr>
          <w:ilvl w:val="0"/>
          <w:numId w:val="1213"/>
        </w:numPr>
      </w:pPr>
      <w:r>
        <w:t xml:space="preserve">MinION flow cells (R10.4.1 or similar, Oxford Nanopore Technologies, FLO-MIN114)</w:t>
      </w:r>
    </w:p>
    <w:p>
      <w:pPr>
        <w:pStyle w:val="Compact"/>
        <w:numPr>
          <w:ilvl w:val="0"/>
          <w:numId w:val="1214"/>
        </w:numPr>
      </w:pPr>
      <w:r>
        <w:t xml:space="preserve">Ultrapure BSA 50mg/ml (ThermoFisher, AM2616) for long-read sequencing</w:t>
      </w:r>
    </w:p>
    <w:p>
      <w:pPr>
        <w:pStyle w:val="Compact"/>
        <w:numPr>
          <w:ilvl w:val="0"/>
          <w:numId w:val="1215"/>
        </w:numPr>
      </w:pPr>
      <w:r>
        <w:t xml:space="preserve">1.5mL microcentrifuge tubes (Eppendorf DNA LoBind) for long-read sequencing</w:t>
      </w:r>
    </w:p>
    <w:p>
      <w:pPr>
        <w:pStyle w:val="Compact"/>
        <w:numPr>
          <w:ilvl w:val="0"/>
          <w:numId w:val="1216"/>
        </w:numPr>
      </w:pPr>
      <w:r>
        <w:t xml:space="preserve">Gloves</w:t>
      </w:r>
    </w:p>
    <w:p>
      <w:pPr>
        <w:pStyle w:val="Compact"/>
        <w:numPr>
          <w:ilvl w:val="0"/>
          <w:numId w:val="1217"/>
        </w:numPr>
      </w:pPr>
      <w:r>
        <w:t xml:space="preserve">Sharpie or markers</w:t>
      </w:r>
    </w:p>
    <w:p>
      <w:pPr>
        <w:pStyle w:val="Compact"/>
        <w:numPr>
          <w:ilvl w:val="0"/>
          <w:numId w:val="1218"/>
        </w:numPr>
      </w:pPr>
      <w:r>
        <w:t xml:space="preserve">Nuclease-free water and 100% ethanol to prepare 80% ethanol for long-read sequencing</w:t>
      </w:r>
    </w:p>
    <w:p>
      <w:pPr>
        <w:pStyle w:val="Compact"/>
        <w:numPr>
          <w:ilvl w:val="0"/>
          <w:numId w:val="1219"/>
        </w:numPr>
      </w:pPr>
      <w:r>
        <w:t xml:space="preserve">Thermal cycler</w:t>
      </w:r>
    </w:p>
    <w:p>
      <w:pPr>
        <w:pStyle w:val="Compact"/>
        <w:numPr>
          <w:ilvl w:val="0"/>
          <w:numId w:val="1220"/>
        </w:numPr>
      </w:pPr>
      <w:r>
        <w:t xml:space="preserve">Vortex</w:t>
      </w:r>
    </w:p>
    <w:p>
      <w:pPr>
        <w:pStyle w:val="Compact"/>
        <w:numPr>
          <w:ilvl w:val="0"/>
          <w:numId w:val="1221"/>
        </w:numPr>
      </w:pPr>
      <w:r>
        <w:t xml:space="preserve">Centrifuge for PCR and microfuge tubes</w:t>
      </w:r>
    </w:p>
    <w:p>
      <w:pPr>
        <w:pStyle w:val="Compact"/>
        <w:numPr>
          <w:ilvl w:val="0"/>
          <w:numId w:val="1222"/>
        </w:numPr>
      </w:pPr>
      <w:r>
        <w:t xml:space="preserve">Heat block/thermomixer for 1.5-2.0 ml microfuge tubes</w:t>
      </w:r>
    </w:p>
    <w:p>
      <w:pPr>
        <w:pStyle w:val="Compact"/>
        <w:numPr>
          <w:ilvl w:val="0"/>
          <w:numId w:val="1223"/>
        </w:numPr>
      </w:pPr>
      <w:r>
        <w:t xml:space="preserve">Magnetic rack for 1.5ml microcentrifuge tubes (for example, ThermoFisher DynaMag-2, 12321D) for long-read sequencing</w:t>
      </w:r>
    </w:p>
    <w:p>
      <w:pPr>
        <w:pStyle w:val="FirstParagraph"/>
      </w:pPr>
      <w:r>
        <w:rPr>
          <w:b/>
          <w:bCs/>
        </w:rPr>
        <w:t xml:space="preserve">Diluting and prepping PCR primers</w:t>
      </w:r>
      <w:r>
        <w:t xml:space="preserve"> </w:t>
      </w:r>
      <w:r>
        <w:t xml:space="preserve">1. Verify the primers are correct and received at 100 µM. Label the tubes as</w:t>
      </w:r>
      <w:r>
        <w:t xml:space="preserve"> </w:t>
      </w:r>
      <w:r>
        <w:t xml:space="preserve">“Primer Stocks.”</w:t>
      </w:r>
      <w:r>
        <w:t xml:space="preserve"> </w:t>
      </w:r>
      <w:r>
        <w:t xml:space="preserve">2. Label the tube according to the primer being added.</w:t>
      </w:r>
      <w:r>
        <w:t xml:space="preserve"> </w:t>
      </w:r>
      <w:r>
        <w:t xml:space="preserve">3. Make 10 µM working stocks by diluting 20 µl of primer stock into 180 µl nuclease water.</w:t>
      </w:r>
    </w:p>
    <w:p>
      <w:pPr>
        <w:pStyle w:val="BodyText"/>
      </w:pPr>
      <w:r>
        <w:rPr>
          <w:b/>
          <w:bCs/>
        </w:rPr>
        <w:t xml:space="preserve">Prepare Metapolyzyme and DNA Extraction Reagents</w:t>
      </w:r>
    </w:p>
    <w:p>
      <w:pPr>
        <w:pStyle w:val="Compact"/>
        <w:numPr>
          <w:ilvl w:val="0"/>
          <w:numId w:val="1224"/>
        </w:numPr>
      </w:pPr>
      <w:r>
        <w:t xml:space="preserve">Dissolve Metapolyzyme vial in 100 µl of DNA-free PBS. Note that 10 µl of metapolyzyme is used per sample. You may need more than one vial.</w:t>
      </w:r>
    </w:p>
    <w:p>
      <w:pPr>
        <w:pStyle w:val="Compact"/>
        <w:numPr>
          <w:ilvl w:val="0"/>
          <w:numId w:val="1225"/>
        </w:numPr>
      </w:pPr>
      <w:r>
        <w:t xml:space="preserve">Distribute spin columns, Lo-bind tubes, collection tubes, TE buffer, PBS, and elution buffer to each group (enough for the number of samples per group)</w:t>
      </w:r>
    </w:p>
    <w:p>
      <w:pPr>
        <w:pStyle w:val="Compact"/>
        <w:numPr>
          <w:ilvl w:val="0"/>
          <w:numId w:val="1226"/>
        </w:numPr>
      </w:pPr>
      <w:r>
        <w:t xml:space="preserve">Prepare gel electrophoresis systems, loading dye, and DNA ladder as needed.</w:t>
      </w:r>
    </w:p>
    <w:p>
      <w:pPr>
        <w:pStyle w:val="Compact"/>
        <w:numPr>
          <w:ilvl w:val="0"/>
          <w:numId w:val="1227"/>
        </w:numPr>
      </w:pPr>
      <w:r>
        <w:t xml:space="preserve">Prepare PCR cleanup or NEB Exo-CIP™ Rapid PCR Cleanup Kit.</w:t>
      </w:r>
    </w:p>
    <w:p>
      <w:pPr>
        <w:pStyle w:val="Compact"/>
        <w:numPr>
          <w:ilvl w:val="0"/>
          <w:numId w:val="1228"/>
        </w:numPr>
      </w:pPr>
      <w:r>
        <w:t xml:space="preserve">Prepare materials for Sanger sequencing.</w:t>
      </w:r>
    </w:p>
    <w:p>
      <w:pPr>
        <w:pStyle w:val="Compact"/>
        <w:numPr>
          <w:ilvl w:val="0"/>
          <w:numId w:val="1229"/>
        </w:numPr>
      </w:pPr>
      <w:r>
        <w:t xml:space="preserve">Prepare Oxford Nanopore Technologies (ONT) device, flow cell(s), and kit.</w:t>
      </w:r>
    </w:p>
    <w:bookmarkEnd w:id="178"/>
    <w:bookmarkEnd w:id="179"/>
    <w:bookmarkEnd w:id="180"/>
    <w:bookmarkStart w:id="202" w:name="X84ab9f30f319591ed283388a48344a8ca0af377"/>
    <w:p>
      <w:pPr>
        <w:pStyle w:val="Heading2"/>
      </w:pPr>
      <w:r>
        <w:t xml:space="preserve">Module 4.2 – DNA Sequencing and Species Identification</w:t>
      </w:r>
    </w:p>
    <w:bookmarkStart w:id="181"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0"/>
        </w:numPr>
      </w:pPr>
      <w:r>
        <w:t xml:space="preserve">Practice extracting fungal DNA</w:t>
      </w:r>
    </w:p>
    <w:p>
      <w:pPr>
        <w:pStyle w:val="Compact"/>
        <w:numPr>
          <w:ilvl w:val="0"/>
          <w:numId w:val="1230"/>
        </w:numPr>
      </w:pPr>
      <w:r>
        <w:t xml:space="preserve">Successfully PCR amplify fungal ITS</w:t>
      </w:r>
    </w:p>
    <w:p>
      <w:pPr>
        <w:pStyle w:val="Compact"/>
        <w:numPr>
          <w:ilvl w:val="0"/>
          <w:numId w:val="1230"/>
        </w:numPr>
      </w:pPr>
      <w:r>
        <w:t xml:space="preserve">Learn to BLAST ITS sequence to identify fungal isolates</w:t>
      </w:r>
    </w:p>
    <w:bookmarkEnd w:id="182"/>
    <w:bookmarkStart w:id="186" w:name="part-i-dna-extraction"/>
    <w:p>
      <w:pPr>
        <w:pStyle w:val="Heading3"/>
      </w:pPr>
      <w:r>
        <w:t xml:space="preserve">Part I: DNA Extraction</w:t>
      </w:r>
    </w:p>
    <w:bookmarkStart w:id="18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to identify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83"/>
    <w:bookmarkStart w:id="184" w:name="materials-and-equipment-8"/>
    <w:p>
      <w:pPr>
        <w:pStyle w:val="Heading4"/>
      </w:pPr>
      <w:r>
        <w:t xml:space="preserve">Materials and Equipment</w:t>
      </w:r>
    </w:p>
    <w:p>
      <w:pPr>
        <w:pStyle w:val="Compact"/>
        <w:numPr>
          <w:ilvl w:val="0"/>
          <w:numId w:val="1231"/>
        </w:numPr>
      </w:pPr>
      <w:r>
        <w:t xml:space="preserve">Fungal isolates</w:t>
      </w:r>
    </w:p>
    <w:p>
      <w:pPr>
        <w:pStyle w:val="Compact"/>
        <w:numPr>
          <w:ilvl w:val="0"/>
          <w:numId w:val="1232"/>
        </w:numPr>
      </w:pPr>
      <w:r>
        <w:t xml:space="preserve">0.2 mL PCR tubes</w:t>
      </w:r>
    </w:p>
    <w:p>
      <w:pPr>
        <w:pStyle w:val="Compact"/>
        <w:numPr>
          <w:ilvl w:val="0"/>
          <w:numId w:val="1233"/>
        </w:numPr>
      </w:pPr>
      <w:r>
        <w:t xml:space="preserve">P20 micropipette with tips</w:t>
      </w:r>
    </w:p>
    <w:p>
      <w:pPr>
        <w:pStyle w:val="Compact"/>
        <w:numPr>
          <w:ilvl w:val="0"/>
          <w:numId w:val="1234"/>
        </w:numPr>
      </w:pPr>
      <w:r>
        <w:t xml:space="preserve">DNA extraction kit (New England BioLabs, Monarch® Spin gDNA Extraction Kit, T3010S)</w:t>
      </w:r>
    </w:p>
    <w:p>
      <w:pPr>
        <w:pStyle w:val="Compact"/>
        <w:numPr>
          <w:ilvl w:val="0"/>
          <w:numId w:val="1235"/>
        </w:numPr>
      </w:pPr>
      <w:r>
        <w:t xml:space="preserve">DNA quantification system (for example, Qubit Fluorometer with dsDNA HS Assay Kit, ThermoFisher, Q32851)</w:t>
      </w:r>
    </w:p>
    <w:p>
      <w:pPr>
        <w:pStyle w:val="Compact"/>
        <w:numPr>
          <w:ilvl w:val="0"/>
          <w:numId w:val="1236"/>
        </w:numPr>
      </w:pPr>
      <w:r>
        <w:t xml:space="preserve">Ethanol jar</w:t>
      </w:r>
    </w:p>
    <w:p>
      <w:pPr>
        <w:pStyle w:val="Compact"/>
        <w:numPr>
          <w:ilvl w:val="0"/>
          <w:numId w:val="1237"/>
        </w:numPr>
      </w:pPr>
      <w:r>
        <w:t xml:space="preserve">Loop, pick, and forceps</w:t>
      </w:r>
    </w:p>
    <w:bookmarkEnd w:id="184"/>
    <w:bookmarkStart w:id="185" w:name="procedure"/>
    <w:p>
      <w:pPr>
        <w:pStyle w:val="Heading4"/>
      </w:pPr>
      <w:r>
        <w:t xml:space="preserve">Procedure</w:t>
      </w:r>
    </w:p>
    <w:p>
      <w:pPr>
        <w:pStyle w:val="Compact"/>
        <w:numPr>
          <w:ilvl w:val="0"/>
          <w:numId w:val="123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238"/>
        </w:numPr>
      </w:pPr>
      <w:r>
        <w:t xml:space="preserve">Place the tissue sample into the ES. Submerge and, if possible, smash the sample against the tube wall.</w:t>
      </w:r>
      <w:r>
        <w:t xml:space="preserve"> </w:t>
      </w:r>
      <w:r>
        <w:t xml:space="preserve">NOTE: be careful not to add any agar to the ES as this will impact the pH of the solution and the extraction of gDNA.</w:t>
      </w:r>
    </w:p>
    <w:p>
      <w:pPr>
        <w:pStyle w:val="Compact"/>
        <w:numPr>
          <w:ilvl w:val="0"/>
          <w:numId w:val="1238"/>
        </w:numPr>
      </w:pPr>
      <w:r>
        <w:t xml:space="preserve">Close the snap-caps and incubate at 65 °C for 10 minutes, followed by 95 °C for 10 minutes.</w:t>
      </w:r>
    </w:p>
    <w:p>
      <w:pPr>
        <w:pStyle w:val="Compact"/>
        <w:numPr>
          <w:ilvl w:val="0"/>
          <w:numId w:val="123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85"/>
    <w:bookmarkEnd w:id="186"/>
    <w:bookmarkStart w:id="191" w:name="part-ii-polymerase-chain-reaction-pcr"/>
    <w:p>
      <w:pPr>
        <w:pStyle w:val="Heading3"/>
      </w:pPr>
      <w:r>
        <w:t xml:space="preserve">Part II: Polymerase Chain Reaction (PCR)</w:t>
      </w:r>
    </w:p>
    <w:bookmarkStart w:id="18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demonstrates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87"/>
    <w:bookmarkStart w:id="188" w:name="materials-1"/>
    <w:p>
      <w:pPr>
        <w:pStyle w:val="Heading4"/>
      </w:pPr>
      <w:r>
        <w:t xml:space="preserve">Materials</w:t>
      </w:r>
    </w:p>
    <w:p>
      <w:pPr>
        <w:pStyle w:val="Compact"/>
        <w:numPr>
          <w:ilvl w:val="0"/>
          <w:numId w:val="1239"/>
        </w:numPr>
      </w:pPr>
      <w:r>
        <w:t xml:space="preserve">DNA extraction kit</w:t>
      </w:r>
    </w:p>
    <w:p>
      <w:pPr>
        <w:pStyle w:val="Compact"/>
        <w:numPr>
          <w:ilvl w:val="0"/>
          <w:numId w:val="1240"/>
        </w:numPr>
      </w:pPr>
      <w:r>
        <w:t xml:space="preserve">Control DNA sample</w:t>
      </w:r>
    </w:p>
    <w:p>
      <w:pPr>
        <w:pStyle w:val="Compact"/>
        <w:numPr>
          <w:ilvl w:val="0"/>
          <w:numId w:val="1241"/>
        </w:numPr>
      </w:pPr>
      <w:r>
        <w:t xml:space="preserve">0.2 mL PCR tubes</w:t>
      </w:r>
    </w:p>
    <w:p>
      <w:pPr>
        <w:pStyle w:val="Compact"/>
        <w:numPr>
          <w:ilvl w:val="0"/>
          <w:numId w:val="1242"/>
        </w:numPr>
      </w:pPr>
      <w:r>
        <w:t xml:space="preserve">P10 micropipette with tips</w:t>
      </w:r>
    </w:p>
    <w:p>
      <w:pPr>
        <w:pStyle w:val="Compact"/>
        <w:numPr>
          <w:ilvl w:val="0"/>
          <w:numId w:val="1243"/>
        </w:numPr>
      </w:pPr>
      <w:r>
        <w:t xml:space="preserve">P20 micropipette with tips</w:t>
      </w:r>
    </w:p>
    <w:p>
      <w:pPr>
        <w:pStyle w:val="Compact"/>
        <w:numPr>
          <w:ilvl w:val="0"/>
          <w:numId w:val="1244"/>
        </w:numPr>
      </w:pPr>
      <w:r>
        <w:t xml:space="preserve">P200 micropipette with tips</w:t>
      </w:r>
    </w:p>
    <w:p>
      <w:pPr>
        <w:pStyle w:val="Compact"/>
        <w:numPr>
          <w:ilvl w:val="0"/>
          <w:numId w:val="1245"/>
        </w:numPr>
      </w:pPr>
      <w:r>
        <w:t xml:space="preserve">P1000 micropipette with tips</w:t>
      </w:r>
    </w:p>
    <w:p>
      <w:pPr>
        <w:pStyle w:val="Compact"/>
        <w:numPr>
          <w:ilvl w:val="0"/>
          <w:numId w:val="1246"/>
        </w:numPr>
      </w:pPr>
      <w:r>
        <w:t xml:space="preserve">Master mix containing buffer (MgCl2, dNTPs, primers, polymerase enzyme)</w:t>
      </w:r>
    </w:p>
    <w:p>
      <w:pPr>
        <w:pStyle w:val="Compact"/>
        <w:numPr>
          <w:ilvl w:val="0"/>
          <w:numId w:val="1247"/>
        </w:numPr>
      </w:pPr>
      <w:r>
        <w:t xml:space="preserve">PCR tube centrifuge</w:t>
      </w:r>
    </w:p>
    <w:p>
      <w:pPr>
        <w:pStyle w:val="Compact"/>
        <w:numPr>
          <w:ilvl w:val="0"/>
          <w:numId w:val="1248"/>
        </w:numPr>
      </w:pPr>
      <w:r>
        <w:t xml:space="preserve">Thermal cycler</w:t>
      </w:r>
    </w:p>
    <w:bookmarkEnd w:id="188"/>
    <w:bookmarkStart w:id="189" w:name="procedures"/>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249"/>
        </w:numPr>
      </w:pPr>
      <w:r>
        <w:t xml:space="preserve">Dilute DNA 1:10 (2 µl of DNA + 18 µL of DS)</w:t>
      </w:r>
    </w:p>
    <w:p>
      <w:pPr>
        <w:pStyle w:val="Compact"/>
        <w:numPr>
          <w:ilvl w:val="0"/>
          <w:numId w:val="1249"/>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249"/>
        </w:numPr>
      </w:pPr>
      <w:r>
        <w:t xml:space="preserve">Spin down your tubes before placing them in the thermal cycler. Run the reaction and observe the temperature cycles. After the reactions are finished, we will store your PCR products at -20 °C.</w:t>
      </w:r>
    </w:p>
    <w:bookmarkEnd w:id="189"/>
    <w:bookmarkStart w:id="190" w:name="X7a9437114b66a535474c7c1f8d36e2e2fb635f1"/>
    <w:p>
      <w:pPr>
        <w:pStyle w:val="Heading4"/>
      </w:pPr>
      <w:r>
        <w:t xml:space="preserve">PCR Troubleshooting after Gel Electrophoresis</w:t>
      </w:r>
    </w:p>
    <w:p>
      <w:pPr>
        <w:pStyle w:val="Compact"/>
        <w:numPr>
          <w:ilvl w:val="0"/>
          <w:numId w:val="1250"/>
        </w:numPr>
      </w:pPr>
      <w:r>
        <w:t xml:space="preserve">No amplification on any samples: check primers, polymerase, and other reagents.</w:t>
      </w:r>
    </w:p>
    <w:p>
      <w:pPr>
        <w:pStyle w:val="Compact"/>
        <w:numPr>
          <w:ilvl w:val="0"/>
          <w:numId w:val="125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50"/>
        </w:numPr>
      </w:pPr>
      <w:r>
        <w:t xml:space="preserve">Weak or multiple bands, smear: Mispriming from the incorrect program. Check primer concentration: an imbalance of primers can lead to multiple bands.</w:t>
      </w:r>
    </w:p>
    <w:bookmarkEnd w:id="190"/>
    <w:bookmarkEnd w:id="191"/>
    <w:bookmarkStart w:id="196"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2"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92"/>
    <w:bookmarkStart w:id="193" w:name="materials-needed-1"/>
    <w:p>
      <w:pPr>
        <w:pStyle w:val="Heading4"/>
      </w:pPr>
      <w:r>
        <w:t xml:space="preserve">Materials Needed</w:t>
      </w:r>
    </w:p>
    <w:p>
      <w:pPr>
        <w:pStyle w:val="Compact"/>
        <w:numPr>
          <w:ilvl w:val="0"/>
          <w:numId w:val="1251"/>
        </w:numPr>
      </w:pPr>
      <w:r>
        <w:t xml:space="preserve">Agarose</w:t>
      </w:r>
    </w:p>
    <w:p>
      <w:pPr>
        <w:pStyle w:val="Compact"/>
        <w:numPr>
          <w:ilvl w:val="0"/>
          <w:numId w:val="1251"/>
        </w:numPr>
      </w:pPr>
      <w:r>
        <w:t xml:space="preserve">1X TAE (or TE, TBE, or SB) buffer to make gels and running buffer</w:t>
      </w:r>
      <w:r>
        <w:t xml:space="preserve"> </w:t>
      </w:r>
      <w:r>
        <w:t xml:space="preserve">Note: Use the same buffer for making and running the gel</w:t>
      </w:r>
    </w:p>
    <w:p>
      <w:pPr>
        <w:pStyle w:val="Compact"/>
        <w:numPr>
          <w:ilvl w:val="0"/>
          <w:numId w:val="1251"/>
        </w:numPr>
      </w:pPr>
      <w:r>
        <w:t xml:space="preserve">SYBR Safe to visualize DNA</w:t>
      </w:r>
    </w:p>
    <w:p>
      <w:pPr>
        <w:pStyle w:val="Compact"/>
        <w:numPr>
          <w:ilvl w:val="0"/>
          <w:numId w:val="1251"/>
        </w:numPr>
      </w:pPr>
      <w:r>
        <w:t xml:space="preserve">250 mL Erlenmeyer Flask</w:t>
      </w:r>
    </w:p>
    <w:p>
      <w:pPr>
        <w:pStyle w:val="Compact"/>
        <w:numPr>
          <w:ilvl w:val="0"/>
          <w:numId w:val="1251"/>
        </w:numPr>
      </w:pPr>
      <w:r>
        <w:t xml:space="preserve">P20 micropipette with tips</w:t>
      </w:r>
    </w:p>
    <w:p>
      <w:pPr>
        <w:pStyle w:val="Compact"/>
        <w:numPr>
          <w:ilvl w:val="0"/>
          <w:numId w:val="1251"/>
        </w:numPr>
      </w:pPr>
      <w:r>
        <w:t xml:space="preserve">PCR products</w:t>
      </w:r>
    </w:p>
    <w:p>
      <w:pPr>
        <w:pStyle w:val="Compact"/>
        <w:numPr>
          <w:ilvl w:val="0"/>
          <w:numId w:val="1251"/>
        </w:numPr>
      </w:pPr>
      <w:r>
        <w:t xml:space="preserve">100 bp Ladder</w:t>
      </w:r>
    </w:p>
    <w:p>
      <w:pPr>
        <w:pStyle w:val="Compact"/>
        <w:numPr>
          <w:ilvl w:val="0"/>
          <w:numId w:val="1251"/>
        </w:numPr>
      </w:pPr>
      <w:r>
        <w:t xml:space="preserve">Digital Balance</w:t>
      </w:r>
    </w:p>
    <w:p>
      <w:pPr>
        <w:pStyle w:val="Compact"/>
        <w:numPr>
          <w:ilvl w:val="0"/>
          <w:numId w:val="1251"/>
        </w:numPr>
      </w:pPr>
      <w:r>
        <w:t xml:space="preserve">Weigh Boats</w:t>
      </w:r>
    </w:p>
    <w:p>
      <w:pPr>
        <w:pStyle w:val="Compact"/>
        <w:numPr>
          <w:ilvl w:val="0"/>
          <w:numId w:val="1251"/>
        </w:numPr>
      </w:pPr>
      <w:r>
        <w:t xml:space="preserve">Gel rigs</w:t>
      </w:r>
    </w:p>
    <w:p>
      <w:pPr>
        <w:pStyle w:val="Compact"/>
        <w:numPr>
          <w:ilvl w:val="0"/>
          <w:numId w:val="1251"/>
        </w:numPr>
      </w:pPr>
      <w:r>
        <w:t xml:space="preserve">Gel comb</w:t>
      </w:r>
    </w:p>
    <w:p>
      <w:pPr>
        <w:pStyle w:val="Compact"/>
        <w:numPr>
          <w:ilvl w:val="0"/>
          <w:numId w:val="1251"/>
        </w:numPr>
      </w:pPr>
      <w:r>
        <w:t xml:space="preserve">Power source</w:t>
      </w:r>
    </w:p>
    <w:bookmarkEnd w:id="193"/>
    <w:bookmarkStart w:id="194" w:name="X27e3611931edb00682f71c58d3e85dfeecf25c4"/>
    <w:p>
      <w:pPr>
        <w:pStyle w:val="Heading4"/>
      </w:pPr>
      <w:r>
        <w:t xml:space="preserve">Gel Preparation Protocol (Prep gel at least 20 minutes prior to use)</w:t>
      </w:r>
    </w:p>
    <w:p>
      <w:pPr>
        <w:pStyle w:val="Compact"/>
        <w:numPr>
          <w:ilvl w:val="0"/>
          <w:numId w:val="1252"/>
        </w:numPr>
      </w:pPr>
      <w:r>
        <w:t xml:space="preserve">Measure 100 mL of 1x TE buffer in an Erlenmeyer flask.</w:t>
      </w:r>
    </w:p>
    <w:p>
      <w:pPr>
        <w:pStyle w:val="Compact"/>
        <w:numPr>
          <w:ilvl w:val="0"/>
          <w:numId w:val="1252"/>
        </w:numPr>
      </w:pPr>
      <w:r>
        <w:t xml:space="preserve">Add 1 gram of agarose to the buffer.</w:t>
      </w:r>
    </w:p>
    <w:p>
      <w:pPr>
        <w:pStyle w:val="Compact"/>
        <w:numPr>
          <w:ilvl w:val="0"/>
          <w:numId w:val="1252"/>
        </w:numPr>
      </w:pPr>
      <w:r>
        <w:t xml:space="preserve">Microwave for 30-second intervals.</w:t>
      </w:r>
    </w:p>
    <w:p>
      <w:pPr>
        <w:pStyle w:val="Compact"/>
        <w:numPr>
          <w:ilvl w:val="0"/>
          <w:numId w:val="1252"/>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252"/>
        </w:numPr>
      </w:pPr>
      <w:r>
        <w:t xml:space="preserve">Once all the agarose is melted, let sit on the counter until it cools enough to handle. Don’t let it cool too long as it will solidify.</w:t>
      </w:r>
    </w:p>
    <w:p>
      <w:pPr>
        <w:pStyle w:val="Compact"/>
        <w:numPr>
          <w:ilvl w:val="0"/>
          <w:numId w:val="1252"/>
        </w:numPr>
      </w:pPr>
      <w:r>
        <w:t xml:space="preserve">Set up the agarose mold and add a comb.</w:t>
      </w:r>
    </w:p>
    <w:p>
      <w:pPr>
        <w:pStyle w:val="Compact"/>
        <w:numPr>
          <w:ilvl w:val="0"/>
          <w:numId w:val="1252"/>
        </w:numPr>
      </w:pPr>
      <w:r>
        <w:t xml:space="preserve">Once the agarose has cooled to the touch. Pour into the mold. Make sure the agarose is approximately 1/3 to 1/2 way up the combs.</w:t>
      </w:r>
    </w:p>
    <w:p>
      <w:pPr>
        <w:pStyle w:val="Compact"/>
        <w:numPr>
          <w:ilvl w:val="0"/>
          <w:numId w:val="1252"/>
        </w:numPr>
      </w:pPr>
      <w:r>
        <w:t xml:space="preserve">If bubbles are present, use a micropipette tip to draw them to the sides of the gel.</w:t>
      </w:r>
    </w:p>
    <w:p>
      <w:pPr>
        <w:pStyle w:val="Compact"/>
        <w:numPr>
          <w:ilvl w:val="0"/>
          <w:numId w:val="1252"/>
        </w:numPr>
      </w:pPr>
      <w:r>
        <w:t xml:space="preserve">Allow approximately 20 minutes for the gel to solidify and become somewhat translucent.</w:t>
      </w:r>
    </w:p>
    <w:p>
      <w:pPr>
        <w:pStyle w:val="Compact"/>
        <w:numPr>
          <w:ilvl w:val="0"/>
          <w:numId w:val="1252"/>
        </w:numPr>
      </w:pPr>
      <w:r>
        <w:t xml:space="preserve">Gently remove the comb.</w:t>
      </w:r>
    </w:p>
    <w:p>
      <w:pPr>
        <w:pStyle w:val="Compact"/>
        <w:numPr>
          <w:ilvl w:val="0"/>
          <w:numId w:val="1252"/>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252"/>
        </w:numPr>
      </w:pPr>
      <w:r>
        <w:t xml:space="preserve">Gels can be wrapped in saran wrap and stored for approximately 1 week.</w:t>
      </w:r>
    </w:p>
    <w:bookmarkEnd w:id="194"/>
    <w:bookmarkStart w:id="195" w:name="gel-loading"/>
    <w:p>
      <w:pPr>
        <w:pStyle w:val="Heading4"/>
      </w:pPr>
      <w:r>
        <w:t xml:space="preserve">Gel Loading</w:t>
      </w:r>
    </w:p>
    <w:p>
      <w:pPr>
        <w:pStyle w:val="Compact"/>
        <w:numPr>
          <w:ilvl w:val="0"/>
          <w:numId w:val="1253"/>
        </w:numPr>
      </w:pPr>
      <w:r>
        <w:t xml:space="preserve">Fill the gel rig with 1X TAE (or equivalent) buffer until it covers the surface of the gel.</w:t>
      </w:r>
    </w:p>
    <w:p>
      <w:pPr>
        <w:pStyle w:val="Compact"/>
        <w:numPr>
          <w:ilvl w:val="0"/>
          <w:numId w:val="1253"/>
        </w:numPr>
      </w:pPr>
      <w:r>
        <w:t xml:space="preserve">Make a map of your samples in your gel.</w:t>
      </w:r>
    </w:p>
    <w:p>
      <w:pPr>
        <w:pStyle w:val="Compact"/>
        <w:numPr>
          <w:ilvl w:val="0"/>
          <w:numId w:val="1253"/>
        </w:numPr>
      </w:pPr>
      <w:r>
        <w:t xml:space="preserve">Load Gel</w:t>
      </w:r>
    </w:p>
    <w:p>
      <w:pPr>
        <w:pStyle w:val="Compact"/>
        <w:numPr>
          <w:ilvl w:val="1"/>
          <w:numId w:val="1254"/>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254"/>
        </w:numPr>
      </w:pPr>
      <w:r>
        <w:t xml:space="preserve">PCR product with loading dye: Draw up 5 μL of PCR product using micropipette.</w:t>
      </w:r>
    </w:p>
    <w:p>
      <w:pPr>
        <w:pStyle w:val="Compact"/>
        <w:numPr>
          <w:ilvl w:val="0"/>
          <w:numId w:val="1253"/>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3"/>
        </w:numPr>
      </w:pPr>
      <w:r>
        <w:t xml:space="preserve">Be sure to reserve one well per row for a standardized DNA ladder.</w:t>
      </w:r>
    </w:p>
    <w:p>
      <w:pPr>
        <w:pStyle w:val="Compact"/>
        <w:numPr>
          <w:ilvl w:val="0"/>
          <w:numId w:val="1253"/>
        </w:numPr>
      </w:pPr>
      <w:r>
        <w:t xml:space="preserve">Run at 300 volts for about 15 minutes</w:t>
      </w:r>
    </w:p>
    <w:p>
      <w:pPr>
        <w:pStyle w:val="Compact"/>
        <w:numPr>
          <w:ilvl w:val="1"/>
          <w:numId w:val="1255"/>
        </w:numPr>
      </w:pPr>
      <w:r>
        <w:t xml:space="preserve">Keep an eye on the migration of your PCR product across the gel to ensure it doesn’t run off the other end of the gel.</w:t>
      </w:r>
    </w:p>
    <w:p>
      <w:pPr>
        <w:pStyle w:val="Compact"/>
        <w:numPr>
          <w:ilvl w:val="0"/>
          <w:numId w:val="1253"/>
        </w:numPr>
      </w:pPr>
      <w:r>
        <w:t xml:space="preserve">Visualize with UV light.</w:t>
      </w:r>
    </w:p>
    <w:bookmarkEnd w:id="195"/>
    <w:bookmarkEnd w:id="196"/>
    <w:bookmarkStart w:id="197"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7"/>
    <w:bookmarkStart w:id="198"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8"/>
    <w:bookmarkStart w:id="200" w:name="X119230681215c553508703bd9b858aabc863314"/>
    <w:p>
      <w:pPr>
        <w:pStyle w:val="Heading3"/>
      </w:pPr>
      <w:r>
        <w:t xml:space="preserve">Part VI: Identifying Species using DNA Barcode</w:t>
      </w:r>
    </w:p>
    <w:bookmarkStart w:id="199"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56"/>
        </w:numPr>
      </w:pPr>
      <w:r>
        <w:t xml:space="preserve">Go to NCBI: https://www.ncbi.nlm.nih.gov/.</w:t>
      </w:r>
    </w:p>
    <w:p>
      <w:pPr>
        <w:pStyle w:val="Compact"/>
        <w:numPr>
          <w:ilvl w:val="0"/>
          <w:numId w:val="125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57"/>
        </w:numPr>
      </w:pPr>
      <w:r>
        <w:t xml:space="preserve">BLAST = Basic Local Alignment Search Tool</w:t>
      </w:r>
    </w:p>
    <w:p>
      <w:pPr>
        <w:pStyle w:val="Compact"/>
        <w:numPr>
          <w:ilvl w:val="0"/>
          <w:numId w:val="1256"/>
        </w:numPr>
      </w:pPr>
      <w:r>
        <w:t xml:space="preserve">Click on the Nucleotide BLAST image.</w:t>
      </w:r>
    </w:p>
    <w:p>
      <w:pPr>
        <w:pStyle w:val="Compact"/>
        <w:numPr>
          <w:ilvl w:val="1"/>
          <w:numId w:val="125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56"/>
        </w:numPr>
      </w:pPr>
      <w:r>
        <w:t xml:space="preserve">Paste your sequence data into the big space under</w:t>
      </w:r>
      <w:r>
        <w:t xml:space="preserve"> </w:t>
      </w:r>
      <w:r>
        <w:t xml:space="preserve">“Enter Query Sequence”</w:t>
      </w:r>
      <w:r>
        <w:t xml:space="preserve">.</w:t>
      </w:r>
    </w:p>
    <w:p>
      <w:pPr>
        <w:pStyle w:val="Compact"/>
        <w:numPr>
          <w:ilvl w:val="1"/>
          <w:numId w:val="125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56"/>
        </w:numPr>
      </w:pPr>
      <w:r>
        <w:t xml:space="preserve">Under Choose Search Set you can keep it under</w:t>
      </w:r>
      <w:r>
        <w:t xml:space="preserve"> </w:t>
      </w:r>
      <w:r>
        <w:t xml:space="preserve">“Standard databases (nr etc.)”</w:t>
      </w:r>
      <w:r>
        <w:t xml:space="preserve">.</w:t>
      </w:r>
    </w:p>
    <w:p>
      <w:pPr>
        <w:pStyle w:val="Compact"/>
        <w:numPr>
          <w:ilvl w:val="1"/>
          <w:numId w:val="126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56"/>
        </w:numPr>
      </w:pPr>
      <w:r>
        <w:t xml:space="preserve">Select the</w:t>
      </w:r>
      <w:r>
        <w:t xml:space="preserve"> </w:t>
      </w:r>
      <w:r>
        <w:t xml:space="preserve">“BLAST”</w:t>
      </w:r>
      <w:r>
        <w:t xml:space="preserve"> </w:t>
      </w:r>
      <w:r>
        <w:t xml:space="preserve">button at the end.</w:t>
      </w:r>
    </w:p>
    <w:p>
      <w:pPr>
        <w:pStyle w:val="Compact"/>
        <w:numPr>
          <w:ilvl w:val="1"/>
          <w:numId w:val="126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61"/>
        </w:numPr>
      </w:pPr>
      <w:r>
        <w:t xml:space="preserve">Percent Identity = What percent of your sequence (query sequence) is identical to the matched sequence.</w:t>
      </w:r>
    </w:p>
    <w:p>
      <w:pPr>
        <w:pStyle w:val="Compact"/>
        <w:numPr>
          <w:ilvl w:val="1"/>
          <w:numId w:val="1261"/>
        </w:numPr>
      </w:pPr>
      <w:r>
        <w:t xml:space="preserve">Query Cover = How much of the query sequence covers the matched sequence.</w:t>
      </w:r>
    </w:p>
    <w:p>
      <w:pPr>
        <w:pStyle w:val="Compact"/>
        <w:numPr>
          <w:ilvl w:val="1"/>
          <w:numId w:val="1261"/>
        </w:numPr>
      </w:pPr>
      <w:r>
        <w:t xml:space="preserve">E value = The probability that this match occurred by chance in the provided database.</w:t>
      </w:r>
    </w:p>
    <w:p>
      <w:pPr>
        <w:pStyle w:val="Compact"/>
        <w:numPr>
          <w:ilvl w:val="0"/>
          <w:numId w:val="1256"/>
        </w:numPr>
      </w:pPr>
      <w:r>
        <w:t xml:space="preserve">Review the results.</w:t>
      </w:r>
    </w:p>
    <w:p>
      <w:pPr>
        <w:pStyle w:val="Compact"/>
        <w:numPr>
          <w:ilvl w:val="1"/>
          <w:numId w:val="1262"/>
        </w:numPr>
      </w:pPr>
      <w:r>
        <w:t xml:space="preserve">What is the</w:t>
      </w:r>
      <w:r>
        <w:t xml:space="preserve"> </w:t>
      </w:r>
      <w:r>
        <w:t xml:space="preserve">“top hit”</w:t>
      </w:r>
      <w:r>
        <w:t xml:space="preserve">?</w:t>
      </w:r>
    </w:p>
    <w:p>
      <w:pPr>
        <w:pStyle w:val="Compact"/>
        <w:numPr>
          <w:ilvl w:val="1"/>
          <w:numId w:val="1262"/>
        </w:numPr>
      </w:pPr>
      <w:r>
        <w:t xml:space="preserve">How much support is provided for this hit given the current database used?</w:t>
      </w:r>
    </w:p>
    <w:p>
      <w:pPr>
        <w:pStyle w:val="Compact"/>
        <w:numPr>
          <w:ilvl w:val="1"/>
          <w:numId w:val="1262"/>
        </w:numPr>
      </w:pPr>
      <w:r>
        <w:t xml:space="preserve">What is the taxonomic ID of this result? What kind of fungi are these?</w:t>
      </w:r>
    </w:p>
    <w:p>
      <w:pPr>
        <w:pStyle w:val="Compact"/>
        <w:numPr>
          <w:ilvl w:val="1"/>
          <w:numId w:val="1262"/>
        </w:numPr>
      </w:pPr>
      <w:r>
        <w:t xml:space="preserve">You may google the names and search under Wikipedia to get a better understanding of these organisms and what is known.</w:t>
      </w:r>
    </w:p>
    <w:bookmarkEnd w:id="199"/>
    <w:bookmarkEnd w:id="200"/>
    <w:bookmarkStart w:id="201"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201"/>
    <w:bookmarkEnd w:id="202"/>
    <w:bookmarkEnd w:id="203"/>
    <w:bookmarkStart w:id="217"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tip.png" id="20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8" w:name="X0d17ba572a281133a22d073b368b9fbe73454ca"/>
    <w:p>
      <w:pPr>
        <w:pStyle w:val="Heading2"/>
      </w:pPr>
      <w:r>
        <w:t xml:space="preserve">Module 5.1 – Tissue Preparation for Genome Sequencing</w:t>
      </w:r>
    </w:p>
    <w:bookmarkStart w:id="207" w:name="Xaadd1af7be5342dd14d66f9d9ba06249647885a"/>
    <w:p>
      <w:pPr>
        <w:pStyle w:val="Heading3"/>
      </w:pPr>
      <w:r>
        <w:t xml:space="preserve">Instructor Laboratory Preparation Instructions</w:t>
      </w:r>
    </w:p>
    <w:bookmarkStart w:id="206" w:name="materials-and-equipment-9"/>
    <w:p>
      <w:pPr>
        <w:pStyle w:val="Heading4"/>
      </w:pPr>
      <w:r>
        <w:t xml:space="preserve">Materials and Equipment</w:t>
      </w:r>
    </w:p>
    <w:p>
      <w:pPr>
        <w:pStyle w:val="Compact"/>
        <w:numPr>
          <w:ilvl w:val="0"/>
          <w:numId w:val="1263"/>
        </w:numPr>
      </w:pPr>
      <w:r>
        <w:t xml:space="preserve">Autoclave</w:t>
      </w:r>
    </w:p>
    <w:p>
      <w:pPr>
        <w:pStyle w:val="Compact"/>
        <w:numPr>
          <w:ilvl w:val="0"/>
          <w:numId w:val="1264"/>
        </w:numPr>
      </w:pPr>
      <w:r>
        <w:t xml:space="preserve">Laminar Flow Hood (if available)</w:t>
      </w:r>
    </w:p>
    <w:p>
      <w:pPr>
        <w:pStyle w:val="Compact"/>
        <w:numPr>
          <w:ilvl w:val="0"/>
          <w:numId w:val="1265"/>
        </w:numPr>
      </w:pPr>
      <w:r>
        <w:t xml:space="preserve">Cellophane</w:t>
      </w:r>
    </w:p>
    <w:p>
      <w:pPr>
        <w:pStyle w:val="Compact"/>
        <w:numPr>
          <w:ilvl w:val="0"/>
          <w:numId w:val="1266"/>
        </w:numPr>
      </w:pPr>
      <w:r>
        <w:t xml:space="preserve">100x15mm Petri Dishes</w:t>
      </w:r>
    </w:p>
    <w:p>
      <w:pPr>
        <w:pStyle w:val="Compact"/>
        <w:numPr>
          <w:ilvl w:val="0"/>
          <w:numId w:val="1267"/>
        </w:numPr>
      </w:pPr>
      <w:r>
        <w:t xml:space="preserve">60x15mm Petri Dishes</w:t>
      </w:r>
    </w:p>
    <w:p>
      <w:pPr>
        <w:pStyle w:val="Compact"/>
        <w:numPr>
          <w:ilvl w:val="0"/>
          <w:numId w:val="1268"/>
        </w:numPr>
      </w:pPr>
      <w:r>
        <w:t xml:space="preserve">Agar, Bacteriological</w:t>
      </w:r>
    </w:p>
    <w:p>
      <w:pPr>
        <w:pStyle w:val="Compact"/>
        <w:numPr>
          <w:ilvl w:val="0"/>
          <w:numId w:val="1269"/>
        </w:numPr>
      </w:pPr>
      <w:r>
        <w:t xml:space="preserve">Potato Dextrose Agar (PDA) media</w:t>
      </w:r>
    </w:p>
    <w:p>
      <w:pPr>
        <w:pStyle w:val="Compact"/>
        <w:numPr>
          <w:ilvl w:val="0"/>
          <w:numId w:val="1270"/>
        </w:numPr>
      </w:pPr>
      <w:r>
        <w:t xml:space="preserve">Alcohol for sterilization</w:t>
      </w:r>
    </w:p>
    <w:p>
      <w:pPr>
        <w:pStyle w:val="Compact"/>
        <w:numPr>
          <w:ilvl w:val="0"/>
          <w:numId w:val="1271"/>
        </w:numPr>
      </w:pPr>
      <w:r>
        <w:t xml:space="preserve">Forceps</w:t>
      </w:r>
    </w:p>
    <w:p>
      <w:pPr>
        <w:pStyle w:val="Compact"/>
        <w:numPr>
          <w:ilvl w:val="0"/>
          <w:numId w:val="1272"/>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6"/>
    <w:bookmarkEnd w:id="207"/>
    <w:bookmarkEnd w:id="208"/>
    <w:bookmarkStart w:id="216" w:name="Xc8205bcafd44c2f0f2777871d0b670e5430cb18"/>
    <w:p>
      <w:pPr>
        <w:pStyle w:val="Heading2"/>
      </w:pPr>
      <w:r>
        <w:t xml:space="preserve">Module 5.2 – Tissue Preparation for Genome Sequencing</w:t>
      </w:r>
    </w:p>
    <w:bookmarkStart w:id="209"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9"/>
    <w:bookmarkStart w:id="21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0"/>
    <w:bookmarkStart w:id="211" w:name="sub-culturing-on-cellophane"/>
    <w:p>
      <w:pPr>
        <w:pStyle w:val="Heading3"/>
      </w:pPr>
      <w:r>
        <w:t xml:space="preserve">Sub-Culturing on Cellophane</w:t>
      </w:r>
    </w:p>
    <w:p>
      <w:pPr>
        <w:pStyle w:val="Compact"/>
        <w:numPr>
          <w:ilvl w:val="0"/>
          <w:numId w:val="1273"/>
        </w:numPr>
      </w:pPr>
      <w:r>
        <w:t xml:space="preserve">Clean your workspace as described previously. Work under flames or in a laminar flow hood if available.</w:t>
      </w:r>
    </w:p>
    <w:p>
      <w:pPr>
        <w:pStyle w:val="Compact"/>
        <w:numPr>
          <w:ilvl w:val="0"/>
          <w:numId w:val="1273"/>
        </w:numPr>
      </w:pPr>
      <w:r>
        <w:t xml:space="preserve">Label your Cellophane lined Petri Dish appropriately.</w:t>
      </w:r>
    </w:p>
    <w:p>
      <w:pPr>
        <w:pStyle w:val="Compact"/>
        <w:numPr>
          <w:ilvl w:val="0"/>
          <w:numId w:val="1273"/>
        </w:numPr>
      </w:pPr>
      <w:r>
        <w:t xml:space="preserve">Sterilize implements (forceps and scalpel).</w:t>
      </w:r>
    </w:p>
    <w:p>
      <w:pPr>
        <w:pStyle w:val="Compact"/>
        <w:numPr>
          <w:ilvl w:val="0"/>
          <w:numId w:val="1273"/>
        </w:numPr>
      </w:pPr>
      <w:r>
        <w:t xml:space="preserve">Scrape mycelia from PDA plates that you have been growing. Be sure to avoid transferring any media as much as possible.</w:t>
      </w:r>
    </w:p>
    <w:p>
      <w:pPr>
        <w:pStyle w:val="Compact"/>
        <w:numPr>
          <w:ilvl w:val="1"/>
          <w:numId w:val="1274"/>
        </w:numPr>
      </w:pPr>
      <w:r>
        <w:t xml:space="preserve">Leaving the assay plate on the bench space, remove the parafilm of the inoculation plate and slightly crack open the lid using your non-dominant hand.</w:t>
      </w:r>
    </w:p>
    <w:p>
      <w:pPr>
        <w:pStyle w:val="Compact"/>
        <w:numPr>
          <w:ilvl w:val="1"/>
          <w:numId w:val="1274"/>
        </w:numPr>
      </w:pPr>
      <w:r>
        <w:t xml:space="preserve">Insert your forceps into the crack of the Petri dish and attempt to sample some mycelium.</w:t>
      </w:r>
    </w:p>
    <w:p>
      <w:pPr>
        <w:pStyle w:val="Compact"/>
        <w:numPr>
          <w:ilvl w:val="2"/>
          <w:numId w:val="1275"/>
        </w:numPr>
      </w:pPr>
      <w:r>
        <w:t xml:space="preserve">If you are unable to remove mycelia with your forceps, use your scalpel to remove mycelia with the least amount of agar possible.</w:t>
      </w:r>
    </w:p>
    <w:p>
      <w:pPr>
        <w:pStyle w:val="Compact"/>
        <w:numPr>
          <w:ilvl w:val="0"/>
          <w:numId w:val="1273"/>
        </w:numPr>
      </w:pPr>
      <w:r>
        <w:t xml:space="preserve">Transfer the mycelia to a Petri dish with cellophane.</w:t>
      </w:r>
    </w:p>
    <w:p>
      <w:pPr>
        <w:pStyle w:val="Compact"/>
        <w:numPr>
          <w:ilvl w:val="1"/>
          <w:numId w:val="1276"/>
        </w:numPr>
      </w:pPr>
      <w:r>
        <w:t xml:space="preserve">Carefully remove the chunk of agar. Replace the lid. Slide the sample plate away. Slide a cellophane plate towards you.</w:t>
      </w:r>
    </w:p>
    <w:p>
      <w:pPr>
        <w:pStyle w:val="Compact"/>
        <w:numPr>
          <w:ilvl w:val="1"/>
          <w:numId w:val="1276"/>
        </w:numPr>
      </w:pPr>
      <w:r>
        <w:t xml:space="preserve">Crack open the cellophane plate using your non-dominant hand, and carefully insert the forceps with the agar and mycelium.</w:t>
      </w:r>
    </w:p>
    <w:p>
      <w:pPr>
        <w:pStyle w:val="Compact"/>
        <w:numPr>
          <w:ilvl w:val="1"/>
          <w:numId w:val="1276"/>
        </w:numPr>
      </w:pPr>
      <w:r>
        <w:t xml:space="preserve">To deposit the agar onto the PDA agar, submerge the forceps into the agar on the plate. This should force the agar and mycelium from your forceps, onto the PDA agar.</w:t>
      </w:r>
    </w:p>
    <w:p>
      <w:pPr>
        <w:pStyle w:val="Compact"/>
        <w:numPr>
          <w:ilvl w:val="1"/>
          <w:numId w:val="1276"/>
        </w:numPr>
      </w:pPr>
      <w:r>
        <w:t xml:space="preserve">Pull your forceps straight out to leave the agar and mycelium on the plate.</w:t>
      </w:r>
    </w:p>
    <w:p>
      <w:pPr>
        <w:pStyle w:val="Compact"/>
        <w:numPr>
          <w:ilvl w:val="1"/>
          <w:numId w:val="127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73"/>
        </w:numPr>
      </w:pPr>
      <w:r>
        <w:t xml:space="preserve">Seal Petri dish with parafilm.</w:t>
      </w:r>
    </w:p>
    <w:p>
      <w:pPr>
        <w:pStyle w:val="Compact"/>
        <w:numPr>
          <w:ilvl w:val="0"/>
          <w:numId w:val="1273"/>
        </w:numPr>
      </w:pPr>
      <w:r>
        <w:t xml:space="preserve">Allow fungi to fill the cellophane.</w:t>
      </w:r>
    </w:p>
    <w:p>
      <w:pPr>
        <w:pStyle w:val="Compact"/>
        <w:numPr>
          <w:ilvl w:val="0"/>
          <w:numId w:val="1273"/>
        </w:numPr>
      </w:pPr>
      <w:r>
        <w:t xml:space="preserve">Repeat this process with all fungal isolates that will be sent for genome sequencing.</w:t>
      </w:r>
    </w:p>
    <w:bookmarkEnd w:id="211"/>
    <w:bookmarkStart w:id="21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2"/>
    <w:bookmarkStart w:id="213" w:name="student-lab-supplies"/>
    <w:p>
      <w:pPr>
        <w:pStyle w:val="Heading3"/>
      </w:pPr>
      <w:r>
        <w:t xml:space="preserve">Student Lab Supplies</w:t>
      </w:r>
    </w:p>
    <w:p>
      <w:pPr>
        <w:pStyle w:val="Compact"/>
        <w:numPr>
          <w:ilvl w:val="0"/>
          <w:numId w:val="1277"/>
        </w:numPr>
      </w:pPr>
      <w:r>
        <w:t xml:space="preserve">1.5 ml Eppendorf tubes</w:t>
      </w:r>
    </w:p>
    <w:p>
      <w:pPr>
        <w:pStyle w:val="Compact"/>
        <w:numPr>
          <w:ilvl w:val="0"/>
          <w:numId w:val="1278"/>
        </w:numPr>
      </w:pPr>
      <w:r>
        <w:t xml:space="preserve">Sharpie</w:t>
      </w:r>
    </w:p>
    <w:p>
      <w:pPr>
        <w:pStyle w:val="Compact"/>
        <w:numPr>
          <w:ilvl w:val="0"/>
          <w:numId w:val="1279"/>
        </w:numPr>
      </w:pPr>
      <w:r>
        <w:t xml:space="preserve">Scalpel</w:t>
      </w:r>
    </w:p>
    <w:p>
      <w:pPr>
        <w:pStyle w:val="Compact"/>
        <w:numPr>
          <w:ilvl w:val="0"/>
          <w:numId w:val="1280"/>
        </w:numPr>
      </w:pPr>
      <w:r>
        <w:t xml:space="preserve">Forceps</w:t>
      </w:r>
    </w:p>
    <w:p>
      <w:pPr>
        <w:pStyle w:val="Compact"/>
        <w:numPr>
          <w:ilvl w:val="0"/>
          <w:numId w:val="1281"/>
        </w:numPr>
      </w:pPr>
      <w:r>
        <w:t xml:space="preserve">Silica</w:t>
      </w:r>
    </w:p>
    <w:p>
      <w:pPr>
        <w:pStyle w:val="Compact"/>
        <w:numPr>
          <w:ilvl w:val="0"/>
          <w:numId w:val="1282"/>
        </w:numPr>
      </w:pPr>
      <w:r>
        <w:t xml:space="preserve">Probe</w:t>
      </w:r>
    </w:p>
    <w:bookmarkEnd w:id="213"/>
    <w:bookmarkStart w:id="21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4"/>
    <w:bookmarkStart w:id="215" w:name="instructions-3"/>
    <w:p>
      <w:pPr>
        <w:pStyle w:val="Heading3"/>
      </w:pPr>
      <w:r>
        <w:t xml:space="preserve">Instructions</w:t>
      </w:r>
    </w:p>
    <w:p>
      <w:pPr>
        <w:pStyle w:val="Compact"/>
        <w:numPr>
          <w:ilvl w:val="0"/>
          <w:numId w:val="1283"/>
        </w:numPr>
      </w:pPr>
      <w:r>
        <w:t xml:space="preserve">You will be harvesting fungal tissue from the cellophane PDA petri dishes.</w:t>
      </w:r>
    </w:p>
    <w:p>
      <w:pPr>
        <w:pStyle w:val="Compact"/>
        <w:numPr>
          <w:ilvl w:val="0"/>
          <w:numId w:val="1283"/>
        </w:numPr>
      </w:pPr>
      <w:r>
        <w:t xml:space="preserve">Use a laminar flow hood or set up flames to create a sterile environment. Clean your sterile area.</w:t>
      </w:r>
    </w:p>
    <w:p>
      <w:pPr>
        <w:pStyle w:val="Compact"/>
        <w:numPr>
          <w:ilvl w:val="0"/>
          <w:numId w:val="1283"/>
        </w:numPr>
      </w:pPr>
      <w:r>
        <w:t xml:space="preserve">Light your flame source. Dip your harvesting implement(s) (scalpel, forceps, and/or probe) into alcohol. Flame your implements and let it cool.</w:t>
      </w:r>
    </w:p>
    <w:p>
      <w:pPr>
        <w:pStyle w:val="Compact"/>
        <w:numPr>
          <w:ilvl w:val="0"/>
          <w:numId w:val="128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8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83"/>
        </w:numPr>
      </w:pPr>
      <w:r>
        <w:t xml:space="preserve">Seal silica-filled jar with the lid. Allow the tissue to dry for 5-10 days.</w:t>
      </w:r>
    </w:p>
    <w:p>
      <w:pPr>
        <w:pStyle w:val="Compact"/>
        <w:numPr>
          <w:ilvl w:val="0"/>
          <w:numId w:val="1283"/>
        </w:numPr>
      </w:pPr>
      <w:r>
        <w:t xml:space="preserve">Once the tissue is dry, remove the Eppendorf tubes from the silica jar and close the lids.</w:t>
      </w:r>
    </w:p>
    <w:p>
      <w:pPr>
        <w:pStyle w:val="Compact"/>
        <w:numPr>
          <w:ilvl w:val="0"/>
          <w:numId w:val="1283"/>
        </w:numPr>
      </w:pPr>
      <w:r>
        <w:t xml:space="preserve">Proceed to the Sample submission module.</w:t>
      </w:r>
    </w:p>
    <w:bookmarkEnd w:id="215"/>
    <w:bookmarkEnd w:id="216"/>
    <w:bookmarkEnd w:id="217"/>
    <w:bookmarkStart w:id="226"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5" w:name="module-6.1-myco-ed-sample-submission-sop"/>
    <w:p>
      <w:pPr>
        <w:pStyle w:val="Heading2"/>
      </w:pPr>
      <w:r>
        <w:t xml:space="preserve">Module 6.1 – Myco-Ed Sample Submission SOP</w:t>
      </w:r>
    </w:p>
    <w:bookmarkStart w:id="220" w:name="overview-2"/>
    <w:p>
      <w:pPr>
        <w:pStyle w:val="Heading3"/>
      </w:pPr>
      <w:r>
        <w:t xml:space="preserve">Overview</w:t>
      </w:r>
    </w:p>
    <w:p>
      <w:pPr>
        <w:pStyle w:val="FirstParagraph"/>
      </w:pPr>
      <w:r>
        <w:t xml:space="preserve">Use this document to submit fungal samples to Arizona Genomics Institute (AGI) for DNA extraction.</w:t>
      </w:r>
    </w:p>
    <w:bookmarkEnd w:id="220"/>
    <w:bookmarkStart w:id="221" w:name="definitions"/>
    <w:p>
      <w:pPr>
        <w:pStyle w:val="Heading3"/>
      </w:pPr>
      <w:r>
        <w:t xml:space="preserve">Definitions</w:t>
      </w:r>
    </w:p>
    <w:p>
      <w:pPr>
        <w:pStyle w:val="Compact"/>
        <w:numPr>
          <w:ilvl w:val="0"/>
          <w:numId w:val="1284"/>
        </w:numPr>
      </w:pPr>
      <w:r>
        <w:t xml:space="preserve">JGI = Joint Genomics Institute</w:t>
      </w:r>
    </w:p>
    <w:p>
      <w:pPr>
        <w:pStyle w:val="Compact"/>
        <w:numPr>
          <w:ilvl w:val="0"/>
          <w:numId w:val="1284"/>
        </w:numPr>
      </w:pPr>
      <w:r>
        <w:t xml:space="preserve">AGI = Arizona Genome Institute</w:t>
      </w:r>
    </w:p>
    <w:bookmarkEnd w:id="221"/>
    <w:bookmarkStart w:id="222" w:name="associated-documents"/>
    <w:p>
      <w:pPr>
        <w:pStyle w:val="Heading3"/>
      </w:pPr>
      <w:r>
        <w:t xml:space="preserve">Associated Documents</w:t>
      </w:r>
    </w:p>
    <w:p>
      <w:pPr>
        <w:pStyle w:val="FirstParagraph"/>
      </w:pPr>
      <w:r>
        <w:t xml:space="preserve">MycoEd Metadata Form</w:t>
      </w:r>
    </w:p>
    <w:bookmarkEnd w:id="222"/>
    <w:bookmarkStart w:id="223" w:name="process-steps"/>
    <w:p>
      <w:pPr>
        <w:pStyle w:val="Heading3"/>
      </w:pPr>
      <w:r>
        <w:t xml:space="preserve">Process Steps</w:t>
      </w:r>
    </w:p>
    <w:p>
      <w:pPr>
        <w:pStyle w:val="Compact"/>
        <w:numPr>
          <w:ilvl w:val="0"/>
          <w:numId w:val="1285"/>
        </w:numPr>
      </w:pPr>
      <w:r>
        <w:t xml:space="preserve">Create a JGI Single Sign on Account</w:t>
      </w:r>
    </w:p>
    <w:p>
      <w:pPr>
        <w:pStyle w:val="Compact"/>
        <w:numPr>
          <w:ilvl w:val="0"/>
          <w:numId w:val="1285"/>
        </w:numPr>
      </w:pPr>
      <w:r>
        <w:t xml:space="preserve">Email photos of the live tissue you intend to send AGI before collection to JTALAG@email.arizona.edu and kwbarry@lbl.gov.</w:t>
      </w:r>
    </w:p>
    <w:p>
      <w:pPr>
        <w:pStyle w:val="Compact"/>
        <w:numPr>
          <w:ilvl w:val="0"/>
          <w:numId w:val="1285"/>
        </w:numPr>
      </w:pPr>
      <w:r>
        <w:t xml:space="preserve">Make a copy of the MycoEd Metadata Form</w:t>
      </w:r>
    </w:p>
    <w:p>
      <w:pPr>
        <w:pStyle w:val="Compact"/>
        <w:numPr>
          <w:ilvl w:val="1"/>
          <w:numId w:val="1286"/>
        </w:numPr>
      </w:pPr>
      <w:r>
        <w:t xml:space="preserve">Click on MycoEd Metadata Form link</w:t>
      </w:r>
    </w:p>
    <w:p>
      <w:pPr>
        <w:pStyle w:val="Compact"/>
        <w:numPr>
          <w:ilvl w:val="1"/>
          <w:numId w:val="1286"/>
        </w:numPr>
      </w:pPr>
      <w:r>
        <w:t xml:space="preserve">Under file, select Make a Copy</w:t>
      </w:r>
    </w:p>
    <w:p>
      <w:pPr>
        <w:pStyle w:val="Compact"/>
        <w:numPr>
          <w:ilvl w:val="1"/>
          <w:numId w:val="1286"/>
        </w:numPr>
      </w:pPr>
      <w:r>
        <w:t xml:space="preserve">Rename your new copy [University][Instructor Last Name][MycoEd Metadata][Date]</w:t>
      </w:r>
    </w:p>
    <w:p>
      <w:pPr>
        <w:pStyle w:val="Compact"/>
        <w:numPr>
          <w:ilvl w:val="0"/>
          <w:numId w:val="1285"/>
        </w:numPr>
      </w:pPr>
      <w:r>
        <w:t xml:space="preserve">Fill out your copy of the MycoEd Metadata Form</w:t>
      </w:r>
    </w:p>
    <w:p>
      <w:pPr>
        <w:pStyle w:val="Compact"/>
        <w:numPr>
          <w:ilvl w:val="1"/>
          <w:numId w:val="1287"/>
        </w:numPr>
      </w:pPr>
      <w:r>
        <w:t xml:space="preserve">Professor is the instructor for the class and their email address</w:t>
      </w:r>
    </w:p>
    <w:p>
      <w:pPr>
        <w:pStyle w:val="Compact"/>
        <w:numPr>
          <w:ilvl w:val="1"/>
          <w:numId w:val="1287"/>
        </w:numPr>
      </w:pPr>
      <w:r>
        <w:t xml:space="preserve">Name of the University/Institution is your University/Institution</w:t>
      </w:r>
    </w:p>
    <w:p>
      <w:pPr>
        <w:pStyle w:val="Compact"/>
        <w:numPr>
          <w:ilvl w:val="1"/>
          <w:numId w:val="1287"/>
        </w:numPr>
      </w:pPr>
      <w:r>
        <w:t xml:space="preserve">Date submitted/shipped is the date you ship the samples to AGI</w:t>
      </w:r>
    </w:p>
    <w:p>
      <w:pPr>
        <w:pStyle w:val="Compact"/>
        <w:numPr>
          <w:ilvl w:val="1"/>
          <w:numId w:val="1287"/>
        </w:numPr>
      </w:pPr>
      <w:r>
        <w:t xml:space="preserve">JGI proposal name &amp; number is DS 509937 (already provided)</w:t>
      </w:r>
    </w:p>
    <w:p>
      <w:pPr>
        <w:pStyle w:val="Compact"/>
        <w:numPr>
          <w:ilvl w:val="0"/>
          <w:numId w:val="1285"/>
        </w:numPr>
      </w:pPr>
      <w:r>
        <w:t xml:space="preserve">Fill out Sample Table</w:t>
      </w:r>
    </w:p>
    <w:p>
      <w:pPr>
        <w:pStyle w:val="Compact"/>
        <w:numPr>
          <w:ilvl w:val="1"/>
          <w:numId w:val="1288"/>
        </w:numPr>
      </w:pPr>
      <w:r>
        <w:t xml:space="preserve">Enter requested metadata into the table</w:t>
      </w:r>
    </w:p>
    <w:p>
      <w:pPr>
        <w:pStyle w:val="Compact"/>
        <w:numPr>
          <w:ilvl w:val="1"/>
          <w:numId w:val="1288"/>
        </w:numPr>
      </w:pPr>
      <w:r>
        <w:t xml:space="preserve">Use one row per sample/tube</w:t>
      </w:r>
    </w:p>
    <w:p>
      <w:pPr>
        <w:pStyle w:val="Compact"/>
        <w:numPr>
          <w:ilvl w:val="1"/>
          <w:numId w:val="1288"/>
        </w:numPr>
      </w:pPr>
      <w:r>
        <w:t xml:space="preserve">Insert additional rows if needed</w:t>
      </w:r>
    </w:p>
    <w:p>
      <w:pPr>
        <w:pStyle w:val="Compact"/>
        <w:numPr>
          <w:ilvl w:val="1"/>
          <w:numId w:val="1288"/>
        </w:numPr>
      </w:pPr>
      <w:r>
        <w:t xml:space="preserve">Columns with gray field headers, B and D, will be filled out by JGI</w:t>
      </w:r>
    </w:p>
    <w:p>
      <w:pPr>
        <w:pStyle w:val="Compact"/>
        <w:numPr>
          <w:ilvl w:val="1"/>
          <w:numId w:val="1288"/>
        </w:numPr>
      </w:pPr>
      <w:r>
        <w:t xml:space="preserve">For Column C, Sample Name - please use below convention for naming: [University][Plant][Plant tissue] Metagenome [Sample ID]</w:t>
      </w:r>
    </w:p>
    <w:p>
      <w:pPr>
        <w:pStyle w:val="Compact"/>
        <w:numPr>
          <w:ilvl w:val="1"/>
          <w:numId w:val="1288"/>
        </w:numPr>
      </w:pPr>
      <w:r>
        <w:t xml:space="preserve">Column G is only needed if you are sending more than 22 samples</w:t>
      </w:r>
    </w:p>
    <w:p>
      <w:pPr>
        <w:pStyle w:val="Compact"/>
        <w:numPr>
          <w:ilvl w:val="1"/>
          <w:numId w:val="1288"/>
        </w:numPr>
      </w:pPr>
      <w:r>
        <w:t xml:space="preserve">Student is the full name of student that collected the sample and their email address</w:t>
      </w:r>
    </w:p>
    <w:p>
      <w:pPr>
        <w:pStyle w:val="Compact"/>
        <w:numPr>
          <w:ilvl w:val="1"/>
          <w:numId w:val="1288"/>
        </w:numPr>
      </w:pPr>
      <w:r>
        <w:t xml:space="preserve">Columns with Yellow Header, X-AF, will be filled out by AGI after DNA extraction</w:t>
      </w:r>
    </w:p>
    <w:p>
      <w:pPr>
        <w:pStyle w:val="Compact"/>
        <w:numPr>
          <w:ilvl w:val="0"/>
          <w:numId w:val="1285"/>
        </w:numPr>
      </w:pPr>
      <w:r>
        <w:t xml:space="preserve">Email form to AGI &amp; JGI</w:t>
      </w:r>
    </w:p>
    <w:p>
      <w:pPr>
        <w:pStyle w:val="Compact"/>
        <w:numPr>
          <w:ilvl w:val="1"/>
          <w:numId w:val="1289"/>
        </w:numPr>
      </w:pPr>
      <w:r>
        <w:t xml:space="preserve">Once all required metadata is provided, download a copy to excel</w:t>
      </w:r>
    </w:p>
    <w:p>
      <w:pPr>
        <w:pStyle w:val="Compact"/>
        <w:numPr>
          <w:ilvl w:val="1"/>
          <w:numId w:val="1289"/>
        </w:numPr>
      </w:pPr>
      <w:r>
        <w:t xml:space="preserve">Email a copy to Jayson at (jtalag@ag.arizona.edu ) and Kerrie (kwbarry@lbl.gov).</w:t>
      </w:r>
    </w:p>
    <w:p>
      <w:pPr>
        <w:pStyle w:val="Compact"/>
        <w:numPr>
          <w:ilvl w:val="1"/>
          <w:numId w:val="128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89"/>
        </w:numPr>
      </w:pPr>
      <w:r>
        <w:t xml:space="preserve">Include in your email your name, your college/university, the exact name of your samples (column D) that are ready to ship to AGI (and the rows in this sheet).</w:t>
      </w:r>
    </w:p>
    <w:p>
      <w:pPr>
        <w:pStyle w:val="Compact"/>
        <w:numPr>
          <w:ilvl w:val="1"/>
          <w:numId w:val="1289"/>
        </w:numPr>
      </w:pPr>
      <w:r>
        <w:t xml:space="preserve">Wait for approval/confirmation from AGI &amp; JGI.</w:t>
      </w:r>
    </w:p>
    <w:p>
      <w:pPr>
        <w:pStyle w:val="Compact"/>
        <w:numPr>
          <w:ilvl w:val="2"/>
          <w:numId w:val="1290"/>
        </w:numPr>
      </w:pPr>
      <w:r>
        <w:t xml:space="preserve">If needed make requested changed and email updated copy</w:t>
      </w:r>
    </w:p>
    <w:p>
      <w:pPr>
        <w:pStyle w:val="Compact"/>
        <w:numPr>
          <w:ilvl w:val="0"/>
          <w:numId w:val="1285"/>
        </w:numPr>
      </w:pPr>
      <w:r>
        <w:t xml:space="preserve">Prepare samples for shipment</w:t>
      </w:r>
    </w:p>
    <w:p>
      <w:pPr>
        <w:pStyle w:val="Compact"/>
        <w:numPr>
          <w:ilvl w:val="1"/>
          <w:numId w:val="1291"/>
        </w:numPr>
      </w:pPr>
    </w:p>
    <w:p>
      <w:pPr>
        <w:pStyle w:val="Compact"/>
        <w:numPr>
          <w:ilvl w:val="2"/>
          <w:numId w:val="129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91"/>
        </w:numPr>
      </w:pPr>
      <w:r>
        <w:t xml:space="preserve">Email FEDEX tracking # when your shipment is picked up.</w:t>
      </w:r>
    </w:p>
    <w:p>
      <w:pPr>
        <w:pStyle w:val="Compact"/>
        <w:numPr>
          <w:ilvl w:val="1"/>
          <w:numId w:val="129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3"/>
    <w:bookmarkStart w:id="224"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4"/>
    <w:bookmarkEnd w:id="225"/>
    <w:bookmarkEnd w:id="226"/>
    <w:bookmarkStart w:id="246"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6" w:name="X46999d4e04aaa0bd6e7f1cf0936f3283e50c93c"/>
    <w:p>
      <w:pPr>
        <w:pStyle w:val="Heading2"/>
      </w:pPr>
      <w:r>
        <w:t xml:space="preserve">Module 7.1 – Sexual Reproduction in Ascomycota Genomic Analysis</w:t>
      </w:r>
    </w:p>
    <w:bookmarkStart w:id="229"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9"/>
    <w:bookmarkStart w:id="230" w:name="references"/>
    <w:p>
      <w:pPr>
        <w:pStyle w:val="Heading3"/>
      </w:pPr>
      <w:r>
        <w:t xml:space="preserve">References</w:t>
      </w:r>
    </w:p>
    <w:p>
      <w:pPr>
        <w:pStyle w:val="Compact"/>
        <w:numPr>
          <w:ilvl w:val="0"/>
          <w:numId w:val="1293"/>
        </w:numPr>
      </w:pPr>
      <w:r>
        <w:t xml:space="preserve">Casselton, L.A., Olesnicky, N.S., 1998. Molecular Genetics of Mating Recognition in Basidiomycete Fungi. Microbiol Mol Biol Rev., 62(1): 55–70. doi: 10.1128/mmbr.62.1.55-70.1998</w:t>
      </w:r>
    </w:p>
    <w:p>
      <w:pPr>
        <w:pStyle w:val="Compact"/>
        <w:numPr>
          <w:ilvl w:val="0"/>
          <w:numId w:val="1293"/>
        </w:numPr>
      </w:pPr>
      <w:r>
        <w:t xml:space="preserve">Cambareri, E.B., Singer, M.J., Selker, E.U., 1991. Recurrence of repeat-induced point mutation (RIP) in Neurospora crassa. Genetics, 127(4):699-710. doi: 10.1093/genetics/127.4.699.</w:t>
      </w:r>
    </w:p>
    <w:p>
      <w:pPr>
        <w:pStyle w:val="Compact"/>
        <w:numPr>
          <w:ilvl w:val="0"/>
          <w:numId w:val="1293"/>
        </w:numPr>
      </w:pPr>
      <w:r>
        <w:t xml:space="preserve">Metzenberg, R.L., Glass, N.L., 1990. Mating type and mating strategies in Neurospora. Bioessays. 1990 Feb;12(2):53-9. doi: 10.1002/bies.950120202.</w:t>
      </w:r>
    </w:p>
    <w:bookmarkEnd w:id="230"/>
    <w:bookmarkStart w:id="235" w:name="finding-mat-a"/>
    <w:p>
      <w:pPr>
        <w:pStyle w:val="Heading3"/>
      </w:pPr>
      <w:r>
        <w:t xml:space="preserve">Finding mat A</w:t>
      </w:r>
    </w:p>
    <w:bookmarkStart w:id="231"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9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9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94"/>
        </w:numPr>
      </w:pPr>
      <w:r>
        <w:t xml:space="preserve">Let’s find the location of this gene in the genome! Go to the Neucr2 MycoCosm portal (https://mycocosm.jgi.doe.gov/Neucr2) and search for it using the BLAST tool.</w:t>
      </w:r>
    </w:p>
    <w:p>
      <w:pPr>
        <w:pStyle w:val="Compact"/>
        <w:numPr>
          <w:ilvl w:val="0"/>
          <w:numId w:val="129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94"/>
        </w:numPr>
      </w:pPr>
      <w:r>
        <w:t xml:space="preserve">You should see two hits, each shown in a separate row.</w:t>
      </w:r>
    </w:p>
    <w:p>
      <w:pPr>
        <w:pStyle w:val="Compact"/>
        <w:numPr>
          <w:ilvl w:val="1"/>
          <w:numId w:val="129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95"/>
        </w:numPr>
      </w:pPr>
      <w:r>
        <w:t xml:space="preserve">The second column shows an alignment of that sequence against your query, which is helpful for seeing how well hits cover your query sequence.</w:t>
      </w:r>
    </w:p>
    <w:p>
      <w:pPr>
        <w:pStyle w:val="Compact"/>
        <w:numPr>
          <w:ilvl w:val="1"/>
          <w:numId w:val="1295"/>
        </w:numPr>
      </w:pPr>
      <w:r>
        <w:t xml:space="preserve">The score and EValue columns are also useful when assessing hit quality. Higher scores are better, and conversely, lower e-values are better.</w:t>
      </w:r>
    </w:p>
    <w:p>
      <w:pPr>
        <w:pStyle w:val="Compact"/>
        <w:numPr>
          <w:ilvl w:val="0"/>
          <w:numId w:val="129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9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9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9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9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9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9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9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94"/>
        </w:numPr>
      </w:pPr>
      <w:r>
        <w:t xml:space="preserve">Using the information on the protein page, can you find mat A-2 and mat-A3?</w:t>
      </w:r>
    </w:p>
    <w:p>
      <w:pPr>
        <w:pStyle w:val="Compact"/>
        <w:numPr>
          <w:ilvl w:val="0"/>
          <w:numId w:val="1294"/>
        </w:numPr>
      </w:pPr>
      <w:r>
        <w:t xml:space="preserve">At the mating type locus, do you notice anything interesting when exploring the read depth coverage plots (pink tracks) from related Neurospora genomes?</w:t>
      </w:r>
    </w:p>
    <w:p>
      <w:pPr>
        <w:pStyle w:val="Compact"/>
        <w:numPr>
          <w:ilvl w:val="0"/>
          <w:numId w:val="129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1"/>
    <w:bookmarkStart w:id="232"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9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9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9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9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9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9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2"/>
    <w:bookmarkStart w:id="233"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9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97"/>
        </w:numPr>
      </w:pPr>
      <w:r>
        <w:t xml:space="preserve">Let’s find it on the mat a genome portal you found earlier for N. tetrasperma strain FGSC 2509, (https://mycocosm.jgi.doe.gov/Neute_mat_a1).</w:t>
      </w:r>
    </w:p>
    <w:p>
      <w:pPr>
        <w:pStyle w:val="Compact"/>
        <w:numPr>
          <w:ilvl w:val="0"/>
          <w:numId w:val="129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97"/>
        </w:numPr>
      </w:pPr>
      <w:r>
        <w:t xml:space="preserve">The best hit is to N. tetrasperma protein ID 124723, can you explain why?</w:t>
      </w:r>
    </w:p>
    <w:p>
      <w:pPr>
        <w:pStyle w:val="Compact"/>
        <w:numPr>
          <w:ilvl w:val="0"/>
          <w:numId w:val="1297"/>
        </w:numPr>
      </w:pPr>
      <w:r>
        <w:t xml:space="preserve">Let’s revisit the Neucr2 mcl clustering page and search for this, again by typing portalID.proteinID (e.g. Neute_mat_a1.124723) in the search field.</w:t>
      </w:r>
    </w:p>
    <w:p>
      <w:pPr>
        <w:pStyle w:val="Compact"/>
        <w:numPr>
          <w:ilvl w:val="0"/>
          <w:numId w:val="129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97"/>
        </w:numPr>
      </w:pPr>
      <w:r>
        <w:t xml:space="preserve">It looks like our mat a gene is found in a region that is not present in any of the others, which are all the opposite mating type (mat A)!</w:t>
      </w:r>
    </w:p>
    <w:p>
      <w:pPr>
        <w:pStyle w:val="Compact"/>
        <w:numPr>
          <w:ilvl w:val="0"/>
          <w:numId w:val="1297"/>
        </w:numPr>
      </w:pPr>
      <w:r>
        <w:t xml:space="preserve">With this information, we can say that all our current evidence supports our hypothesis that fungal mating types are driven by presence/absence of specific genes, mat a and A in particular!</w:t>
      </w:r>
    </w:p>
    <w:bookmarkEnd w:id="233"/>
    <w:bookmarkStart w:id="234"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9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9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98"/>
        </w:numPr>
      </w:pPr>
      <w:r>
        <w:t xml:space="preserve">Go through the same exercise to search mcl clusters. Do you see a similar pattern to what we observed in N. crassa?</w:t>
      </w:r>
    </w:p>
    <w:p>
      <w:pPr>
        <w:pStyle w:val="Compact"/>
        <w:numPr>
          <w:ilvl w:val="0"/>
          <w:numId w:val="129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9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9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9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9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4"/>
    <w:bookmarkEnd w:id="235"/>
    <w:bookmarkEnd w:id="236"/>
    <w:bookmarkStart w:id="245" w:name="Xe7b646958662d93788a5fac43551e0623449021"/>
    <w:p>
      <w:pPr>
        <w:pStyle w:val="Heading2"/>
      </w:pPr>
      <w:r>
        <w:t xml:space="preserve">Module 7.2 – Fungal Natural Product Production Genomic Analysis</w:t>
      </w:r>
    </w:p>
    <w:bookmarkStart w:id="237"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7"/>
    <w:bookmarkStart w:id="238" w:name="references-1"/>
    <w:p>
      <w:pPr>
        <w:pStyle w:val="Heading3"/>
      </w:pPr>
      <w:r>
        <w:t xml:space="preserve">References</w:t>
      </w:r>
    </w:p>
    <w:p>
      <w:pPr>
        <w:pStyle w:val="Compact"/>
        <w:numPr>
          <w:ilvl w:val="0"/>
          <w:numId w:val="129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99"/>
        </w:numPr>
      </w:pPr>
      <w:r>
        <w:t xml:space="preserve">Seenivasan, A., Subhagar, S., Aravindan, R., Viruthagiri, T., 2008. Microbial Production and Biomedical Applications of Lovastatin. Indian J Pharm Sci. 2008, doi: 10.4103/0250-474X.49087</w:t>
      </w:r>
    </w:p>
    <w:p>
      <w:pPr>
        <w:pStyle w:val="Compact"/>
        <w:numPr>
          <w:ilvl w:val="0"/>
          <w:numId w:val="129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99"/>
        </w:numPr>
      </w:pPr>
      <w:r>
        <w:t xml:space="preserve">Strieker, M., Tanovic, A., Marahiel, M.A., 2010. Nonribosomal peptide synthetases: structures and dynamics. Current Opinion in Structural Biology 2010, 20:234–240</w:t>
      </w:r>
    </w:p>
    <w:p>
      <w:pPr>
        <w:pStyle w:val="Compact"/>
        <w:numPr>
          <w:ilvl w:val="0"/>
          <w:numId w:val="1299"/>
        </w:numPr>
      </w:pPr>
      <w:r>
        <w:t xml:space="preserve">Keller, N., 2019. Fungal secondary metabolism: regulation, function and drug discovery. Nature Reviews Microbiology, 17(3): 167–180. doi: 10.1038/s41579-018-0121-1</w:t>
      </w:r>
    </w:p>
    <w:bookmarkEnd w:id="238"/>
    <w:bookmarkStart w:id="241" w:name="X31643484012ee51f67fd2def9a4608ddd3c7490"/>
    <w:p>
      <w:pPr>
        <w:pStyle w:val="Heading3"/>
      </w:pPr>
      <w:r>
        <w:t xml:space="preserve">Finding the Penicillin Biosynthetic Gene Cluster</w:t>
      </w:r>
    </w:p>
    <w:bookmarkStart w:id="239" w:name="X27e5a65183f9483aec43514a5289c555b8e099a"/>
    <w:p>
      <w:pPr>
        <w:pStyle w:val="Heading4"/>
      </w:pPr>
      <w:r>
        <w:t xml:space="preserve">Locate the known cluster in P. chrysogenum</w:t>
      </w:r>
    </w:p>
    <w:p>
      <w:pPr>
        <w:pStyle w:val="Compact"/>
        <w:numPr>
          <w:ilvl w:val="0"/>
          <w:numId w:val="130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30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30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30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30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300"/>
        </w:numPr>
      </w:pPr>
      <w:r>
        <w:t xml:space="preserve">You should see a single hit! Click on the coordinates to view this region of the genome.</w:t>
      </w:r>
    </w:p>
    <w:p>
      <w:pPr>
        <w:pStyle w:val="Compact"/>
        <w:numPr>
          <w:ilvl w:val="0"/>
          <w:numId w:val="1300"/>
        </w:numPr>
      </w:pPr>
      <w:r>
        <w:t xml:space="preserve">Of course, we are searching for DNA that is mostly found in between these penicillin-related genes. Click -10x to get a bigger view of this locus.</w:t>
      </w:r>
    </w:p>
    <w:p>
      <w:pPr>
        <w:pStyle w:val="Compact"/>
        <w:numPr>
          <w:ilvl w:val="0"/>
          <w:numId w:val="130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30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30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9"/>
    <w:bookmarkStart w:id="240" w:name="X3367d9de4d4452f0e4500f817aabeb87e960cf9"/>
    <w:p>
      <w:pPr>
        <w:pStyle w:val="Heading4"/>
      </w:pPr>
      <w:r>
        <w:t xml:space="preserve">Find candidate Penicillin BGCs in related fungi</w:t>
      </w:r>
    </w:p>
    <w:p>
      <w:pPr>
        <w:pStyle w:val="Compact"/>
        <w:numPr>
          <w:ilvl w:val="0"/>
          <w:numId w:val="1301"/>
        </w:numPr>
      </w:pPr>
      <w:r>
        <w:t xml:space="preserve">With our NRPS bait in hand, let’s try to fish out similar genes in related fungi! But before we do, do you have any hypotheses about how often it will be found?</w:t>
      </w:r>
    </w:p>
    <w:p>
      <w:pPr>
        <w:pStyle w:val="Compact"/>
        <w:numPr>
          <w:ilvl w:val="0"/>
          <w:numId w:val="130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30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30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30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30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30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301"/>
        </w:numPr>
      </w:pPr>
      <w:r>
        <w:t xml:space="preserve">Can you find where hit quality begins to drop off? You can see by just looking at the top 10 that quality drops off really fast!</w:t>
      </w:r>
    </w:p>
    <w:p>
      <w:pPr>
        <w:pStyle w:val="Compact"/>
        <w:numPr>
          <w:ilvl w:val="0"/>
          <w:numId w:val="130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30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30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30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30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30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30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30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30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30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30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30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0"/>
    <w:bookmarkEnd w:id="241"/>
    <w:bookmarkStart w:id="244" w:name="characterize-myco-ed-bgcs"/>
    <w:p>
      <w:pPr>
        <w:pStyle w:val="Heading3"/>
      </w:pPr>
      <w:r>
        <w:t xml:space="preserve">Characterize Myco-Ed BGCs</w:t>
      </w:r>
    </w:p>
    <w:bookmarkStart w:id="242"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30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30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302"/>
        </w:numPr>
      </w:pPr>
      <w:r>
        <w:t xml:space="preserve">Let’s set a goal to describe the distribution of fungal BGC backbone genes, following the same workflow you just did for penicillin.</w:t>
      </w:r>
    </w:p>
    <w:p>
      <w:pPr>
        <w:pStyle w:val="Compact"/>
        <w:numPr>
          <w:ilvl w:val="0"/>
          <w:numId w:val="130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30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30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30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30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30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30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2"/>
    <w:bookmarkStart w:id="243" w:name="annotate-them"/>
    <w:p>
      <w:pPr>
        <w:pStyle w:val="Heading4"/>
      </w:pPr>
      <w:r>
        <w:t xml:space="preserve">Annotate them!</w:t>
      </w:r>
    </w:p>
    <w:p>
      <w:pPr>
        <w:pStyle w:val="Compact"/>
        <w:numPr>
          <w:ilvl w:val="0"/>
          <w:numId w:val="130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30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30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3"/>
    <w:bookmarkEnd w:id="244"/>
    <w:bookmarkEnd w:id="245"/>
    <w:bookmarkEnd w:id="246"/>
    <w:bookmarkStart w:id="248"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7">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8"/>
    <w:bookmarkStart w:id="249" w:name="carlos-c.-goller"/>
    <w:p>
      <w:pPr>
        <w:pStyle w:val="Heading1"/>
      </w:pPr>
      <w:r>
        <w:t xml:space="preserve">1. Carlos C. Goller</w:t>
      </w:r>
    </w:p>
    <w:bookmarkEnd w:id="249"/>
    <w:bookmarkStart w:id="252"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0"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0"/>
    <w:bookmarkStart w:id="251"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1"/>
    <w:bookmarkEnd w:id="252"/>
    <w:bookmarkStart w:id="259" w:name="references-2"/>
    <w:p>
      <w:pPr>
        <w:pStyle w:val="Heading1"/>
      </w:pPr>
      <w:r>
        <w:t xml:space="preserve">References</w:t>
      </w:r>
    </w:p>
    <w:bookmarkStart w:id="253" w:name="workbook-references"/>
    <w:p>
      <w:pPr>
        <w:pStyle w:val="Heading2"/>
      </w:pPr>
      <w:r>
        <w:t xml:space="preserve">Workbook References</w:t>
      </w:r>
    </w:p>
    <w:p>
      <w:pPr>
        <w:pStyle w:val="Compact"/>
        <w:numPr>
          <w:ilvl w:val="0"/>
          <w:numId w:val="1304"/>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04"/>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3"/>
    <w:bookmarkStart w:id="258" w:name="module-7.1-references"/>
    <w:p>
      <w:pPr>
        <w:pStyle w:val="Heading2"/>
      </w:pPr>
      <w:r>
        <w:t xml:space="preserve">Module 7.1 References</w:t>
      </w:r>
    </w:p>
    <w:p>
      <w:pPr>
        <w:pStyle w:val="Compact"/>
        <w:numPr>
          <w:ilvl w:val="0"/>
          <w:numId w:val="1305"/>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05"/>
        </w:numPr>
      </w:pPr>
      <w:r>
        <w:t xml:space="preserve">Cambareri, E.B., Singer, M.J., Selker, E.U., 1991. Recurrence of repeat-induced point mutation (RIP) in Neurospora crassa. Genetics, 127(4): 699-710. https://doi.org/10.1093/genetics/127.4.699</w:t>
      </w:r>
    </w:p>
    <w:p>
      <w:pPr>
        <w:pStyle w:val="Compact"/>
        <w:numPr>
          <w:ilvl w:val="0"/>
          <w:numId w:val="1305"/>
        </w:numPr>
      </w:pPr>
      <w:r>
        <w:t xml:space="preserve">Metzenberg, R.L., Glass, N.L., 1990. Mating type and mating strategies in Neurospora. BioEssays, 12(2): 53-59. https://doi.org/10.1002/bies.950120202</w:t>
      </w:r>
    </w:p>
    <w:bookmarkStart w:id="257" w:name="refs"/>
    <w:bookmarkStart w:id="254"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4"/>
    <w:bookmarkStart w:id="256"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5">
        <w:r>
          <w:rPr>
            <w:rStyle w:val="Hyperlink"/>
          </w:rPr>
          <w:t xml:space="preserve">https://doi.org/10.17504/protocols.io.rm7vzqd5xvx1/v1</w:t>
        </w:r>
      </w:hyperlink>
      <w:r>
        <w:t xml:space="preserve">.</w:t>
      </w:r>
    </w:p>
    <w:bookmarkEnd w:id="256"/>
    <w:bookmarkEnd w:id="257"/>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2026-06-02T21:09:46Z</dcterms:created>
  <dcterms:modified xsi:type="dcterms:W3CDTF">2026-06-02T21:09:46Z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