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11.png" ContentType="image/png"/>
  <Override PartName="/word/media/rId28.png" ContentType="image/png"/>
  <Override PartName="/word/media/rId12.png" ContentType="image/png"/>
  <Override PartName="/word/media/rId48.png" ContentType="image/png"/>
  <Override PartName="/word/media/rId149.png" ContentType="image/png"/>
  <Override PartName="/word/media/rId127.png" ContentType="image/png"/>
  <Override PartName="/word/media/rId166.png" ContentType="image/png"/>
  <Override PartName="/word/media/rId81.png" ContentType="image/png"/>
  <Override PartName="/word/media/rId101.png" ContentType="image/png"/>
  <Override PartName="/word/media/rId90.png" ContentType="image/png"/>
  <Override PartName="/word/media/rId132.png" ContentType="image/png"/>
  <Override PartName="/word/media/rId95.png" ContentType="image/png"/>
  <Override PartName="/word/media/rId15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BSC 495: The Hidden World’s Code</w:t>
      </w:r>
    </w:p>
    <w:p>
      <w:pPr>
        <w:pStyle w:val="Subtitle"/>
      </w:pPr>
      <w:r>
        <w:t xml:space="preserve">A Hands-On Fungal Genomics Lab</w:t>
      </w:r>
    </w:p>
    <w:p>
      <w:pPr>
        <w:pStyle w:val="Author"/>
      </w:pPr>
      <w:r>
        <w:t xml:space="preserve">Carlos C. Goller, Ph.D.</w:t>
      </w:r>
    </w:p>
    <w:p>
      <w:pPr>
        <w:pStyle w:val="Date"/>
      </w:pPr>
      <w:r>
        <w:t xml:space="preserve">2026-05-07</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4" w:name="overview"/>
    <w:p>
      <w:pPr>
        <w:pStyle w:val="Heading1"/>
      </w:pPr>
      <w:r>
        <w:t xml:space="preserve">Overview</w:t>
      </w:r>
    </w:p>
    <w:p>
      <w:pPr>
        <w:pStyle w:val="FirstParagraph"/>
      </w:pPr>
      <w:r>
        <w:t xml:space="preserve">The Mycological Curriculum for Education and Discovery</w:t>
      </w:r>
      <w:r>
        <w:t xml:space="preserve"> </w:t>
      </w:r>
      <w:hyperlink r:id="rId9">
        <w:r>
          <w:rPr>
            <w:rStyle w:val="Hyperlink"/>
          </w:rPr>
          <w:t xml:space="preserve">MycoEd</w:t>
        </w:r>
      </w:hyperlink>
      <w:r>
        <w:t xml:space="preserve"> </w:t>
      </w:r>
      <w:r>
        <w:t xml:space="preserve">is a</w:t>
      </w:r>
      <w:r>
        <w:t xml:space="preserve"> </w:t>
      </w:r>
      <w:r>
        <w:rPr>
          <w:b/>
          <w:bCs/>
        </w:rPr>
        <w:t xml:space="preserve">Course-Based Undergraduate Research Experience (CURE)</w:t>
      </w:r>
      <w:r>
        <w:t xml:space="preserve"> </w:t>
      </w:r>
      <w:r>
        <w:t xml:space="preserve">that features team-based, hands-on experiments in fungal biology and genomics. You will learn new laboratory techniques and data analysis by starting with sample collection, fungal isolation, and the characterization of the resulting isolates to improve fungal genomic resources. Genomic DNA will be extracted from samples for genome sequencing, assembly, and annotation. By isolating and sequencing fungal species, your team will help produce high-quality fungal reference genomes. This course will prepare you with workforce training in fungal biology and genomics and empower you to be a contributor to fungal genomics! Importantly, you will practice lab and bioinformatics skills that are broadly applicable!</w:t>
      </w:r>
    </w:p>
    <w:p>
      <w:pPr>
        <w:pStyle w:val="BodyText"/>
      </w:pPr>
      <w:r>
        <w:t xml:space="preserve">To learn more about Quarto books visit</w:t>
      </w:r>
      <w:r>
        <w:t xml:space="preserve"> </w:t>
      </w:r>
      <w:hyperlink r:id="rId10">
        <w:r>
          <w:rPr>
            <w:rStyle w:val="Hyperlink"/>
          </w:rPr>
          <w:t xml:space="preserve">Quarto Books</w:t>
        </w:r>
      </w:hyperlink>
      <w:r>
        <w:t xml:space="preserve">.</w:t>
      </w:r>
      <w:r>
        <w:t xml:space="preserve"> </w:t>
      </w:r>
      <w:r>
        <w:t xml:space="preserve">To learn more about the MycoEd curriculum visit the</w:t>
      </w:r>
      <w:r>
        <w:t xml:space="preserve"> </w:t>
      </w:r>
      <w:hyperlink r:id="rId9">
        <w:r>
          <w:rPr>
            <w:rStyle w:val="Hyperlink"/>
          </w:rPr>
          <w:t xml:space="preserve">MycoEd</w:t>
        </w:r>
      </w:hyperlink>
      <w:r>
        <w:t xml:space="preserve">.</w:t>
      </w:r>
    </w:p>
    <w:bookmarkStart w:id="11" w:name="course-outcomes"/>
    <w:p>
      <w:pPr>
        <w:pStyle w:val="Heading2"/>
      </w:pPr>
      <w:r>
        <w:t xml:space="preserve">Course Outcomes</w:t>
      </w:r>
    </w:p>
    <w:p>
      <w:pPr>
        <w:pStyle w:val="Compact"/>
        <w:numPr>
          <w:ilvl w:val="0"/>
          <w:numId w:val="1001"/>
        </w:numPr>
      </w:pPr>
      <w:r>
        <w:rPr>
          <w:b/>
          <w:bCs/>
        </w:rPr>
        <w:t xml:space="preserve">CO1</w:t>
      </w:r>
      <w:r>
        <w:t xml:space="preserve">:</w:t>
      </w:r>
      <w:r>
        <w:t xml:space="preserve"> </w:t>
      </w:r>
      <w:r>
        <w:rPr>
          <w:b/>
          <w:bCs/>
        </w:rPr>
        <w:t xml:space="preserve">Isolate</w:t>
      </w:r>
      <w:r>
        <w:t xml:space="preserve"> </w:t>
      </w:r>
      <w:r>
        <w:t xml:space="preserve">fungal endophytes,</w:t>
      </w:r>
    </w:p>
    <w:p>
      <w:pPr>
        <w:pStyle w:val="Compact"/>
        <w:numPr>
          <w:ilvl w:val="0"/>
          <w:numId w:val="1001"/>
        </w:numPr>
      </w:pPr>
      <w:r>
        <w:rPr>
          <w:b/>
          <w:bCs/>
        </w:rPr>
        <w:t xml:space="preserve">CO2</w:t>
      </w:r>
      <w:r>
        <w:t xml:space="preserve">:</w:t>
      </w:r>
      <w:r>
        <w:t xml:space="preserve"> </w:t>
      </w:r>
      <w:r>
        <w:rPr>
          <w:b/>
          <w:bCs/>
        </w:rPr>
        <w:t xml:space="preserve">Characterize</w:t>
      </w:r>
      <w:r>
        <w:t xml:space="preserve"> </w:t>
      </w:r>
      <w:r>
        <w:t xml:space="preserve">the morphology of fungal cultures through phenotypic and genomic assays,</w:t>
      </w:r>
    </w:p>
    <w:p>
      <w:pPr>
        <w:pStyle w:val="Compact"/>
        <w:numPr>
          <w:ilvl w:val="0"/>
          <w:numId w:val="1001"/>
        </w:numPr>
      </w:pPr>
      <w:r>
        <w:rPr>
          <w:b/>
          <w:bCs/>
        </w:rPr>
        <w:t xml:space="preserve">CO3</w:t>
      </w:r>
      <w:r>
        <w:t xml:space="preserve">:</w:t>
      </w:r>
      <w:r>
        <w:t xml:space="preserve"> </w:t>
      </w:r>
      <w:r>
        <w:rPr>
          <w:b/>
          <w:bCs/>
        </w:rPr>
        <w:t xml:space="preserve">Practice</w:t>
      </w:r>
      <w:r>
        <w:t xml:space="preserve"> </w:t>
      </w:r>
      <w:r>
        <w:t xml:space="preserve">extracting fungal DNA,</w:t>
      </w:r>
    </w:p>
    <w:p>
      <w:pPr>
        <w:pStyle w:val="Compact"/>
        <w:numPr>
          <w:ilvl w:val="0"/>
          <w:numId w:val="1001"/>
        </w:numPr>
      </w:pPr>
      <w:r>
        <w:rPr>
          <w:b/>
          <w:bCs/>
        </w:rPr>
        <w:t xml:space="preserve">CO4</w:t>
      </w:r>
      <w:r>
        <w:t xml:space="preserve">:</w:t>
      </w:r>
      <w:r>
        <w:t xml:space="preserve"> </w:t>
      </w:r>
      <w:r>
        <w:rPr>
          <w:b/>
          <w:bCs/>
        </w:rPr>
        <w:t xml:space="preserve">Describe</w:t>
      </w:r>
      <w:r>
        <w:t xml:space="preserve"> </w:t>
      </w:r>
      <w:r>
        <w:t xml:space="preserve">the process to PCR amplify fungal ITS,</w:t>
      </w:r>
    </w:p>
    <w:p>
      <w:pPr>
        <w:pStyle w:val="Compact"/>
        <w:numPr>
          <w:ilvl w:val="0"/>
          <w:numId w:val="1001"/>
        </w:numPr>
      </w:pPr>
      <w:r>
        <w:rPr>
          <w:b/>
          <w:bCs/>
        </w:rPr>
        <w:t xml:space="preserve">CO5</w:t>
      </w:r>
      <w:r>
        <w:t xml:space="preserve">:</w:t>
      </w:r>
      <w:r>
        <w:t xml:space="preserve"> </w:t>
      </w:r>
      <w:r>
        <w:rPr>
          <w:b/>
          <w:bCs/>
        </w:rPr>
        <w:t xml:space="preserve">Formulate</w:t>
      </w:r>
      <w:r>
        <w:t xml:space="preserve"> </w:t>
      </w:r>
      <w:r>
        <w:t xml:space="preserve">meaningful and testable scientific questions/hypotheses,</w:t>
      </w:r>
    </w:p>
    <w:p>
      <w:pPr>
        <w:pStyle w:val="Compact"/>
        <w:numPr>
          <w:ilvl w:val="0"/>
          <w:numId w:val="1001"/>
        </w:numPr>
      </w:pPr>
      <w:r>
        <w:rPr>
          <w:b/>
          <w:bCs/>
        </w:rPr>
        <w:t xml:space="preserve">CO6</w:t>
      </w:r>
      <w:r>
        <w:t xml:space="preserve">:</w:t>
      </w:r>
      <w:r>
        <w:t xml:space="preserve"> </w:t>
      </w:r>
      <w:r>
        <w:rPr>
          <w:b/>
          <w:bCs/>
        </w:rPr>
        <w:t xml:space="preserve">Collect</w:t>
      </w:r>
      <w:r>
        <w:t xml:space="preserve"> </w:t>
      </w:r>
      <w:r>
        <w:t xml:space="preserve">and critically</w:t>
      </w:r>
      <w:r>
        <w:t xml:space="preserve"> </w:t>
      </w:r>
      <w:r>
        <w:rPr>
          <w:b/>
          <w:bCs/>
        </w:rPr>
        <w:t xml:space="preserve">interpret</w:t>
      </w:r>
      <w:r>
        <w:t xml:space="preserve"> </w:t>
      </w:r>
      <w:r>
        <w:t xml:space="preserve">experimental data (including metadata),</w:t>
      </w:r>
    </w:p>
    <w:p>
      <w:pPr>
        <w:pStyle w:val="Compact"/>
        <w:numPr>
          <w:ilvl w:val="0"/>
          <w:numId w:val="1001"/>
        </w:numPr>
      </w:pPr>
      <w:r>
        <w:rPr>
          <w:b/>
          <w:bCs/>
        </w:rPr>
        <w:t xml:space="preserve">CO7</w:t>
      </w:r>
      <w:r>
        <w:t xml:space="preserve">:</w:t>
      </w:r>
      <w:r>
        <w:t xml:space="preserve"> </w:t>
      </w:r>
      <w:r>
        <w:rPr>
          <w:b/>
          <w:bCs/>
        </w:rPr>
        <w:t xml:space="preserve">Maintain</w:t>
      </w:r>
      <w:r>
        <w:t xml:space="preserve"> </w:t>
      </w:r>
      <w:r>
        <w:t xml:space="preserve">an appropriate laboratory notebook,</w:t>
      </w:r>
    </w:p>
    <w:p>
      <w:pPr>
        <w:pStyle w:val="Compact"/>
        <w:numPr>
          <w:ilvl w:val="0"/>
          <w:numId w:val="1001"/>
        </w:numPr>
      </w:pPr>
      <w:r>
        <w:rPr>
          <w:b/>
          <w:bCs/>
        </w:rPr>
        <w:t xml:space="preserve">CO8</w:t>
      </w:r>
      <w:r>
        <w:t xml:space="preserve">:</w:t>
      </w:r>
      <w:r>
        <w:t xml:space="preserve"> </w:t>
      </w:r>
      <w:r>
        <w:rPr>
          <w:b/>
          <w:bCs/>
        </w:rPr>
        <w:t xml:space="preserve">Summarize</w:t>
      </w:r>
      <w:r>
        <w:t xml:space="preserve"> </w:t>
      </w:r>
      <w:r>
        <w:t xml:space="preserve">their work and</w:t>
      </w:r>
      <w:r>
        <w:t xml:space="preserve"> </w:t>
      </w:r>
      <w:r>
        <w:rPr>
          <w:b/>
          <w:bCs/>
        </w:rPr>
        <w:t xml:space="preserve">describe</w:t>
      </w:r>
      <w:r>
        <w:t xml:space="preserve"> </w:t>
      </w:r>
      <w:r>
        <w:t xml:space="preserve">their findings in written and oral presentations.</w:t>
      </w:r>
    </w:p>
    <w:p>
      <w:pPr>
        <w:pStyle w:val="Compact"/>
        <w:numPr>
          <w:ilvl w:val="0"/>
          <w:numId w:val="1001"/>
        </w:numPr>
      </w:pPr>
      <w:r>
        <w:rPr>
          <w:b/>
          <w:bCs/>
        </w:rPr>
        <w:t xml:space="preserve">CO9</w:t>
      </w:r>
      <w:r>
        <w:t xml:space="preserve">:</w:t>
      </w:r>
      <w:r>
        <w:t xml:space="preserve"> </w:t>
      </w:r>
      <w:r>
        <w:rPr>
          <w:b/>
          <w:bCs/>
        </w:rPr>
        <w:t xml:space="preserve">Apply</w:t>
      </w:r>
      <w:r>
        <w:t xml:space="preserve"> </w:t>
      </w:r>
      <w:r>
        <w:t xml:space="preserve">evidence-based strategies to improve scientific collaboration and teamwork skills.</w:t>
      </w:r>
    </w:p>
    <w:p>
      <w:pPr>
        <w:pStyle w:val="Compact"/>
        <w:numPr>
          <w:ilvl w:val="0"/>
          <w:numId w:val="1001"/>
        </w:numPr>
      </w:pPr>
      <w:r>
        <w:rPr>
          <w:b/>
          <w:bCs/>
        </w:rPr>
        <w:t xml:space="preserve">CO10</w:t>
      </w:r>
      <w:r>
        <w:t xml:space="preserve">:</w:t>
      </w:r>
      <w:r>
        <w:t xml:space="preserve"> </w:t>
      </w:r>
      <w:r>
        <w:rPr>
          <w:b/>
          <w:bCs/>
        </w:rPr>
        <w:t xml:space="preserve">Reflect</w:t>
      </w:r>
      <w:r>
        <w:t xml:space="preserve"> </w:t>
      </w:r>
      <w:r>
        <w:t xml:space="preserve">on your development as a scientist and team member through structured prompts and reflections.</w:t>
      </w:r>
    </w:p>
    <w:bookmarkEnd w:id="11"/>
    <w:bookmarkStart w:id="23" w:name="module-slides"/>
    <w:p>
      <w:pPr>
        <w:pStyle w:val="Heading2"/>
      </w:pPr>
      <w:r>
        <w:t xml:space="preserve">Module Slides</w:t>
      </w:r>
    </w:p>
    <w:p>
      <w:pPr>
        <w:pStyle w:val="FirstParagraph"/>
      </w:pPr>
      <w:r>
        <w:t xml:space="preserve">The links below open the RevealJS slide decks for each module. Please note the slides can be advanced using the arrow keys on your keyboard, and you can also use the menu in the bottom right corner to navigate between slides. The slide decks are designed to be used in conjunction with the corresponding module content in this book, so feel free to refer back to them as needed while working through the modules.</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13" name="Picture"/>
                  <a:graphic>
                    <a:graphicData uri="http://schemas.openxmlformats.org/drawingml/2006/picture">
                      <pic:pic>
                        <pic:nvPicPr>
                          <pic:cNvPr descr="/opt/quarto/share/formats/docx/tip.png" id="14" name="Picture"/>
                          <pic:cNvPicPr>
                            <a:picLocks noChangeArrowheads="1" noChangeAspect="1"/>
                          </pic:cNvPicPr>
                        </pic:nvPicPr>
                        <pic:blipFill>
                          <a:blip r:embed="rId1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Tip</w:t>
            </w:r>
          </w:p>
        </w:tc>
      </w:tr>
      <w:tr>
        <w:trPr>
          <w:cantSplit/>
        </w:trPr>
        <w:tc>
          <w:tcPr>
            <w:tcMar>
              <w:top w:w="108" w:type="dxa"/>
              <w:bottom w:w="108" w:type="dxa"/>
            </w:tcMar>
          </w:tcPr>
          <w:p>
            <w:pPr>
              <w:pStyle w:val="BodyText"/>
            </w:pPr>
            <w:pPr>
              <w:spacing w:before="16"/>
            </w:pPr>
            <w:r>
              <w:t xml:space="preserve">Links to RevealJS slide decks for each module are listed below.</w:t>
            </w:r>
          </w:p>
          <w:p>
            <w:pPr>
              <w:pStyle w:val="Compact"/>
              <w:numPr>
                <w:ilvl w:val="0"/>
                <w:numId w:val="1002"/>
              </w:numPr>
            </w:pPr>
            <w:hyperlink r:id="rId15">
              <w:r>
                <w:rPr>
                  <w:rStyle w:val="Hyperlink"/>
                </w:rPr>
                <w:t xml:space="preserve">Open Module 0 RevealJS Slides</w:t>
              </w:r>
            </w:hyperlink>
          </w:p>
          <w:p>
            <w:pPr>
              <w:pStyle w:val="Compact"/>
              <w:numPr>
                <w:ilvl w:val="0"/>
                <w:numId w:val="1002"/>
              </w:numPr>
            </w:pPr>
            <w:hyperlink r:id="rId16">
              <w:r>
                <w:rPr>
                  <w:rStyle w:val="Hyperlink"/>
                </w:rPr>
                <w:t xml:space="preserve">Open Module 1 RevealJS Slides</w:t>
              </w:r>
            </w:hyperlink>
          </w:p>
          <w:p>
            <w:pPr>
              <w:pStyle w:val="Compact"/>
              <w:numPr>
                <w:ilvl w:val="0"/>
                <w:numId w:val="1002"/>
              </w:numPr>
            </w:pPr>
            <w:hyperlink r:id="rId17">
              <w:r>
                <w:rPr>
                  <w:rStyle w:val="Hyperlink"/>
                </w:rPr>
                <w:t xml:space="preserve">Open Module 2 RevealJS Slides</w:t>
              </w:r>
            </w:hyperlink>
          </w:p>
          <w:p>
            <w:pPr>
              <w:pStyle w:val="Compact"/>
              <w:numPr>
                <w:ilvl w:val="0"/>
                <w:numId w:val="1002"/>
              </w:numPr>
            </w:pPr>
            <w:hyperlink r:id="rId18">
              <w:r>
                <w:rPr>
                  <w:rStyle w:val="Hyperlink"/>
                </w:rPr>
                <w:t xml:space="preserve">Open Module 3 RevealJS Slides</w:t>
              </w:r>
            </w:hyperlink>
          </w:p>
          <w:p>
            <w:pPr>
              <w:pStyle w:val="Compact"/>
              <w:numPr>
                <w:ilvl w:val="0"/>
                <w:numId w:val="1002"/>
              </w:numPr>
            </w:pPr>
            <w:hyperlink r:id="rId19">
              <w:r>
                <w:rPr>
                  <w:rStyle w:val="Hyperlink"/>
                </w:rPr>
                <w:t xml:space="preserve">Open Module 4 RevealJS Slides</w:t>
              </w:r>
            </w:hyperlink>
          </w:p>
          <w:p>
            <w:pPr>
              <w:pStyle w:val="Compact"/>
              <w:numPr>
                <w:ilvl w:val="0"/>
                <w:numId w:val="1002"/>
              </w:numPr>
            </w:pPr>
            <w:hyperlink r:id="rId20">
              <w:r>
                <w:rPr>
                  <w:rStyle w:val="Hyperlink"/>
                </w:rPr>
                <w:t xml:space="preserve">Open Module 5 RevealJS Slides</w:t>
              </w:r>
            </w:hyperlink>
          </w:p>
          <w:p>
            <w:pPr>
              <w:pStyle w:val="Compact"/>
              <w:numPr>
                <w:ilvl w:val="0"/>
                <w:numId w:val="1002"/>
              </w:numPr>
            </w:pPr>
            <w:hyperlink r:id="rId21">
              <w:r>
                <w:rPr>
                  <w:rStyle w:val="Hyperlink"/>
                </w:rPr>
                <w:t xml:space="preserve">Open Module 6 RevealJS Slides</w:t>
              </w:r>
            </w:hyperlink>
          </w:p>
          <w:p>
            <w:pPr>
              <w:pStyle w:val="Compact"/>
              <w:numPr>
                <w:ilvl w:val="0"/>
                <w:numId w:val="1002"/>
              </w:numPr>
            </w:pPr>
            <w:hyperlink r:id="rId22">
              <w:r>
                <w:rPr>
                  <w:rStyle w:val="Hyperlink"/>
                </w:rPr>
                <w:t xml:space="preserve">Open Module 7 RevealJS Slides</w:t>
              </w:r>
            </w:hyperlink>
          </w:p>
          <w:p/>
        </w:tc>
      </w:tr>
    </w:tbl>
    <w:bookmarkEnd w:id="23"/>
    <w:bookmarkEnd w:id="24"/>
    <w:bookmarkStart w:id="25" w:name="introduction"/>
    <w:p>
      <w:pPr>
        <w:pStyle w:val="Heading1"/>
      </w:pPr>
      <w:r>
        <w:t xml:space="preserve">Introduction</w:t>
      </w:r>
    </w:p>
    <w:p>
      <w:pPr>
        <w:pStyle w:val="FirstParagraph"/>
      </w:pPr>
      <w:r>
        <w:t xml:space="preserve">The BSC 495 Workbook is a Quarto book created from the Myco-Ed Protocols Booklet by Honan et al. (2025)</w:t>
      </w:r>
      <w:r>
        <w:t xml:space="preserve"> </w:t>
      </w:r>
      <w:r>
        <w:t xml:space="preserve">(Honan et al. 2025)</w:t>
      </w:r>
      <w:r>
        <w:t xml:space="preserve"> </w:t>
      </w:r>
      <w:r>
        <w:t xml:space="preserve">and adapted for the</w:t>
      </w:r>
      <w:r>
        <w:t xml:space="preserve"> </w:t>
      </w:r>
      <w:r>
        <w:rPr>
          <w:b/>
          <w:bCs/>
        </w:rPr>
        <w:t xml:space="preserve">BSC 495</w:t>
      </w:r>
      <w:r>
        <w:rPr>
          <w:b/>
          <w:bCs/>
        </w:rPr>
        <w:t xml:space="preserve"> </w:t>
      </w:r>
      <w:r>
        <w:rPr>
          <w:b/>
          <w:bCs/>
          <w:i/>
          <w:iCs/>
        </w:rPr>
        <w:t xml:space="preserve">The Hidden World’s Code</w:t>
      </w:r>
      <w:r>
        <w:t xml:space="preserve">, a course developed for students at North Carolina State University. The course is designed to provide students with hands-on experience in fungal biology and genomics, and to empower them to contribute to the field of mycology through research and discovery.</w:t>
      </w:r>
    </w:p>
    <w:p>
      <w:pPr>
        <w:pStyle w:val="BodyText"/>
      </w:pPr>
      <w:r>
        <w:t xml:space="preserve">The Mycological Curriculum for Education and Discovery (Myco-Ed) is a Course-Based Undergraduate Research Experience (CURE) that consists of coordinated hands-on experiments across fungal biology teaching labs with the goals of:</w:t>
      </w:r>
    </w:p>
    <w:p>
      <w:pPr>
        <w:pStyle w:val="Compact"/>
        <w:numPr>
          <w:ilvl w:val="0"/>
          <w:numId w:val="1003"/>
        </w:numPr>
      </w:pPr>
      <w:r>
        <w:t xml:space="preserve">Training students and instructors in laboratory techniques and data analyses</w:t>
      </w:r>
    </w:p>
    <w:p>
      <w:pPr>
        <w:pStyle w:val="Compact"/>
        <w:numPr>
          <w:ilvl w:val="0"/>
          <w:numId w:val="1003"/>
        </w:numPr>
      </w:pPr>
      <w:r>
        <w:t xml:space="preserve">Compiling original data for improving fungal genomic resources</w:t>
      </w:r>
    </w:p>
    <w:p>
      <w:pPr>
        <w:pStyle w:val="Compact"/>
        <w:numPr>
          <w:ilvl w:val="0"/>
          <w:numId w:val="1003"/>
        </w:numPr>
      </w:pPr>
      <w:r>
        <w:t xml:space="preserve">Empowering students through isolation and genome sequencing of new fungal species</w:t>
      </w:r>
    </w:p>
    <w:p>
      <w:pPr>
        <w:pStyle w:val="FirstParagraph"/>
      </w:pPr>
      <w:r>
        <w:t xml:space="preserve">The content is organized into</w:t>
      </w:r>
      <w:r>
        <w:t xml:space="preserve"> </w:t>
      </w:r>
      <w:r>
        <w:rPr>
          <w:b/>
          <w:bCs/>
        </w:rPr>
        <w:t xml:space="preserve">modules</w:t>
      </w:r>
      <w:r>
        <w:t xml:space="preserve">, each addressing a specific topic related to mycology and education. This workbook is designed to provide information and resources for educators, students, and anyone interested in learning about fungi and their role in the environment.</w:t>
      </w:r>
    </w:p>
    <w:bookmarkEnd w:id="25"/>
    <w:bookmarkStart w:id="45" w:name="Xe1adfe0dbe0fd7da8caab0dded5a990a311f7c3"/>
    <w:p>
      <w:pPr>
        <w:pStyle w:val="Heading1"/>
      </w:pPr>
      <w:r>
        <w:t xml:space="preserve">Module 0: Getting Started and Data Management</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26" name="Picture"/>
                  <a:graphic>
                    <a:graphicData uri="http://schemas.openxmlformats.org/drawingml/2006/picture">
                      <pic:pic>
                        <pic:nvPicPr>
                          <pic:cNvPr descr="/opt/quarto/share/formats/docx/tip.png" id="27" name="Picture"/>
                          <pic:cNvPicPr>
                            <a:picLocks noChangeArrowheads="1" noChangeAspect="1"/>
                          </pic:cNvPicPr>
                        </pic:nvPicPr>
                        <pic:blipFill>
                          <a:blip r:embed="rId1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 Open Slides</w:t>
            </w:r>
          </w:p>
        </w:tc>
      </w:tr>
      <w:tr>
        <w:trPr>
          <w:cantSplit/>
        </w:trPr>
        <w:tc>
          <w:tcPr>
            <w:tcMar>
              <w:top w:w="108" w:type="dxa"/>
              <w:bottom w:w="108" w:type="dxa"/>
            </w:tcMar>
          </w:tcPr>
          <w:p>
            <w:pPr>
              <w:pStyle w:val="BodyText"/>
            </w:pPr>
            <w:pPr>
              <w:spacing w:before="16" w:after="16"/>
            </w:pPr>
            <w:hyperlink r:id="rId15">
              <w:r>
                <w:rPr>
                  <w:rStyle w:val="Hyperlink"/>
                </w:rPr>
                <w:t xml:space="preserve">Open Module 0 Slides</w:t>
              </w:r>
            </w:hyperlink>
          </w:p>
          <w:p/>
        </w:tc>
      </w:tr>
    </w:tbl>
    <w:bookmarkStart w:id="32" w:name="X854485e3e75ebd41e9a51cfdeb9c6827d1373c6"/>
    <w:p>
      <w:pPr>
        <w:pStyle w:val="Heading2"/>
      </w:pPr>
      <w:r>
        <w:t xml:space="preserve">Module 0.1 – Lab Materials and Equipment Overview</w:t>
      </w:r>
    </w:p>
    <w:p>
      <w:pPr>
        <w:pStyle w:val="FirstParagraph"/>
      </w:pPr>
      <w:r>
        <w:t xml:space="preserve">This table lists all materials and equipment required across Myco-Ed modules. The table is organized by module and includes the type of item, a description, and company/catalog information when available.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9" name="Picture"/>
                  <a:graphic>
                    <a:graphicData uri="http://schemas.openxmlformats.org/drawingml/2006/picture">
                      <pic:pic>
                        <pic:nvPicPr>
                          <pic:cNvPr descr="/opt/quarto/share/formats/docx/note.png" id="30" name="Picture"/>
                          <pic:cNvPicPr>
                            <a:picLocks noChangeArrowheads="1" noChangeAspect="1"/>
                          </pic:cNvPicPr>
                        </pic:nvPicPr>
                        <pic:blipFill>
                          <a:blip r:embed="rId2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Download Table</w:t>
            </w:r>
          </w:p>
        </w:tc>
      </w:tr>
      <w:tr>
        <w:trPr>
          <w:cantSplit/>
        </w:trPr>
        <w:tc>
          <w:tcPr>
            <w:tcMar>
              <w:top w:w="108" w:type="dxa"/>
              <w:bottom w:w="108" w:type="dxa"/>
            </w:tcMar>
          </w:tcPr>
          <w:p>
            <w:pPr>
              <w:pStyle w:val="BodyText"/>
            </w:pPr>
            <w:pPr>
              <w:spacing w:before="16" w:after="16"/>
            </w:pPr>
            <w:hyperlink r:id="rId31">
              <w:r>
                <w:rPr>
                  <w:rStyle w:val="Hyperlink"/>
                </w:rPr>
                <w:t xml:space="preserve">Download Materials Table (CSV)</w:t>
              </w:r>
            </w:hyperlink>
          </w:p>
          <w:p/>
        </w:tc>
      </w:tr>
    </w:tbl>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Module</w:t>
            </w:r>
          </w:p>
        </w:tc>
        <w:tc>
          <w:tcPr/>
          <w:p>
            <w:pPr>
              <w:pStyle w:val="Compact"/>
            </w:pPr>
            <w:r>
              <w:t xml:space="preserve">Type</w:t>
            </w:r>
          </w:p>
        </w:tc>
        <w:tc>
          <w:tcPr/>
          <w:p>
            <w:pPr>
              <w:pStyle w:val="Compact"/>
            </w:pPr>
            <w:r>
              <w:t xml:space="preserve">Item</w:t>
            </w:r>
          </w:p>
        </w:tc>
        <w:tc>
          <w:tcPr/>
          <w:p>
            <w:pPr>
              <w:pStyle w:val="Compact"/>
            </w:pPr>
            <w:r>
              <w:t xml:space="preserve">Description</w:t>
            </w:r>
          </w:p>
        </w:tc>
        <w:tc>
          <w:tcPr/>
          <w:p>
            <w:pPr>
              <w:pStyle w:val="Compact"/>
            </w:pPr>
            <w:r>
              <w:t xml:space="preserve">Company</w:t>
            </w:r>
          </w:p>
        </w:tc>
        <w:tc>
          <w:tcPr/>
          <w:p>
            <w:pPr>
              <w:pStyle w:val="Compact"/>
            </w:pPr>
            <w:r>
              <w:t xml:space="preserve">Catalog</w:t>
            </w:r>
          </w:p>
        </w:tc>
      </w:tr>
      <w:tr>
        <w:tc>
          <w:tcPr/>
          <w:p>
            <w:pPr>
              <w:pStyle w:val="Compact"/>
            </w:pPr>
            <w:r>
              <w:t xml:space="preserve">Module 1 – Fungal Sampling &amp; Culturing</w:t>
            </w:r>
          </w:p>
        </w:tc>
        <w:tc>
          <w:tcPr/>
          <w:p>
            <w:pPr>
              <w:pStyle w:val="Compact"/>
            </w:pPr>
            <w:r>
              <w:t xml:space="preserve">Supply</w:t>
            </w:r>
          </w:p>
        </w:tc>
        <w:tc>
          <w:tcPr/>
          <w:p>
            <w:pPr>
              <w:pStyle w:val="Compact"/>
            </w:pPr>
            <w:r>
              <w:t xml:space="preserve">100x15 mm Petri dishes</w:t>
            </w:r>
          </w:p>
        </w:tc>
        <w:tc>
          <w:tcPr/>
          <w:p>
            <w:pPr>
              <w:pStyle w:val="Compact"/>
            </w:pPr>
            <w:r>
              <w:t xml:space="preserve">Petri dishes for fungal culturing</w:t>
            </w:r>
          </w:p>
        </w:tc>
        <w:tc>
          <w:tcPr/>
          <w:p>
            <w:pPr>
              <w:pStyle w:val="Compact"/>
            </w:pPr>
          </w:p>
        </w:tc>
        <w:tc>
          <w:tcPr/>
          <w:p>
            <w:pPr>
              <w:pStyle w:val="Compact"/>
            </w:pPr>
          </w:p>
        </w:tc>
      </w:tr>
      <w:tr>
        <w:tc>
          <w:tcPr/>
          <w:p>
            <w:pPr>
              <w:pStyle w:val="Compact"/>
            </w:pPr>
            <w:r>
              <w:t xml:space="preserve">Module 1 – Fungal Sampling &amp; Culturing</w:t>
            </w:r>
          </w:p>
        </w:tc>
        <w:tc>
          <w:tcPr/>
          <w:p>
            <w:pPr>
              <w:pStyle w:val="Compact"/>
            </w:pPr>
            <w:r>
              <w:t xml:space="preserve">Reagent</w:t>
            </w:r>
          </w:p>
        </w:tc>
        <w:tc>
          <w:tcPr/>
          <w:p>
            <w:pPr>
              <w:pStyle w:val="Compact"/>
            </w:pPr>
            <w:r>
              <w:t xml:space="preserve">Bacteriological agar</w:t>
            </w:r>
          </w:p>
        </w:tc>
        <w:tc>
          <w:tcPr/>
          <w:p>
            <w:pPr>
              <w:pStyle w:val="Compact"/>
            </w:pPr>
            <w:r>
              <w:t xml:space="preserve">Agar base for culture media</w:t>
            </w:r>
          </w:p>
        </w:tc>
        <w:tc>
          <w:tcPr/>
          <w:p>
            <w:pPr>
              <w:pStyle w:val="Compact"/>
            </w:pPr>
            <w:r>
              <w:t xml:space="preserve">Difco/BD</w:t>
            </w:r>
          </w:p>
        </w:tc>
        <w:tc>
          <w:tcPr/>
          <w:p>
            <w:pPr>
              <w:pStyle w:val="Compact"/>
            </w:pPr>
          </w:p>
        </w:tc>
      </w:tr>
      <w:tr>
        <w:tc>
          <w:tcPr/>
          <w:p>
            <w:pPr>
              <w:pStyle w:val="Compact"/>
            </w:pPr>
            <w:r>
              <w:t xml:space="preserve">Module 1 – Fungal Sampling &amp; Culturing</w:t>
            </w:r>
          </w:p>
        </w:tc>
        <w:tc>
          <w:tcPr/>
          <w:p>
            <w:pPr>
              <w:pStyle w:val="Compact"/>
            </w:pPr>
            <w:r>
              <w:t xml:space="preserve">Equipment</w:t>
            </w:r>
          </w:p>
        </w:tc>
        <w:tc>
          <w:tcPr/>
          <w:p>
            <w:pPr>
              <w:pStyle w:val="Compact"/>
            </w:pPr>
            <w:r>
              <w:t xml:space="preserve">Autoclave</w:t>
            </w:r>
          </w:p>
        </w:tc>
        <w:tc>
          <w:tcPr/>
          <w:p>
            <w:pPr>
              <w:pStyle w:val="Compact"/>
            </w:pPr>
            <w:r>
              <w:t xml:space="preserve">Sterilization of media and equipment</w:t>
            </w:r>
          </w:p>
        </w:tc>
        <w:tc>
          <w:tcPr/>
          <w:p>
            <w:pPr>
              <w:pStyle w:val="Compact"/>
            </w:pPr>
          </w:p>
        </w:tc>
        <w:tc>
          <w:tcPr/>
          <w:p>
            <w:pPr>
              <w:pStyle w:val="Compact"/>
            </w:pPr>
          </w:p>
        </w:tc>
      </w:tr>
      <w:tr>
        <w:tc>
          <w:tcPr/>
          <w:p>
            <w:pPr>
              <w:pStyle w:val="Compact"/>
            </w:pPr>
            <w:r>
              <w:t xml:space="preserve">Module 1 – Fungal Sampling &amp; Culturing</w:t>
            </w:r>
          </w:p>
        </w:tc>
        <w:tc>
          <w:tcPr/>
          <w:p>
            <w:pPr>
              <w:pStyle w:val="Compact"/>
            </w:pPr>
            <w:r>
              <w:t xml:space="preserve">Equipment</w:t>
            </w:r>
          </w:p>
        </w:tc>
        <w:tc>
          <w:tcPr/>
          <w:p>
            <w:pPr>
              <w:pStyle w:val="Compact"/>
            </w:pPr>
            <w:r>
              <w:t xml:space="preserve">Laminar flow hood</w:t>
            </w:r>
          </w:p>
        </w:tc>
        <w:tc>
          <w:tcPr/>
          <w:p>
            <w:pPr>
              <w:pStyle w:val="Compact"/>
            </w:pPr>
            <w:r>
              <w:t xml:space="preserve">Sterile work environment (optional if unavailable)</w:t>
            </w:r>
          </w:p>
        </w:tc>
        <w:tc>
          <w:tcPr/>
          <w:p>
            <w:pPr>
              <w:pStyle w:val="Compact"/>
            </w:pPr>
          </w:p>
        </w:tc>
        <w:tc>
          <w:tcPr/>
          <w:p>
            <w:pPr>
              <w:pStyle w:val="Compact"/>
            </w:pPr>
          </w:p>
        </w:tc>
      </w:tr>
      <w:tr>
        <w:tc>
          <w:tcPr/>
          <w:p>
            <w:pPr>
              <w:pStyle w:val="Compact"/>
            </w:pPr>
            <w:r>
              <w:t xml:space="preserve">Module 1 – Fungal Sampling &amp; Culturing</w:t>
            </w:r>
          </w:p>
        </w:tc>
        <w:tc>
          <w:tcPr/>
          <w:p>
            <w:pPr>
              <w:pStyle w:val="Compact"/>
            </w:pPr>
            <w:r>
              <w:t xml:space="preserve">Supply</w:t>
            </w:r>
          </w:p>
        </w:tc>
        <w:tc>
          <w:tcPr/>
          <w:p>
            <w:pPr>
              <w:pStyle w:val="Compact"/>
            </w:pPr>
            <w:r>
              <w:t xml:space="preserve">Forceps</w:t>
            </w:r>
          </w:p>
        </w:tc>
        <w:tc>
          <w:tcPr/>
          <w:p>
            <w:pPr>
              <w:pStyle w:val="Compact"/>
            </w:pPr>
            <w:r>
              <w:t xml:space="preserve">Sample manipulation</w:t>
            </w:r>
          </w:p>
        </w:tc>
        <w:tc>
          <w:tcPr/>
          <w:p>
            <w:pPr>
              <w:pStyle w:val="Compact"/>
            </w:pPr>
          </w:p>
        </w:tc>
        <w:tc>
          <w:tcPr/>
          <w:p>
            <w:pPr>
              <w:pStyle w:val="Compact"/>
            </w:pPr>
          </w:p>
        </w:tc>
      </w:tr>
      <w:tr>
        <w:tc>
          <w:tcPr/>
          <w:p>
            <w:pPr>
              <w:pStyle w:val="Compact"/>
            </w:pPr>
            <w:r>
              <w:t xml:space="preserve">Module 1 – Fungal Sampling &amp; Culturing</w:t>
            </w:r>
          </w:p>
        </w:tc>
        <w:tc>
          <w:tcPr/>
          <w:p>
            <w:pPr>
              <w:pStyle w:val="Compact"/>
            </w:pPr>
            <w:r>
              <w:t xml:space="preserve">Supply</w:t>
            </w:r>
          </w:p>
        </w:tc>
        <w:tc>
          <w:tcPr/>
          <w:p>
            <w:pPr>
              <w:pStyle w:val="Compact"/>
            </w:pPr>
            <w:r>
              <w:t xml:space="preserve">Scalpels / hole punch</w:t>
            </w:r>
          </w:p>
        </w:tc>
        <w:tc>
          <w:tcPr/>
          <w:p>
            <w:pPr>
              <w:pStyle w:val="Compact"/>
            </w:pPr>
            <w:r>
              <w:t xml:space="preserve">Cutting leaf tissue</w:t>
            </w:r>
          </w:p>
        </w:tc>
        <w:tc>
          <w:tcPr/>
          <w:p>
            <w:pPr>
              <w:pStyle w:val="Compact"/>
            </w:pPr>
          </w:p>
        </w:tc>
        <w:tc>
          <w:tcPr/>
          <w:p>
            <w:pPr>
              <w:pStyle w:val="Compact"/>
            </w:pPr>
          </w:p>
        </w:tc>
      </w:tr>
      <w:tr>
        <w:tc>
          <w:tcPr/>
          <w:p>
            <w:pPr>
              <w:pStyle w:val="Compact"/>
            </w:pPr>
            <w:r>
              <w:t xml:space="preserve">Module 1 – Fungal Sampling &amp; Culturing</w:t>
            </w:r>
          </w:p>
        </w:tc>
        <w:tc>
          <w:tcPr/>
          <w:p>
            <w:pPr>
              <w:pStyle w:val="Compact"/>
            </w:pPr>
            <w:r>
              <w:t xml:space="preserve">Supply</w:t>
            </w:r>
          </w:p>
        </w:tc>
        <w:tc>
          <w:tcPr/>
          <w:p>
            <w:pPr>
              <w:pStyle w:val="Compact"/>
            </w:pPr>
            <w:r>
              <w:t xml:space="preserve">Parafilm</w:t>
            </w:r>
          </w:p>
        </w:tc>
        <w:tc>
          <w:tcPr/>
          <w:p>
            <w:pPr>
              <w:pStyle w:val="Compact"/>
            </w:pPr>
            <w:r>
              <w:t xml:space="preserve">Sealing Petri plates</w:t>
            </w:r>
          </w:p>
        </w:tc>
        <w:tc>
          <w:tcPr/>
          <w:p>
            <w:pPr>
              <w:pStyle w:val="Compact"/>
            </w:pPr>
            <w:r>
              <w:t xml:space="preserve">Bemis</w:t>
            </w:r>
          </w:p>
        </w:tc>
        <w:tc>
          <w:tcPr/>
          <w:p>
            <w:pPr>
              <w:pStyle w:val="Compact"/>
            </w:pPr>
          </w:p>
        </w:tc>
      </w:tr>
      <w:tr>
        <w:tc>
          <w:tcPr/>
          <w:p>
            <w:pPr>
              <w:pStyle w:val="Compact"/>
            </w:pPr>
            <w:r>
              <w:t xml:space="preserve">Module 1 – Fungal Sampling &amp; Culturing</w:t>
            </w:r>
          </w:p>
        </w:tc>
        <w:tc>
          <w:tcPr/>
          <w:p>
            <w:pPr>
              <w:pStyle w:val="Compact"/>
            </w:pPr>
            <w:r>
              <w:t xml:space="preserve">Reagent</w:t>
            </w:r>
          </w:p>
        </w:tc>
        <w:tc>
          <w:tcPr/>
          <w:p>
            <w:pPr>
              <w:pStyle w:val="Compact"/>
            </w:pPr>
            <w:r>
              <w:t xml:space="preserve">10% bleach</w:t>
            </w:r>
          </w:p>
        </w:tc>
        <w:tc>
          <w:tcPr/>
          <w:p>
            <w:pPr>
              <w:pStyle w:val="Compact"/>
            </w:pPr>
            <w:r>
              <w:t xml:space="preserve">Surface sterilization solution</w:t>
            </w:r>
          </w:p>
        </w:tc>
        <w:tc>
          <w:tcPr/>
          <w:p>
            <w:pPr>
              <w:pStyle w:val="Compact"/>
            </w:pPr>
          </w:p>
        </w:tc>
        <w:tc>
          <w:tcPr/>
          <w:p>
            <w:pPr>
              <w:pStyle w:val="Compact"/>
            </w:pPr>
          </w:p>
        </w:tc>
      </w:tr>
      <w:tr>
        <w:tc>
          <w:tcPr/>
          <w:p>
            <w:pPr>
              <w:pStyle w:val="Compact"/>
            </w:pPr>
            <w:r>
              <w:t xml:space="preserve">Module 1 – Fungal Sampling &amp; Culturing</w:t>
            </w:r>
          </w:p>
        </w:tc>
        <w:tc>
          <w:tcPr/>
          <w:p>
            <w:pPr>
              <w:pStyle w:val="Compact"/>
            </w:pPr>
            <w:r>
              <w:t xml:space="preserve">Reagent</w:t>
            </w:r>
          </w:p>
        </w:tc>
        <w:tc>
          <w:tcPr/>
          <w:p>
            <w:pPr>
              <w:pStyle w:val="Compact"/>
            </w:pPr>
            <w:r>
              <w:t xml:space="preserve">70% ethanol</w:t>
            </w:r>
          </w:p>
        </w:tc>
        <w:tc>
          <w:tcPr/>
          <w:p>
            <w:pPr>
              <w:pStyle w:val="Compact"/>
            </w:pPr>
            <w:r>
              <w:t xml:space="preserve">Surface sterilization</w:t>
            </w:r>
          </w:p>
        </w:tc>
        <w:tc>
          <w:tcPr/>
          <w:p>
            <w:pPr>
              <w:pStyle w:val="Compact"/>
            </w:pPr>
          </w:p>
        </w:tc>
        <w:tc>
          <w:tcPr/>
          <w:p>
            <w:pPr>
              <w:pStyle w:val="Compact"/>
            </w:pPr>
          </w:p>
        </w:tc>
      </w:tr>
      <w:tr>
        <w:tc>
          <w:tcPr/>
          <w:p>
            <w:pPr>
              <w:pStyle w:val="Compact"/>
            </w:pPr>
            <w:r>
              <w:t xml:space="preserve">Module 2 – Fungal Isolation</w:t>
            </w:r>
          </w:p>
        </w:tc>
        <w:tc>
          <w:tcPr/>
          <w:p>
            <w:pPr>
              <w:pStyle w:val="Compact"/>
            </w:pPr>
            <w:r>
              <w:t xml:space="preserve">Supply</w:t>
            </w:r>
          </w:p>
        </w:tc>
        <w:tc>
          <w:tcPr/>
          <w:p>
            <w:pPr>
              <w:pStyle w:val="Compact"/>
            </w:pPr>
            <w:r>
              <w:t xml:space="preserve">60x15 mm Petri dishes</w:t>
            </w:r>
          </w:p>
        </w:tc>
        <w:tc>
          <w:tcPr/>
          <w:p>
            <w:pPr>
              <w:pStyle w:val="Compact"/>
            </w:pPr>
            <w:r>
              <w:t xml:space="preserve">Dishes for fungal isolation transfers</w:t>
            </w:r>
          </w:p>
        </w:tc>
        <w:tc>
          <w:tcPr/>
          <w:p>
            <w:pPr>
              <w:pStyle w:val="Compact"/>
            </w:pPr>
          </w:p>
        </w:tc>
        <w:tc>
          <w:tcPr/>
          <w:p>
            <w:pPr>
              <w:pStyle w:val="Compact"/>
            </w:pPr>
          </w:p>
        </w:tc>
      </w:tr>
      <w:tr>
        <w:tc>
          <w:tcPr/>
          <w:p>
            <w:pPr>
              <w:pStyle w:val="Compact"/>
            </w:pPr>
            <w:r>
              <w:t xml:space="preserve">Module 2 – Fungal Isolation</w:t>
            </w:r>
          </w:p>
        </w:tc>
        <w:tc>
          <w:tcPr/>
          <w:p>
            <w:pPr>
              <w:pStyle w:val="Compact"/>
            </w:pPr>
            <w:r>
              <w:t xml:space="preserve">Reagent</w:t>
            </w:r>
          </w:p>
        </w:tc>
        <w:tc>
          <w:tcPr/>
          <w:p>
            <w:pPr>
              <w:pStyle w:val="Compact"/>
            </w:pPr>
            <w:r>
              <w:t xml:space="preserve">Potato Dextrose Agar (PDA)</w:t>
            </w:r>
          </w:p>
        </w:tc>
        <w:tc>
          <w:tcPr/>
          <w:p>
            <w:pPr>
              <w:pStyle w:val="Compact"/>
            </w:pPr>
            <w:r>
              <w:t xml:space="preserve">Selective culture medium for fungi</w:t>
            </w:r>
          </w:p>
        </w:tc>
        <w:tc>
          <w:tcPr/>
          <w:p>
            <w:pPr>
              <w:pStyle w:val="Compact"/>
            </w:pPr>
          </w:p>
        </w:tc>
        <w:tc>
          <w:tcPr/>
          <w:p>
            <w:pPr>
              <w:pStyle w:val="Compact"/>
            </w:pPr>
          </w:p>
        </w:tc>
      </w:tr>
      <w:tr>
        <w:tc>
          <w:tcPr/>
          <w:p>
            <w:pPr>
              <w:pStyle w:val="Compact"/>
            </w:pPr>
            <w:r>
              <w:t xml:space="preserve">Module 2 – Fungal Isolation</w:t>
            </w:r>
          </w:p>
        </w:tc>
        <w:tc>
          <w:tcPr/>
          <w:p>
            <w:pPr>
              <w:pStyle w:val="Compact"/>
            </w:pPr>
            <w:r>
              <w:t xml:space="preserve">Equipment</w:t>
            </w:r>
          </w:p>
        </w:tc>
        <w:tc>
          <w:tcPr/>
          <w:p>
            <w:pPr>
              <w:pStyle w:val="Compact"/>
            </w:pPr>
            <w:r>
              <w:t xml:space="preserve">Autoclave</w:t>
            </w:r>
          </w:p>
        </w:tc>
        <w:tc>
          <w:tcPr/>
          <w:p>
            <w:pPr>
              <w:pStyle w:val="Compact"/>
            </w:pPr>
            <w:r>
              <w:t xml:space="preserve">Sterilization of media and equipment</w:t>
            </w:r>
          </w:p>
        </w:tc>
        <w:tc>
          <w:tcPr/>
          <w:p>
            <w:pPr>
              <w:pStyle w:val="Compact"/>
            </w:pPr>
          </w:p>
        </w:tc>
        <w:tc>
          <w:tcPr/>
          <w:p>
            <w:pPr>
              <w:pStyle w:val="Compact"/>
            </w:pPr>
          </w:p>
        </w:tc>
      </w:tr>
      <w:tr>
        <w:tc>
          <w:tcPr/>
          <w:p>
            <w:pPr>
              <w:pStyle w:val="Compact"/>
            </w:pPr>
            <w:r>
              <w:t xml:space="preserve">Module 2 – Fungal Isolation</w:t>
            </w:r>
          </w:p>
        </w:tc>
        <w:tc>
          <w:tcPr/>
          <w:p>
            <w:pPr>
              <w:pStyle w:val="Compact"/>
            </w:pPr>
            <w:r>
              <w:t xml:space="preserve">Supply</w:t>
            </w:r>
          </w:p>
        </w:tc>
        <w:tc>
          <w:tcPr/>
          <w:p>
            <w:pPr>
              <w:pStyle w:val="Compact"/>
            </w:pPr>
            <w:r>
              <w:t xml:space="preserve">Sharpie/lab marker</w:t>
            </w:r>
          </w:p>
        </w:tc>
        <w:tc>
          <w:tcPr/>
          <w:p>
            <w:pPr>
              <w:pStyle w:val="Compact"/>
            </w:pPr>
            <w:r>
              <w:t xml:space="preserve">Plate labeling</w:t>
            </w:r>
          </w:p>
        </w:tc>
        <w:tc>
          <w:tcPr/>
          <w:p>
            <w:pPr>
              <w:pStyle w:val="Compact"/>
            </w:pPr>
          </w:p>
        </w:tc>
        <w:tc>
          <w:tcPr/>
          <w:p>
            <w:pPr>
              <w:pStyle w:val="Compact"/>
            </w:pPr>
          </w:p>
        </w:tc>
      </w:tr>
      <w:tr>
        <w:tc>
          <w:tcPr/>
          <w:p>
            <w:pPr>
              <w:pStyle w:val="Compact"/>
            </w:pPr>
            <w:r>
              <w:t xml:space="preserve">Module 2 – Fungal Isolation</w:t>
            </w:r>
          </w:p>
        </w:tc>
        <w:tc>
          <w:tcPr/>
          <w:p>
            <w:pPr>
              <w:pStyle w:val="Compact"/>
            </w:pPr>
            <w:r>
              <w:t xml:space="preserve">Reagent</w:t>
            </w:r>
          </w:p>
        </w:tc>
        <w:tc>
          <w:tcPr/>
          <w:p>
            <w:pPr>
              <w:pStyle w:val="Compact"/>
            </w:pPr>
            <w:r>
              <w:t xml:space="preserve">70% ethanol</w:t>
            </w:r>
          </w:p>
        </w:tc>
        <w:tc>
          <w:tcPr/>
          <w:p>
            <w:pPr>
              <w:pStyle w:val="Compact"/>
            </w:pPr>
            <w:r>
              <w:t xml:space="preserve">Surface sterilization</w:t>
            </w:r>
          </w:p>
        </w:tc>
        <w:tc>
          <w:tcPr/>
          <w:p>
            <w:pPr>
              <w:pStyle w:val="Compact"/>
            </w:pPr>
          </w:p>
        </w:tc>
        <w:tc>
          <w:tcPr/>
          <w:p>
            <w:pPr>
              <w:pStyle w:val="Compact"/>
            </w:pPr>
          </w:p>
        </w:tc>
      </w:tr>
      <w:tr>
        <w:tc>
          <w:tcPr/>
          <w:p>
            <w:pPr>
              <w:pStyle w:val="Compact"/>
            </w:pPr>
            <w:r>
              <w:t xml:space="preserve">Module 3 – Phenotypic Assays</w:t>
            </w:r>
          </w:p>
        </w:tc>
        <w:tc>
          <w:tcPr/>
          <w:p>
            <w:pPr>
              <w:pStyle w:val="Compact"/>
            </w:pPr>
            <w:r>
              <w:t xml:space="preserve">Reagent</w:t>
            </w:r>
          </w:p>
        </w:tc>
        <w:tc>
          <w:tcPr/>
          <w:p>
            <w:pPr>
              <w:pStyle w:val="Compact"/>
            </w:pPr>
            <w:r>
              <w:t xml:space="preserve">Potato Dextrose Agar (PDA)</w:t>
            </w:r>
          </w:p>
        </w:tc>
        <w:tc>
          <w:tcPr/>
          <w:p>
            <w:pPr>
              <w:pStyle w:val="Compact"/>
            </w:pPr>
            <w:r>
              <w:t xml:space="preserve">Base medium for Zn and temperature assays</w:t>
            </w:r>
          </w:p>
        </w:tc>
        <w:tc>
          <w:tcPr/>
          <w:p>
            <w:pPr>
              <w:pStyle w:val="Compact"/>
            </w:pPr>
          </w:p>
        </w:tc>
        <w:tc>
          <w:tcPr/>
          <w:p>
            <w:pPr>
              <w:pStyle w:val="Compact"/>
            </w:pPr>
          </w:p>
        </w:tc>
      </w:tr>
      <w:tr>
        <w:tc>
          <w:tcPr/>
          <w:p>
            <w:pPr>
              <w:pStyle w:val="Compact"/>
            </w:pPr>
            <w:r>
              <w:t xml:space="preserve">Module 3 – Phenotypic Assays</w:t>
            </w:r>
          </w:p>
        </w:tc>
        <w:tc>
          <w:tcPr/>
          <w:p>
            <w:pPr>
              <w:pStyle w:val="Compact"/>
            </w:pPr>
            <w:r>
              <w:t xml:space="preserve">Reagent</w:t>
            </w:r>
          </w:p>
        </w:tc>
        <w:tc>
          <w:tcPr/>
          <w:p>
            <w:pPr>
              <w:pStyle w:val="Compact"/>
            </w:pPr>
            <w:r>
              <w:t xml:space="preserve">Streptomycin (50 mg/mL)</w:t>
            </w:r>
          </w:p>
        </w:tc>
        <w:tc>
          <w:tcPr/>
          <w:p>
            <w:pPr>
              <w:pStyle w:val="Compact"/>
            </w:pPr>
            <w:r>
              <w:t xml:space="preserve">Optional additive to reduce bacterial contamination</w:t>
            </w:r>
          </w:p>
        </w:tc>
        <w:tc>
          <w:tcPr/>
          <w:p>
            <w:pPr>
              <w:pStyle w:val="Compact"/>
            </w:pPr>
          </w:p>
        </w:tc>
        <w:tc>
          <w:tcPr/>
          <w:p>
            <w:pPr>
              <w:pStyle w:val="Compact"/>
            </w:pPr>
          </w:p>
        </w:tc>
      </w:tr>
      <w:tr>
        <w:tc>
          <w:tcPr/>
          <w:p>
            <w:pPr>
              <w:pStyle w:val="Compact"/>
            </w:pPr>
            <w:r>
              <w:t xml:space="preserve">Module 3 – Phenotypic Assays</w:t>
            </w:r>
          </w:p>
        </w:tc>
        <w:tc>
          <w:tcPr/>
          <w:p>
            <w:pPr>
              <w:pStyle w:val="Compact"/>
            </w:pPr>
            <w:r>
              <w:t xml:space="preserve">Reagent</w:t>
            </w:r>
          </w:p>
        </w:tc>
        <w:tc>
          <w:tcPr/>
          <w:p>
            <w:pPr>
              <w:pStyle w:val="Compact"/>
            </w:pPr>
            <w:r>
              <w:t xml:space="preserve">Zinc sulfate</w:t>
            </w:r>
          </w:p>
        </w:tc>
        <w:tc>
          <w:tcPr/>
          <w:p>
            <w:pPr>
              <w:pStyle w:val="Compact"/>
            </w:pPr>
            <w:r>
              <w:t xml:space="preserve">Zn stress assay treatment concentrations (0, 1, 10 mM)</w:t>
            </w:r>
          </w:p>
        </w:tc>
        <w:tc>
          <w:tcPr/>
          <w:p>
            <w:pPr>
              <w:pStyle w:val="Compact"/>
            </w:pPr>
          </w:p>
        </w:tc>
        <w:tc>
          <w:tcPr/>
          <w:p>
            <w:pPr>
              <w:pStyle w:val="Compact"/>
            </w:pPr>
          </w:p>
        </w:tc>
      </w:tr>
      <w:tr>
        <w:tc>
          <w:tcPr/>
          <w:p>
            <w:pPr>
              <w:pStyle w:val="Compact"/>
            </w:pPr>
            <w:r>
              <w:t xml:space="preserve">Module 3 – Phenotypic Assays</w:t>
            </w:r>
          </w:p>
        </w:tc>
        <w:tc>
          <w:tcPr/>
          <w:p>
            <w:pPr>
              <w:pStyle w:val="Compact"/>
            </w:pPr>
            <w:r>
              <w:t xml:space="preserve">Supply</w:t>
            </w:r>
          </w:p>
        </w:tc>
        <w:tc>
          <w:tcPr/>
          <w:p>
            <w:pPr>
              <w:pStyle w:val="Compact"/>
            </w:pPr>
            <w:r>
              <w:t xml:space="preserve">Cellophane discs</w:t>
            </w:r>
          </w:p>
        </w:tc>
        <w:tc>
          <w:tcPr/>
          <w:p>
            <w:pPr>
              <w:pStyle w:val="Compact"/>
            </w:pPr>
            <w:r>
              <w:t xml:space="preserve">Rinsed and autoclaved discs for tissue growth workflows</w:t>
            </w:r>
          </w:p>
        </w:tc>
        <w:tc>
          <w:tcPr/>
          <w:p>
            <w:pPr>
              <w:pStyle w:val="Compact"/>
            </w:pPr>
          </w:p>
        </w:tc>
        <w:tc>
          <w:tcPr/>
          <w:p>
            <w:pPr>
              <w:pStyle w:val="Compact"/>
            </w:pPr>
          </w:p>
        </w:tc>
      </w:tr>
      <w:tr>
        <w:tc>
          <w:tcPr/>
          <w:p>
            <w:pPr>
              <w:pStyle w:val="Compact"/>
            </w:pPr>
            <w:r>
              <w:t xml:space="preserve">Module 3 – Phenotypic Assays</w:t>
            </w:r>
          </w:p>
        </w:tc>
        <w:tc>
          <w:tcPr/>
          <w:p>
            <w:pPr>
              <w:pStyle w:val="Compact"/>
            </w:pPr>
            <w:r>
              <w:t xml:space="preserve">Equipment</w:t>
            </w:r>
          </w:p>
        </w:tc>
        <w:tc>
          <w:tcPr/>
          <w:p>
            <w:pPr>
              <w:pStyle w:val="Compact"/>
            </w:pPr>
            <w:r>
              <w:t xml:space="preserve">Incubators (4 °C, ~20 °C, 28 °C)</w:t>
            </w:r>
          </w:p>
        </w:tc>
        <w:tc>
          <w:tcPr/>
          <w:p>
            <w:pPr>
              <w:pStyle w:val="Compact"/>
            </w:pPr>
            <w:r>
              <w:t xml:space="preserve">Controlled temperature conditions for growth assays</w:t>
            </w:r>
          </w:p>
        </w:tc>
        <w:tc>
          <w:tcPr/>
          <w:p>
            <w:pPr>
              <w:pStyle w:val="Compact"/>
            </w:pPr>
          </w:p>
        </w:tc>
        <w:tc>
          <w:tcPr/>
          <w:p>
            <w:pPr>
              <w:pStyle w:val="Compact"/>
            </w:pPr>
          </w:p>
        </w:tc>
      </w:tr>
      <w:tr>
        <w:tc>
          <w:tcPr/>
          <w:p>
            <w:pPr>
              <w:pStyle w:val="Compact"/>
            </w:pPr>
            <w:r>
              <w:t xml:space="preserve">Module 3 – Phenotypic Assays</w:t>
            </w:r>
          </w:p>
        </w:tc>
        <w:tc>
          <w:tcPr/>
          <w:p>
            <w:pPr>
              <w:pStyle w:val="Compact"/>
            </w:pPr>
            <w:r>
              <w:t xml:space="preserve">Reagent</w:t>
            </w:r>
          </w:p>
        </w:tc>
        <w:tc>
          <w:tcPr/>
          <w:p>
            <w:pPr>
              <w:pStyle w:val="Compact"/>
            </w:pPr>
            <w:r>
              <w:t xml:space="preserve">BlueMount fungal stain (Lactophenol Cotton Blue with PVA)</w:t>
            </w:r>
          </w:p>
        </w:tc>
        <w:tc>
          <w:tcPr/>
          <w:p>
            <w:pPr>
              <w:pStyle w:val="Compact"/>
            </w:pPr>
            <w:r>
              <w:t xml:space="preserve">Microscopy stain for fungal structures</w:t>
            </w:r>
          </w:p>
        </w:tc>
        <w:tc>
          <w:tcPr/>
          <w:p>
            <w:pPr>
              <w:pStyle w:val="Compact"/>
            </w:pPr>
            <w:r>
              <w:t xml:space="preserve">Hardy Diagnostics</w:t>
            </w:r>
          </w:p>
        </w:tc>
        <w:tc>
          <w:tcPr/>
          <w:p>
            <w:pPr>
              <w:pStyle w:val="Compact"/>
            </w:pPr>
            <w:r>
              <w:t xml:space="preserve">Z137</w:t>
            </w:r>
          </w:p>
        </w:tc>
      </w:tr>
      <w:tr>
        <w:tc>
          <w:tcPr/>
          <w:p>
            <w:pPr>
              <w:pStyle w:val="Compact"/>
            </w:pPr>
            <w:r>
              <w:t xml:space="preserve">Module 3 – Phenotypic Assays</w:t>
            </w:r>
          </w:p>
        </w:tc>
        <w:tc>
          <w:tcPr/>
          <w:p>
            <w:pPr>
              <w:pStyle w:val="Compact"/>
            </w:pPr>
            <w:r>
              <w:t xml:space="preserve">Equipment</w:t>
            </w:r>
          </w:p>
        </w:tc>
        <w:tc>
          <w:tcPr/>
          <w:p>
            <w:pPr>
              <w:pStyle w:val="Compact"/>
            </w:pPr>
            <w:r>
              <w:t xml:space="preserve">Compound microscope</w:t>
            </w:r>
          </w:p>
        </w:tc>
        <w:tc>
          <w:tcPr/>
          <w:p>
            <w:pPr>
              <w:pStyle w:val="Compact"/>
            </w:pPr>
            <w:r>
              <w:t xml:space="preserve">Microscopy for fungal morphology documentation</w:t>
            </w:r>
          </w:p>
        </w:tc>
        <w:tc>
          <w:tcPr/>
          <w:p>
            <w:pPr>
              <w:pStyle w:val="Compact"/>
            </w:pPr>
          </w:p>
        </w:tc>
        <w:tc>
          <w:tcPr/>
          <w:p>
            <w:pPr>
              <w:pStyle w:val="Compact"/>
            </w:pPr>
          </w:p>
        </w:tc>
      </w:tr>
      <w:tr>
        <w:tc>
          <w:tcPr/>
          <w:p>
            <w:pPr>
              <w:pStyle w:val="Compact"/>
            </w:pPr>
            <w:r>
              <w:t xml:space="preserve">Module 3 – Phenotypic Assays</w:t>
            </w:r>
          </w:p>
        </w:tc>
        <w:tc>
          <w:tcPr/>
          <w:p>
            <w:pPr>
              <w:pStyle w:val="Compact"/>
            </w:pPr>
            <w:r>
              <w:t xml:space="preserve">Method</w:t>
            </w:r>
          </w:p>
        </w:tc>
        <w:tc>
          <w:tcPr/>
          <w:p>
            <w:pPr>
              <w:pStyle w:val="Compact"/>
            </w:pPr>
            <w:r>
              <w:t xml:space="preserve">Zn stress assay</w:t>
            </w:r>
          </w:p>
        </w:tc>
        <w:tc>
          <w:tcPr/>
          <w:p>
            <w:pPr>
              <w:pStyle w:val="Compact"/>
            </w:pPr>
            <w:r>
              <w:t xml:space="preserve">Measure growth response on PDA with 0, 1, and 10 mM Zn</w:t>
            </w:r>
          </w:p>
        </w:tc>
        <w:tc>
          <w:tcPr/>
          <w:p>
            <w:pPr>
              <w:pStyle w:val="Compact"/>
            </w:pPr>
          </w:p>
        </w:tc>
        <w:tc>
          <w:tcPr/>
          <w:p>
            <w:pPr>
              <w:pStyle w:val="Compact"/>
            </w:pPr>
          </w:p>
        </w:tc>
      </w:tr>
      <w:tr>
        <w:tc>
          <w:tcPr/>
          <w:p>
            <w:pPr>
              <w:pStyle w:val="Compact"/>
            </w:pPr>
            <w:r>
              <w:t xml:space="preserve">Module 3 – Phenotypic Assays</w:t>
            </w:r>
          </w:p>
        </w:tc>
        <w:tc>
          <w:tcPr/>
          <w:p>
            <w:pPr>
              <w:pStyle w:val="Compact"/>
            </w:pPr>
            <w:r>
              <w:t xml:space="preserve">Method</w:t>
            </w:r>
          </w:p>
        </w:tc>
        <w:tc>
          <w:tcPr/>
          <w:p>
            <w:pPr>
              <w:pStyle w:val="Compact"/>
            </w:pPr>
            <w:r>
              <w:t xml:space="preserve">Fungal microscopy assay</w:t>
            </w:r>
          </w:p>
        </w:tc>
        <w:tc>
          <w:tcPr/>
          <w:p>
            <w:pPr>
              <w:pStyle w:val="Compact"/>
            </w:pPr>
            <w:r>
              <w:t xml:space="preserve">Stain and observe fungal structures for morphology</w:t>
            </w:r>
          </w:p>
        </w:tc>
        <w:tc>
          <w:tcPr/>
          <w:p>
            <w:pPr>
              <w:pStyle w:val="Compact"/>
            </w:pPr>
          </w:p>
        </w:tc>
        <w:tc>
          <w:tcPr/>
          <w:p>
            <w:pPr>
              <w:pStyle w:val="Compact"/>
            </w:pPr>
          </w:p>
        </w:tc>
      </w:tr>
      <w:tr>
        <w:tc>
          <w:tcPr/>
          <w:p>
            <w:pPr>
              <w:pStyle w:val="Compact"/>
            </w:pPr>
            <w:r>
              <w:t xml:space="preserve">Module 3 – Phenotypic Assays</w:t>
            </w:r>
          </w:p>
        </w:tc>
        <w:tc>
          <w:tcPr/>
          <w:p>
            <w:pPr>
              <w:pStyle w:val="Compact"/>
            </w:pPr>
            <w:r>
              <w:t xml:space="preserve">Method</w:t>
            </w:r>
          </w:p>
        </w:tc>
        <w:tc>
          <w:tcPr/>
          <w:p>
            <w:pPr>
              <w:pStyle w:val="Compact"/>
            </w:pPr>
            <w:r>
              <w:t xml:space="preserve">Temperature growth assay</w:t>
            </w:r>
          </w:p>
        </w:tc>
        <w:tc>
          <w:tcPr/>
          <w:p>
            <w:pPr>
              <w:pStyle w:val="Compact"/>
            </w:pPr>
            <w:r>
              <w:t xml:space="preserve">Compare growth at 4 °C, room temperature, and 28 °C</w:t>
            </w:r>
          </w:p>
        </w:tc>
        <w:tc>
          <w:tcPr/>
          <w:p>
            <w:pPr>
              <w:pStyle w:val="Compact"/>
            </w:pPr>
          </w:p>
        </w:tc>
        <w:tc>
          <w:tcPr/>
          <w:p>
            <w:pPr>
              <w:pStyle w:val="Compact"/>
            </w:pPr>
          </w:p>
        </w:tc>
      </w:tr>
      <w:tr>
        <w:tc>
          <w:tcPr/>
          <w:p>
            <w:pPr>
              <w:pStyle w:val="Compact"/>
            </w:pPr>
            <w:r>
              <w:t xml:space="preserve">Module 4 – DNA Sequencing</w:t>
            </w:r>
          </w:p>
        </w:tc>
        <w:tc>
          <w:tcPr/>
          <w:p>
            <w:pPr>
              <w:pStyle w:val="Compact"/>
            </w:pPr>
            <w:r>
              <w:t xml:space="preserve">Equipment</w:t>
            </w:r>
          </w:p>
        </w:tc>
        <w:tc>
          <w:tcPr/>
          <w:p>
            <w:pPr>
              <w:pStyle w:val="Compact"/>
            </w:pPr>
            <w:r>
              <w:t xml:space="preserve">Thermal cycler</w:t>
            </w:r>
          </w:p>
        </w:tc>
        <w:tc>
          <w:tcPr/>
          <w:p>
            <w:pPr>
              <w:pStyle w:val="Compact"/>
            </w:pPr>
            <w:r>
              <w:t xml:space="preserve">PCR amplification</w:t>
            </w:r>
          </w:p>
        </w:tc>
        <w:tc>
          <w:tcPr/>
          <w:p>
            <w:pPr>
              <w:pStyle w:val="Compact"/>
            </w:pPr>
          </w:p>
        </w:tc>
        <w:tc>
          <w:tcPr/>
          <w:p>
            <w:pPr>
              <w:pStyle w:val="Compact"/>
            </w:pPr>
          </w:p>
        </w:tc>
      </w:tr>
      <w:tr>
        <w:tc>
          <w:tcPr/>
          <w:p>
            <w:pPr>
              <w:pStyle w:val="Compact"/>
            </w:pPr>
            <w:r>
              <w:t xml:space="preserve">Module 4 – DNA Sequencing</w:t>
            </w:r>
          </w:p>
        </w:tc>
        <w:tc>
          <w:tcPr/>
          <w:p>
            <w:pPr>
              <w:pStyle w:val="Compact"/>
            </w:pPr>
            <w:r>
              <w:t xml:space="preserve">Equipment</w:t>
            </w:r>
          </w:p>
        </w:tc>
        <w:tc>
          <w:tcPr/>
          <w:p>
            <w:pPr>
              <w:pStyle w:val="Compact"/>
            </w:pPr>
            <w:r>
              <w:t xml:space="preserve">Vortex</w:t>
            </w:r>
          </w:p>
        </w:tc>
        <w:tc>
          <w:tcPr/>
          <w:p>
            <w:pPr>
              <w:pStyle w:val="Compact"/>
            </w:pPr>
            <w:r>
              <w:t xml:space="preserve">Sample mixing</w:t>
            </w:r>
          </w:p>
        </w:tc>
        <w:tc>
          <w:tcPr/>
          <w:p>
            <w:pPr>
              <w:pStyle w:val="Compact"/>
            </w:pPr>
          </w:p>
        </w:tc>
        <w:tc>
          <w:tcPr/>
          <w:p>
            <w:pPr>
              <w:pStyle w:val="Compact"/>
            </w:pPr>
          </w:p>
        </w:tc>
      </w:tr>
      <w:tr>
        <w:tc>
          <w:tcPr/>
          <w:p>
            <w:pPr>
              <w:pStyle w:val="Compact"/>
            </w:pPr>
            <w:r>
              <w:t xml:space="preserve">Module 4 – DNA Sequencing</w:t>
            </w:r>
          </w:p>
        </w:tc>
        <w:tc>
          <w:tcPr/>
          <w:p>
            <w:pPr>
              <w:pStyle w:val="Compact"/>
            </w:pPr>
            <w:r>
              <w:t xml:space="preserve">Equipment</w:t>
            </w:r>
          </w:p>
        </w:tc>
        <w:tc>
          <w:tcPr/>
          <w:p>
            <w:pPr>
              <w:pStyle w:val="Compact"/>
            </w:pPr>
            <w:r>
              <w:t xml:space="preserve">Centrifuge</w:t>
            </w:r>
          </w:p>
        </w:tc>
        <w:tc>
          <w:tcPr/>
          <w:p>
            <w:pPr>
              <w:pStyle w:val="Compact"/>
            </w:pPr>
            <w:r>
              <w:t xml:space="preserve">PCR and microfuge tube centrifugation</w:t>
            </w:r>
          </w:p>
        </w:tc>
        <w:tc>
          <w:tcPr/>
          <w:p>
            <w:pPr>
              <w:pStyle w:val="Compact"/>
            </w:pPr>
          </w:p>
        </w:tc>
        <w:tc>
          <w:tcPr/>
          <w:p>
            <w:pPr>
              <w:pStyle w:val="Compact"/>
            </w:pPr>
          </w:p>
        </w:tc>
      </w:tr>
      <w:tr>
        <w:tc>
          <w:tcPr/>
          <w:p>
            <w:pPr>
              <w:pStyle w:val="Compact"/>
            </w:pPr>
            <w:r>
              <w:t xml:space="preserve">Module 4 – DNA Sequencing</w:t>
            </w:r>
          </w:p>
        </w:tc>
        <w:tc>
          <w:tcPr/>
          <w:p>
            <w:pPr>
              <w:pStyle w:val="Compact"/>
            </w:pPr>
            <w:r>
              <w:t xml:space="preserve">Supply</w:t>
            </w:r>
          </w:p>
        </w:tc>
        <w:tc>
          <w:tcPr/>
          <w:p>
            <w:pPr>
              <w:pStyle w:val="Compact"/>
            </w:pPr>
            <w:r>
              <w:t xml:space="preserve">0.2 mL PCR tubes</w:t>
            </w:r>
          </w:p>
        </w:tc>
        <w:tc>
          <w:tcPr/>
          <w:p>
            <w:pPr>
              <w:pStyle w:val="Compact"/>
            </w:pPr>
            <w:r>
              <w:t xml:space="preserve">PCR reactions</w:t>
            </w:r>
          </w:p>
        </w:tc>
        <w:tc>
          <w:tcPr/>
          <w:p>
            <w:pPr>
              <w:pStyle w:val="Compact"/>
            </w:pPr>
          </w:p>
        </w:tc>
        <w:tc>
          <w:tcPr/>
          <w:p>
            <w:pPr>
              <w:pStyle w:val="Compact"/>
            </w:pPr>
          </w:p>
        </w:tc>
      </w:tr>
      <w:tr>
        <w:tc>
          <w:tcPr/>
          <w:p>
            <w:pPr>
              <w:pStyle w:val="Compact"/>
            </w:pPr>
            <w:r>
              <w:t xml:space="preserve">Module 4 – DNA Sequencing</w:t>
            </w:r>
          </w:p>
        </w:tc>
        <w:tc>
          <w:tcPr/>
          <w:p>
            <w:pPr>
              <w:pStyle w:val="Compact"/>
            </w:pPr>
            <w:r>
              <w:t xml:space="preserve">Supply</w:t>
            </w:r>
          </w:p>
        </w:tc>
        <w:tc>
          <w:tcPr/>
          <w:p>
            <w:pPr>
              <w:pStyle w:val="Compact"/>
            </w:pPr>
            <w:r>
              <w:t xml:space="preserve">DNA LoBind microcentrifuge tubes</w:t>
            </w:r>
          </w:p>
        </w:tc>
        <w:tc>
          <w:tcPr/>
          <w:p>
            <w:pPr>
              <w:pStyle w:val="Compact"/>
            </w:pPr>
            <w:r>
              <w:t xml:space="preserve">Low-bind tubes to minimize DNA adsorption</w:t>
            </w:r>
          </w:p>
        </w:tc>
        <w:tc>
          <w:tcPr/>
          <w:p>
            <w:pPr>
              <w:pStyle w:val="Compact"/>
            </w:pPr>
            <w:r>
              <w:t xml:space="preserve">Eppendorf</w:t>
            </w:r>
          </w:p>
        </w:tc>
        <w:tc>
          <w:tcPr/>
          <w:p>
            <w:pPr>
              <w:pStyle w:val="Compact"/>
            </w:pPr>
          </w:p>
        </w:tc>
      </w:tr>
      <w:tr>
        <w:tc>
          <w:tcPr/>
          <w:p>
            <w:pPr>
              <w:pStyle w:val="Compact"/>
            </w:pPr>
            <w:r>
              <w:t xml:space="preserve">Module 4 – DNA Sequencing</w:t>
            </w:r>
          </w:p>
        </w:tc>
        <w:tc>
          <w:tcPr/>
          <w:p>
            <w:pPr>
              <w:pStyle w:val="Compact"/>
            </w:pPr>
            <w:r>
              <w:t xml:space="preserve">Reagent</w:t>
            </w:r>
          </w:p>
        </w:tc>
        <w:tc>
          <w:tcPr/>
          <w:p>
            <w:pPr>
              <w:pStyle w:val="Compact"/>
            </w:pPr>
            <w:r>
              <w:t xml:space="preserve">Monarch Spin gDNA Extraction Kit</w:t>
            </w:r>
          </w:p>
        </w:tc>
        <w:tc>
          <w:tcPr/>
          <w:p>
            <w:pPr>
              <w:pStyle w:val="Compact"/>
            </w:pPr>
            <w:r>
              <w:t xml:space="preserve">Spin-column genomic DNA extraction</w:t>
            </w:r>
          </w:p>
        </w:tc>
        <w:tc>
          <w:tcPr/>
          <w:p>
            <w:pPr>
              <w:pStyle w:val="Compact"/>
            </w:pPr>
            <w:r>
              <w:t xml:space="preserve">New England BioLabs</w:t>
            </w:r>
          </w:p>
        </w:tc>
        <w:tc>
          <w:tcPr/>
          <w:p>
            <w:pPr>
              <w:pStyle w:val="Compact"/>
            </w:pPr>
            <w:r>
              <w:t xml:space="preserve">T3010S</w:t>
            </w:r>
          </w:p>
        </w:tc>
      </w:tr>
      <w:tr>
        <w:tc>
          <w:tcPr/>
          <w:p>
            <w:pPr>
              <w:pStyle w:val="Compact"/>
            </w:pPr>
            <w:r>
              <w:t xml:space="preserve">Module 4 – DNA Sequencing</w:t>
            </w:r>
          </w:p>
        </w:tc>
        <w:tc>
          <w:tcPr/>
          <w:p>
            <w:pPr>
              <w:pStyle w:val="Compact"/>
            </w:pPr>
            <w:r>
              <w:t xml:space="preserve">Reagent</w:t>
            </w:r>
          </w:p>
        </w:tc>
        <w:tc>
          <w:tcPr/>
          <w:p>
            <w:pPr>
              <w:pStyle w:val="Compact"/>
            </w:pPr>
            <w:r>
              <w:t xml:space="preserve">MetaPolyzyme (DNA free)</w:t>
            </w:r>
          </w:p>
        </w:tc>
        <w:tc>
          <w:tcPr/>
          <w:p>
            <w:pPr>
              <w:pStyle w:val="Compact"/>
            </w:pPr>
            <w:r>
              <w:t xml:space="preserve">Fungal cell wall digestion enzyme blend</w:t>
            </w:r>
          </w:p>
        </w:tc>
        <w:tc>
          <w:tcPr/>
          <w:p>
            <w:pPr>
              <w:pStyle w:val="Compact"/>
            </w:pPr>
            <w:r>
              <w:t xml:space="preserve">Millipore Sigma</w:t>
            </w:r>
          </w:p>
        </w:tc>
        <w:tc>
          <w:tcPr/>
          <w:p>
            <w:pPr>
              <w:pStyle w:val="Compact"/>
            </w:pPr>
            <w:r>
              <w:t xml:space="preserve">MAC4LDF-5X1VL</w:t>
            </w:r>
          </w:p>
        </w:tc>
      </w:tr>
      <w:tr>
        <w:tc>
          <w:tcPr/>
          <w:p>
            <w:pPr>
              <w:pStyle w:val="Compact"/>
            </w:pPr>
            <w:r>
              <w:t xml:space="preserve">Module 4 – DNA Sequencing</w:t>
            </w:r>
          </w:p>
        </w:tc>
        <w:tc>
          <w:tcPr/>
          <w:p>
            <w:pPr>
              <w:pStyle w:val="Compact"/>
            </w:pPr>
            <w:r>
              <w:t xml:space="preserve">Reagent</w:t>
            </w:r>
          </w:p>
        </w:tc>
        <w:tc>
          <w:tcPr/>
          <w:p>
            <w:pPr>
              <w:pStyle w:val="Compact"/>
            </w:pPr>
            <w:r>
              <w:t xml:space="preserve">CTAB solution (100 mL)</w:t>
            </w:r>
          </w:p>
        </w:tc>
        <w:tc>
          <w:tcPr/>
          <w:p>
            <w:pPr>
              <w:pStyle w:val="Compact"/>
            </w:pPr>
            <w:r>
              <w:t xml:space="preserve">Alternative DNA extraction reagent</w:t>
            </w:r>
          </w:p>
        </w:tc>
        <w:tc>
          <w:tcPr/>
          <w:p>
            <w:pPr>
              <w:pStyle w:val="Compact"/>
            </w:pPr>
            <w:r>
              <w:t xml:space="preserve">Promega</w:t>
            </w:r>
          </w:p>
        </w:tc>
        <w:tc>
          <w:tcPr/>
          <w:p>
            <w:pPr>
              <w:pStyle w:val="Compact"/>
            </w:pPr>
            <w:r>
              <w:t xml:space="preserve">MC1411</w:t>
            </w:r>
          </w:p>
        </w:tc>
      </w:tr>
      <w:tr>
        <w:tc>
          <w:tcPr/>
          <w:p>
            <w:pPr>
              <w:pStyle w:val="Compact"/>
            </w:pPr>
            <w:r>
              <w:t xml:space="preserve">Module 4 – DNA Sequencing</w:t>
            </w:r>
          </w:p>
        </w:tc>
        <w:tc>
          <w:tcPr/>
          <w:p>
            <w:pPr>
              <w:pStyle w:val="Compact"/>
            </w:pPr>
            <w:r>
              <w:t xml:space="preserve">Reagent</w:t>
            </w:r>
          </w:p>
        </w:tc>
        <w:tc>
          <w:tcPr/>
          <w:p>
            <w:pPr>
              <w:pStyle w:val="Compact"/>
            </w:pPr>
            <w:r>
              <w:t xml:space="preserve">PCR primers (ITS1f, ITS4, 5.8SR, fITS7)</w:t>
            </w:r>
          </w:p>
        </w:tc>
        <w:tc>
          <w:tcPr/>
          <w:p>
            <w:pPr>
              <w:pStyle w:val="Compact"/>
            </w:pPr>
            <w:r>
              <w:t xml:space="preserve">Fungal ITS barcoding primers</w:t>
            </w:r>
          </w:p>
        </w:tc>
        <w:tc>
          <w:tcPr/>
          <w:p>
            <w:pPr>
              <w:pStyle w:val="Compact"/>
            </w:pPr>
            <w:r>
              <w:t xml:space="preserve">IDT or similar</w:t>
            </w:r>
          </w:p>
        </w:tc>
        <w:tc>
          <w:tcPr/>
          <w:p>
            <w:pPr>
              <w:pStyle w:val="Compact"/>
            </w:pPr>
          </w:p>
        </w:tc>
      </w:tr>
      <w:tr>
        <w:tc>
          <w:tcPr/>
          <w:p>
            <w:pPr>
              <w:pStyle w:val="Compact"/>
            </w:pPr>
            <w:r>
              <w:t xml:space="preserve">Module 4 – DNA Sequencing</w:t>
            </w:r>
          </w:p>
        </w:tc>
        <w:tc>
          <w:tcPr/>
          <w:p>
            <w:pPr>
              <w:pStyle w:val="Compact"/>
            </w:pPr>
            <w:r>
              <w:t xml:space="preserve">Reagent</w:t>
            </w:r>
          </w:p>
        </w:tc>
        <w:tc>
          <w:tcPr/>
          <w:p>
            <w:pPr>
              <w:pStyle w:val="Compact"/>
            </w:pPr>
            <w:r>
              <w:t xml:space="preserve">Q5 Hot Start High-Fidelity 2X Master Mix</w:t>
            </w:r>
          </w:p>
        </w:tc>
        <w:tc>
          <w:tcPr/>
          <w:p>
            <w:pPr>
              <w:pStyle w:val="Compact"/>
            </w:pPr>
            <w:r>
              <w:t xml:space="preserve">High-fidelity PCR master mix</w:t>
            </w:r>
          </w:p>
        </w:tc>
        <w:tc>
          <w:tcPr/>
          <w:p>
            <w:pPr>
              <w:pStyle w:val="Compact"/>
            </w:pPr>
            <w:r>
              <w:t xml:space="preserve">New England BioLabs</w:t>
            </w:r>
          </w:p>
        </w:tc>
        <w:tc>
          <w:tcPr/>
          <w:p>
            <w:pPr>
              <w:pStyle w:val="Compact"/>
            </w:pPr>
            <w:r>
              <w:t xml:space="preserve">M0494S</w:t>
            </w:r>
          </w:p>
        </w:tc>
      </w:tr>
      <w:tr>
        <w:tc>
          <w:tcPr/>
          <w:p>
            <w:pPr>
              <w:pStyle w:val="Compact"/>
            </w:pPr>
            <w:r>
              <w:t xml:space="preserve">Module 4 – DNA Sequencing</w:t>
            </w:r>
          </w:p>
        </w:tc>
        <w:tc>
          <w:tcPr/>
          <w:p>
            <w:pPr>
              <w:pStyle w:val="Compact"/>
            </w:pPr>
            <w:r>
              <w:t xml:space="preserve">Reagent</w:t>
            </w:r>
          </w:p>
        </w:tc>
        <w:tc>
          <w:tcPr/>
          <w:p>
            <w:pPr>
              <w:pStyle w:val="Compact"/>
            </w:pPr>
            <w:r>
              <w:t xml:space="preserve">PCR water</w:t>
            </w:r>
          </w:p>
        </w:tc>
        <w:tc>
          <w:tcPr/>
          <w:p>
            <w:pPr>
              <w:pStyle w:val="Compact"/>
            </w:pPr>
            <w:r>
              <w:t xml:space="preserve">Nuclease-free PCR water</w:t>
            </w:r>
          </w:p>
        </w:tc>
        <w:tc>
          <w:tcPr/>
          <w:p>
            <w:pPr>
              <w:pStyle w:val="Compact"/>
            </w:pPr>
            <w:r>
              <w:t xml:space="preserve">New England BioLabs</w:t>
            </w:r>
          </w:p>
        </w:tc>
        <w:tc>
          <w:tcPr/>
          <w:p>
            <w:pPr>
              <w:pStyle w:val="Compact"/>
            </w:pPr>
            <w:r>
              <w:t xml:space="preserve">B1500S</w:t>
            </w:r>
          </w:p>
        </w:tc>
      </w:tr>
      <w:tr>
        <w:tc>
          <w:tcPr/>
          <w:p>
            <w:pPr>
              <w:pStyle w:val="Compact"/>
            </w:pPr>
            <w:r>
              <w:t xml:space="preserve">Module 4 – DNA Sequencing</w:t>
            </w:r>
          </w:p>
        </w:tc>
        <w:tc>
          <w:tcPr/>
          <w:p>
            <w:pPr>
              <w:pStyle w:val="Compact"/>
            </w:pPr>
            <w:r>
              <w:t xml:space="preserve">Reagent</w:t>
            </w:r>
          </w:p>
        </w:tc>
        <w:tc>
          <w:tcPr/>
          <w:p>
            <w:pPr>
              <w:pStyle w:val="Compact"/>
            </w:pPr>
            <w:r>
              <w:t xml:space="preserve">Exo-CIP Rapid PCR Cleanup Kit</w:t>
            </w:r>
          </w:p>
        </w:tc>
        <w:tc>
          <w:tcPr/>
          <w:p>
            <w:pPr>
              <w:pStyle w:val="Compact"/>
            </w:pPr>
            <w:r>
              <w:t xml:space="preserve">PCR cleanup before sequencing</w:t>
            </w:r>
          </w:p>
        </w:tc>
        <w:tc>
          <w:tcPr/>
          <w:p>
            <w:pPr>
              <w:pStyle w:val="Compact"/>
            </w:pPr>
            <w:r>
              <w:t xml:space="preserve">New England BioLabs</w:t>
            </w:r>
          </w:p>
        </w:tc>
        <w:tc>
          <w:tcPr/>
          <w:p>
            <w:pPr>
              <w:pStyle w:val="Compact"/>
            </w:pPr>
            <w:r>
              <w:t xml:space="preserve">E1050S</w:t>
            </w:r>
          </w:p>
        </w:tc>
      </w:tr>
      <w:tr>
        <w:tc>
          <w:tcPr/>
          <w:p>
            <w:pPr>
              <w:pStyle w:val="Compact"/>
            </w:pPr>
            <w:r>
              <w:t xml:space="preserve">Module 4 – DNA Sequencing</w:t>
            </w:r>
          </w:p>
        </w:tc>
        <w:tc>
          <w:tcPr/>
          <w:p>
            <w:pPr>
              <w:pStyle w:val="Compact"/>
            </w:pPr>
            <w:r>
              <w:t xml:space="preserve">Equipment</w:t>
            </w:r>
          </w:p>
        </w:tc>
        <w:tc>
          <w:tcPr/>
          <w:p>
            <w:pPr>
              <w:pStyle w:val="Compact"/>
            </w:pPr>
            <w:r>
              <w:t xml:space="preserve">E-Gel system (1.2% agarose)</w:t>
            </w:r>
          </w:p>
        </w:tc>
        <w:tc>
          <w:tcPr/>
          <w:p>
            <w:pPr>
              <w:pStyle w:val="Compact"/>
            </w:pPr>
            <w:r>
              <w:t xml:space="preserve">Pre-cast gel electrophoresis system</w:t>
            </w:r>
          </w:p>
        </w:tc>
        <w:tc>
          <w:tcPr/>
          <w:p>
            <w:pPr>
              <w:pStyle w:val="Compact"/>
            </w:pPr>
            <w:r>
              <w:t xml:space="preserve">ThermoFisher</w:t>
            </w:r>
          </w:p>
        </w:tc>
        <w:tc>
          <w:tcPr/>
          <w:p>
            <w:pPr>
              <w:pStyle w:val="Compact"/>
            </w:pPr>
            <w:r>
              <w:t xml:space="preserve">G4010010</w:t>
            </w:r>
          </w:p>
        </w:tc>
      </w:tr>
      <w:tr>
        <w:tc>
          <w:tcPr/>
          <w:p>
            <w:pPr>
              <w:pStyle w:val="Compact"/>
            </w:pPr>
            <w:r>
              <w:t xml:space="preserve">Module 4 – DNA Sequencing</w:t>
            </w:r>
          </w:p>
        </w:tc>
        <w:tc>
          <w:tcPr/>
          <w:p>
            <w:pPr>
              <w:pStyle w:val="Compact"/>
            </w:pPr>
            <w:r>
              <w:t xml:space="preserve">Reagent</w:t>
            </w:r>
          </w:p>
        </w:tc>
        <w:tc>
          <w:tcPr/>
          <w:p>
            <w:pPr>
              <w:pStyle w:val="Compact"/>
            </w:pPr>
            <w:r>
              <w:t xml:space="preserve">E-Gel Sizing DNA Ladder</w:t>
            </w:r>
          </w:p>
        </w:tc>
        <w:tc>
          <w:tcPr/>
          <w:p>
            <w:pPr>
              <w:pStyle w:val="Compact"/>
            </w:pPr>
            <w:r>
              <w:t xml:space="preserve">DNA size standard</w:t>
            </w:r>
          </w:p>
        </w:tc>
        <w:tc>
          <w:tcPr/>
          <w:p>
            <w:pPr>
              <w:pStyle w:val="Compact"/>
            </w:pPr>
            <w:r>
              <w:t xml:space="preserve">ThermoFisher</w:t>
            </w:r>
          </w:p>
        </w:tc>
        <w:tc>
          <w:tcPr/>
          <w:p>
            <w:pPr>
              <w:pStyle w:val="Compact"/>
            </w:pPr>
            <w:r>
              <w:t xml:space="preserve">10488100</w:t>
            </w:r>
          </w:p>
        </w:tc>
      </w:tr>
      <w:tr>
        <w:tc>
          <w:tcPr/>
          <w:p>
            <w:pPr>
              <w:pStyle w:val="Compact"/>
            </w:pPr>
            <w:r>
              <w:t xml:space="preserve">Module 4 – DNA Sequencing</w:t>
            </w:r>
          </w:p>
        </w:tc>
        <w:tc>
          <w:tcPr/>
          <w:p>
            <w:pPr>
              <w:pStyle w:val="Compact"/>
            </w:pPr>
            <w:r>
              <w:t xml:space="preserve">Equipment</w:t>
            </w:r>
          </w:p>
        </w:tc>
        <w:tc>
          <w:tcPr/>
          <w:p>
            <w:pPr>
              <w:pStyle w:val="Compact"/>
            </w:pPr>
            <w:r>
              <w:t xml:space="preserve">Qubit + dsDNA HS assay</w:t>
            </w:r>
          </w:p>
        </w:tc>
        <w:tc>
          <w:tcPr/>
          <w:p>
            <w:pPr>
              <w:pStyle w:val="Compact"/>
            </w:pPr>
            <w:r>
              <w:t xml:space="preserve">Fluorometric DNA quantification</w:t>
            </w:r>
          </w:p>
        </w:tc>
        <w:tc>
          <w:tcPr/>
          <w:p>
            <w:pPr>
              <w:pStyle w:val="Compact"/>
            </w:pPr>
            <w:r>
              <w:t xml:space="preserve">ThermoFisher</w:t>
            </w:r>
          </w:p>
        </w:tc>
        <w:tc>
          <w:tcPr/>
          <w:p>
            <w:pPr>
              <w:pStyle w:val="Compact"/>
            </w:pPr>
            <w:r>
              <w:t xml:space="preserve">Q32851</w:t>
            </w:r>
          </w:p>
        </w:tc>
      </w:tr>
      <w:tr>
        <w:tc>
          <w:tcPr/>
          <w:p>
            <w:pPr>
              <w:pStyle w:val="Compact"/>
            </w:pPr>
            <w:r>
              <w:t xml:space="preserve">Module 5 – Tissue Preparation</w:t>
            </w:r>
          </w:p>
        </w:tc>
        <w:tc>
          <w:tcPr/>
          <w:p>
            <w:pPr>
              <w:pStyle w:val="Compact"/>
            </w:pPr>
            <w:r>
              <w:t xml:space="preserve">Supply</w:t>
            </w:r>
          </w:p>
        </w:tc>
        <w:tc>
          <w:tcPr/>
          <w:p>
            <w:pPr>
              <w:pStyle w:val="Compact"/>
            </w:pPr>
            <w:r>
              <w:t xml:space="preserve">Cellophane discs</w:t>
            </w:r>
          </w:p>
        </w:tc>
        <w:tc>
          <w:tcPr/>
          <w:p>
            <w:pPr>
              <w:pStyle w:val="Compact"/>
            </w:pPr>
            <w:r>
              <w:t xml:space="preserve">Individually rinsed and autoclaved before use</w:t>
            </w:r>
          </w:p>
        </w:tc>
        <w:tc>
          <w:tcPr/>
          <w:p>
            <w:pPr>
              <w:pStyle w:val="Compact"/>
            </w:pPr>
          </w:p>
        </w:tc>
        <w:tc>
          <w:tcPr/>
          <w:p>
            <w:pPr>
              <w:pStyle w:val="Compact"/>
            </w:pPr>
          </w:p>
        </w:tc>
      </w:tr>
      <w:tr>
        <w:tc>
          <w:tcPr/>
          <w:p>
            <w:pPr>
              <w:pStyle w:val="Compact"/>
            </w:pPr>
            <w:r>
              <w:t xml:space="preserve">Module 5 – Tissue Preparation</w:t>
            </w:r>
          </w:p>
        </w:tc>
        <w:tc>
          <w:tcPr/>
          <w:p>
            <w:pPr>
              <w:pStyle w:val="Compact"/>
            </w:pPr>
            <w:r>
              <w:t xml:space="preserve">Supply</w:t>
            </w:r>
          </w:p>
        </w:tc>
        <w:tc>
          <w:tcPr/>
          <w:p>
            <w:pPr>
              <w:pStyle w:val="Compact"/>
            </w:pPr>
            <w:r>
              <w:t xml:space="preserve">60x15 mm Petri dishes</w:t>
            </w:r>
          </w:p>
        </w:tc>
        <w:tc>
          <w:tcPr/>
          <w:p>
            <w:pPr>
              <w:pStyle w:val="Compact"/>
            </w:pPr>
            <w:r>
              <w:t xml:space="preserve">Culture dishes for tissue preparation</w:t>
            </w:r>
          </w:p>
        </w:tc>
        <w:tc>
          <w:tcPr/>
          <w:p>
            <w:pPr>
              <w:pStyle w:val="Compact"/>
            </w:pPr>
          </w:p>
        </w:tc>
        <w:tc>
          <w:tcPr/>
          <w:p>
            <w:pPr>
              <w:pStyle w:val="Compact"/>
            </w:pPr>
          </w:p>
        </w:tc>
      </w:tr>
      <w:tr>
        <w:tc>
          <w:tcPr/>
          <w:p>
            <w:pPr>
              <w:pStyle w:val="Compact"/>
            </w:pPr>
            <w:r>
              <w:t xml:space="preserve">Module 5 – Tissue Preparation</w:t>
            </w:r>
          </w:p>
        </w:tc>
        <w:tc>
          <w:tcPr/>
          <w:p>
            <w:pPr>
              <w:pStyle w:val="Compact"/>
            </w:pPr>
            <w:r>
              <w:t xml:space="preserve">Reagent</w:t>
            </w:r>
          </w:p>
        </w:tc>
        <w:tc>
          <w:tcPr/>
          <w:p>
            <w:pPr>
              <w:pStyle w:val="Compact"/>
            </w:pPr>
            <w:r>
              <w:t xml:space="preserve">Potato Dextrose Agar (PDA)</w:t>
            </w:r>
          </w:p>
        </w:tc>
        <w:tc>
          <w:tcPr/>
          <w:p>
            <w:pPr>
              <w:pStyle w:val="Compact"/>
            </w:pPr>
            <w:r>
              <w:t xml:space="preserve">Fungal culture medium</w:t>
            </w:r>
          </w:p>
        </w:tc>
        <w:tc>
          <w:tcPr/>
          <w:p>
            <w:pPr>
              <w:pStyle w:val="Compact"/>
            </w:pPr>
          </w:p>
        </w:tc>
        <w:tc>
          <w:tcPr/>
          <w:p>
            <w:pPr>
              <w:pStyle w:val="Compact"/>
            </w:pPr>
          </w:p>
        </w:tc>
      </w:tr>
      <w:tr>
        <w:tc>
          <w:tcPr/>
          <w:p>
            <w:pPr>
              <w:pStyle w:val="Compact"/>
            </w:pPr>
            <w:r>
              <w:t xml:space="preserve">Module 5 – Tissue Preparation</w:t>
            </w:r>
          </w:p>
        </w:tc>
        <w:tc>
          <w:tcPr/>
          <w:p>
            <w:pPr>
              <w:pStyle w:val="Compact"/>
            </w:pPr>
            <w:r>
              <w:t xml:space="preserve">Supply</w:t>
            </w:r>
          </w:p>
        </w:tc>
        <w:tc>
          <w:tcPr/>
          <w:p>
            <w:pPr>
              <w:pStyle w:val="Compact"/>
            </w:pPr>
            <w:r>
              <w:t xml:space="preserve">Silica beads</w:t>
            </w:r>
          </w:p>
        </w:tc>
        <w:tc>
          <w:tcPr/>
          <w:p>
            <w:pPr>
              <w:pStyle w:val="Compact"/>
            </w:pPr>
            <w:r>
              <w:t xml:space="preserve">Sample desiccation/homogenization</w:t>
            </w:r>
          </w:p>
        </w:tc>
        <w:tc>
          <w:tcPr/>
          <w:p>
            <w:pPr>
              <w:pStyle w:val="Compact"/>
            </w:pPr>
          </w:p>
        </w:tc>
        <w:tc>
          <w:tcPr/>
          <w:p>
            <w:pPr>
              <w:pStyle w:val="Compact"/>
            </w:pPr>
          </w:p>
        </w:tc>
      </w:tr>
      <w:tr>
        <w:tc>
          <w:tcPr/>
          <w:p>
            <w:pPr>
              <w:pStyle w:val="Compact"/>
            </w:pPr>
            <w:r>
              <w:t xml:space="preserve">Module 5 – Tissue Preparation</w:t>
            </w:r>
          </w:p>
        </w:tc>
        <w:tc>
          <w:tcPr/>
          <w:p>
            <w:pPr>
              <w:pStyle w:val="Compact"/>
            </w:pPr>
            <w:r>
              <w:t xml:space="preserve">Equipment</w:t>
            </w:r>
          </w:p>
        </w:tc>
        <w:tc>
          <w:tcPr/>
          <w:p>
            <w:pPr>
              <w:pStyle w:val="Compact"/>
            </w:pPr>
            <w:r>
              <w:t xml:space="preserve">Incubator</w:t>
            </w:r>
          </w:p>
        </w:tc>
        <w:tc>
          <w:tcPr/>
          <w:p>
            <w:pPr>
              <w:pStyle w:val="Compact"/>
            </w:pPr>
            <w:r>
              <w:t xml:space="preserve">Controlled temperature growth environment</w:t>
            </w:r>
          </w:p>
        </w:tc>
        <w:tc>
          <w:tcPr/>
          <w:p>
            <w:pPr>
              <w:pStyle w:val="Compact"/>
            </w:pPr>
          </w:p>
        </w:tc>
        <w:tc>
          <w:tcPr/>
          <w:p>
            <w:pPr>
              <w:pStyle w:val="Compact"/>
            </w:pPr>
          </w:p>
        </w:tc>
      </w:tr>
      <w:tr>
        <w:tc>
          <w:tcPr/>
          <w:p>
            <w:pPr>
              <w:pStyle w:val="Compact"/>
            </w:pPr>
            <w:r>
              <w:t xml:space="preserve">Module 5 – Tissue Preparation</w:t>
            </w:r>
          </w:p>
        </w:tc>
        <w:tc>
          <w:tcPr/>
          <w:p>
            <w:pPr>
              <w:pStyle w:val="Compact"/>
            </w:pPr>
            <w:r>
              <w:t xml:space="preserve">Equipment</w:t>
            </w:r>
          </w:p>
        </w:tc>
        <w:tc>
          <w:tcPr/>
          <w:p>
            <w:pPr>
              <w:pStyle w:val="Compact"/>
            </w:pPr>
            <w:r>
              <w:t xml:space="preserve">Balance</w:t>
            </w:r>
          </w:p>
        </w:tc>
        <w:tc>
          <w:tcPr/>
          <w:p>
            <w:pPr>
              <w:pStyle w:val="Compact"/>
            </w:pPr>
            <w:r>
              <w:t xml:space="preserve">Biomass weighing</w:t>
            </w:r>
          </w:p>
        </w:tc>
        <w:tc>
          <w:tcPr/>
          <w:p>
            <w:pPr>
              <w:pStyle w:val="Compact"/>
            </w:pPr>
          </w:p>
        </w:tc>
        <w:tc>
          <w:tcPr/>
          <w:p>
            <w:pPr>
              <w:pStyle w:val="Compact"/>
            </w:pPr>
          </w:p>
        </w:tc>
      </w:tr>
      <w:tr>
        <w:tc>
          <w:tcPr/>
          <w:p>
            <w:pPr>
              <w:pStyle w:val="Compact"/>
            </w:pPr>
            <w:r>
              <w:t xml:space="preserve">Module 6 – Sample Submission</w:t>
            </w:r>
          </w:p>
        </w:tc>
        <w:tc>
          <w:tcPr/>
          <w:p>
            <w:pPr>
              <w:pStyle w:val="Compact"/>
            </w:pPr>
            <w:r>
              <w:t xml:space="preserve">Supply</w:t>
            </w:r>
          </w:p>
        </w:tc>
        <w:tc>
          <w:tcPr/>
          <w:p>
            <w:pPr>
              <w:pStyle w:val="Compact"/>
            </w:pPr>
            <w:r>
              <w:t xml:space="preserve">Shipment supplies</w:t>
            </w:r>
          </w:p>
        </w:tc>
        <w:tc>
          <w:tcPr/>
          <w:p>
            <w:pPr>
              <w:pStyle w:val="Compact"/>
            </w:pPr>
            <w:r>
              <w:t xml:space="preserve">For shipping samples to AGI</w:t>
            </w:r>
          </w:p>
        </w:tc>
        <w:tc>
          <w:tcPr/>
          <w:p>
            <w:pPr>
              <w:pStyle w:val="Compact"/>
            </w:pPr>
          </w:p>
        </w:tc>
        <w:tc>
          <w:tcPr/>
          <w:p>
            <w:pPr>
              <w:pStyle w:val="Compact"/>
            </w:pPr>
          </w:p>
        </w:tc>
      </w:tr>
      <w:tr>
        <w:tc>
          <w:tcPr/>
          <w:p>
            <w:pPr>
              <w:pStyle w:val="Compact"/>
            </w:pPr>
            <w:r>
              <w:t xml:space="preserve">Module 6 – Sample Submission</w:t>
            </w:r>
          </w:p>
        </w:tc>
        <w:tc>
          <w:tcPr/>
          <w:p>
            <w:pPr>
              <w:pStyle w:val="Compact"/>
            </w:pPr>
            <w:r>
              <w:t xml:space="preserve">Supply</w:t>
            </w:r>
          </w:p>
        </w:tc>
        <w:tc>
          <w:tcPr/>
          <w:p>
            <w:pPr>
              <w:pStyle w:val="Compact"/>
            </w:pPr>
            <w:r>
              <w:t xml:space="preserve">MycoEd metadata printout</w:t>
            </w:r>
          </w:p>
        </w:tc>
        <w:tc>
          <w:tcPr/>
          <w:p>
            <w:pPr>
              <w:pStyle w:val="Compact"/>
            </w:pPr>
            <w:r>
              <w:t xml:space="preserve">Completed metadata form included with shipment</w:t>
            </w:r>
          </w:p>
        </w:tc>
        <w:tc>
          <w:tcPr/>
          <w:p>
            <w:pPr>
              <w:pStyle w:val="Compact"/>
            </w:pPr>
          </w:p>
        </w:tc>
        <w:tc>
          <w:tcPr/>
          <w:p>
            <w:pPr>
              <w:pStyle w:val="Compact"/>
            </w:pPr>
          </w:p>
        </w:tc>
      </w:tr>
      <w:tr>
        <w:tc>
          <w:tcPr/>
          <w:p>
            <w:pPr>
              <w:pStyle w:val="Compact"/>
            </w:pPr>
            <w:r>
              <w:t xml:space="preserve">Module 7 – Genomic Analyses</w:t>
            </w:r>
          </w:p>
        </w:tc>
        <w:tc>
          <w:tcPr/>
          <w:p>
            <w:pPr>
              <w:pStyle w:val="Compact"/>
            </w:pPr>
            <w:r>
              <w:t xml:space="preserve">Platform</w:t>
            </w:r>
          </w:p>
        </w:tc>
        <w:tc>
          <w:tcPr/>
          <w:p>
            <w:pPr>
              <w:pStyle w:val="Compact"/>
            </w:pPr>
            <w:r>
              <w:t xml:space="preserve">MycoCosm (JGI portal)</w:t>
            </w:r>
          </w:p>
        </w:tc>
        <w:tc>
          <w:tcPr/>
          <w:p>
            <w:pPr>
              <w:pStyle w:val="Compact"/>
            </w:pPr>
            <w:r>
              <w:t xml:space="preserve">Web-based genomic analysis portal</w:t>
            </w:r>
          </w:p>
        </w:tc>
        <w:tc>
          <w:tcPr/>
          <w:p>
            <w:pPr>
              <w:pStyle w:val="Compact"/>
            </w:pPr>
            <w:r>
              <w:t xml:space="preserve">DOE Joint Genome Institute</w:t>
            </w:r>
          </w:p>
        </w:tc>
        <w:tc>
          <w:tcPr/>
          <w:p>
            <w:pPr>
              <w:pStyle w:val="Compact"/>
            </w:pPr>
          </w:p>
        </w:tc>
      </w:tr>
      <w:tr>
        <w:tc>
          <w:tcPr/>
          <w:p>
            <w:pPr>
              <w:pStyle w:val="Compact"/>
            </w:pPr>
            <w:r>
              <w:t xml:space="preserve">Module 7 – Genomic Analyses</w:t>
            </w:r>
          </w:p>
        </w:tc>
        <w:tc>
          <w:tcPr/>
          <w:p>
            <w:pPr>
              <w:pStyle w:val="Compact"/>
            </w:pPr>
            <w:r>
              <w:t xml:space="preserve">Equipment</w:t>
            </w:r>
          </w:p>
        </w:tc>
        <w:tc>
          <w:tcPr/>
          <w:p>
            <w:pPr>
              <w:pStyle w:val="Compact"/>
            </w:pPr>
            <w:r>
              <w:t xml:space="preserve">Computer with internet access</w:t>
            </w:r>
          </w:p>
        </w:tc>
        <w:tc>
          <w:tcPr/>
          <w:p>
            <w:pPr>
              <w:pStyle w:val="Compact"/>
            </w:pPr>
            <w:r>
              <w:t xml:space="preserve">Required for web-based genomic analyses</w:t>
            </w:r>
          </w:p>
        </w:tc>
        <w:tc>
          <w:tcPr/>
          <w:p>
            <w:pPr>
              <w:pStyle w:val="Compact"/>
            </w:pPr>
          </w:p>
        </w:tc>
        <w:tc>
          <w:tcPr/>
          <w:p>
            <w:pPr>
              <w:pStyle w:val="Compact"/>
            </w:pPr>
          </w:p>
        </w:tc>
      </w:tr>
    </w:tbl>
    <w:p>
      <w:pPr>
        <w:pStyle w:val="BodyText"/>
      </w:pPr>
      <w:r>
        <w:t xml:space="preserve">For the full source list and raw fields, see</w:t>
      </w:r>
      <w:r>
        <w:t xml:space="preserve"> </w:t>
      </w:r>
      <w:r>
        <w:rPr>
          <w:rStyle w:val="VerbatimChar"/>
        </w:rPr>
        <w:t xml:space="preserve">_materials.csv</w:t>
      </w:r>
      <w:r>
        <w:t xml:space="preserve">.</w:t>
      </w:r>
    </w:p>
    <w:bookmarkEnd w:id="32"/>
    <w:bookmarkStart w:id="40" w:name="Xcbdbfd15cc4383fe5deee011eccaab33ef2e95c"/>
    <w:p>
      <w:pPr>
        <w:pStyle w:val="Heading2"/>
      </w:pPr>
      <w:r>
        <w:t xml:space="preserve">Module 0.2 – Create iNaturalist Traditional Project Instructions</w:t>
      </w:r>
    </w:p>
    <w:bookmarkStart w:id="34" w:name="inaturalist-introduction"/>
    <w:p>
      <w:pPr>
        <w:pStyle w:val="Heading3"/>
      </w:pPr>
      <w:r>
        <w:t xml:space="preserve">iNaturalist Introduction</w:t>
      </w:r>
    </w:p>
    <w:p>
      <w:pPr>
        <w:pStyle w:val="FirstParagraph"/>
      </w:pPr>
      <w:hyperlink r:id="rId33">
        <w:r>
          <w:rPr>
            <w:rStyle w:val="Hyperlink"/>
          </w:rPr>
          <w:t xml:space="preserve">iNaturalist</w:t>
        </w:r>
      </w:hyperlink>
      <w:r>
        <w:t xml:space="preserve"> </w:t>
      </w:r>
      <w:r>
        <w:t xml:space="preserve">is a tool that we can use to document the fungal isolates in Myco-Ed courses. This tool allows instructors and students to record the</w:t>
      </w:r>
      <w:r>
        <w:t xml:space="preserve"> </w:t>
      </w:r>
      <w:r>
        <w:rPr>
          <w:b/>
          <w:bCs/>
        </w:rPr>
        <w:t xml:space="preserve">metadata</w:t>
      </w:r>
      <w:r>
        <w:t xml:space="preserve"> </w:t>
      </w:r>
      <w:r>
        <w:t xml:space="preserve">associated with the fungal isolates. Metadata will include plant species, geographic location, elevation, fungal DNA sequences, growth assays, and any other data relevant for this project. iNaturalist will also enable us to track growth of the MycoEd project. The goal of this long-term research project is to develop annotated fungal genomes to better understand fungal biology.</w:t>
      </w:r>
    </w:p>
    <w:p>
      <w:pPr>
        <w:pStyle w:val="BodyText"/>
      </w:pPr>
      <w:r>
        <w:t xml:space="preserve">To begin, make sure that you have an iNaturalist account.</w:t>
      </w:r>
    </w:p>
    <w:bookmarkEnd w:id="34"/>
    <w:bookmarkStart w:id="35" w:name="project-overview"/>
    <w:p>
      <w:pPr>
        <w:pStyle w:val="Heading3"/>
      </w:pPr>
      <w:r>
        <w:t xml:space="preserve">Project Overview</w:t>
      </w:r>
    </w:p>
    <w:p>
      <w:pPr>
        <w:pStyle w:val="FirstParagraph"/>
      </w:pPr>
      <w:r>
        <w:t xml:space="preserve">There are three kinds of projects:</w:t>
      </w:r>
      <w:r>
        <w:t xml:space="preserve"> </w:t>
      </w:r>
      <w:r>
        <w:t xml:space="preserve">1. Umbrella Projects</w:t>
      </w:r>
      <w:r>
        <w:t xml:space="preserve"> </w:t>
      </w:r>
      <w:r>
        <w:t xml:space="preserve">2. Collection Projects</w:t>
      </w:r>
      <w:r>
        <w:t xml:space="preserve"> </w:t>
      </w:r>
      <w:r>
        <w:t xml:space="preserve">3. Traditional Projects</w:t>
      </w:r>
    </w:p>
    <w:p>
      <w:pPr>
        <w:pStyle w:val="BodyText"/>
      </w:pPr>
      <w:r>
        <w:t xml:space="preserve">The umbrella project for MycoEd is the MycoEd Fungal Genomics Education Project. Each course will establish a Traditional Project in iNaturalist. A traditional project allows us to control whose</w:t>
      </w:r>
      <w:r>
        <w:t xml:space="preserve"> </w:t>
      </w:r>
      <w:r>
        <w:rPr>
          <w:b/>
          <w:bCs/>
        </w:rPr>
        <w:t xml:space="preserve">observations</w:t>
      </w:r>
      <w:r>
        <w:t xml:space="preserve"> </w:t>
      </w:r>
      <w:r>
        <w:t xml:space="preserve">are included in the project, which enables better downstream data management. We ask that your class use the Traditional Project for MycoEd for only your MycoEd fungi. If your course includes a fungal collection using iNaturalist, please have a separate iNaturalist project for these fungal observations.</w:t>
      </w:r>
    </w:p>
    <w:bookmarkEnd w:id="35"/>
    <w:bookmarkStart w:id="38" w:name="Xbe7dd89d850e9accf36a8a51cd2d2bfb9177b29"/>
    <w:p>
      <w:pPr>
        <w:pStyle w:val="Heading3"/>
      </w:pPr>
      <w:r>
        <w:t xml:space="preserve">Make a MycoEd Traditional Project [Instructor Instructions]</w:t>
      </w:r>
    </w:p>
    <w:p>
      <w:pPr>
        <w:pStyle w:val="Compact"/>
        <w:numPr>
          <w:ilvl w:val="0"/>
          <w:numId w:val="1004"/>
        </w:numPr>
      </w:pPr>
      <w:r>
        <w:t xml:space="preserve">Log into</w:t>
      </w:r>
      <w:r>
        <w:t xml:space="preserve"> </w:t>
      </w:r>
      <w:hyperlink r:id="rId33">
        <w:r>
          <w:rPr>
            <w:rStyle w:val="Hyperlink"/>
          </w:rPr>
          <w:t xml:space="preserve">iNaturalist</w:t>
        </w:r>
      </w:hyperlink>
      <w:r>
        <w:t xml:space="preserve">.</w:t>
      </w:r>
    </w:p>
    <w:p>
      <w:pPr>
        <w:pStyle w:val="Compact"/>
        <w:numPr>
          <w:ilvl w:val="0"/>
          <w:numId w:val="1004"/>
        </w:numPr>
      </w:pPr>
      <w:r>
        <w:t xml:space="preserve">Go to Projects.</w:t>
      </w:r>
    </w:p>
    <w:p>
      <w:pPr>
        <w:pStyle w:val="Compact"/>
        <w:numPr>
          <w:ilvl w:val="0"/>
          <w:numId w:val="1004"/>
        </w:numPr>
      </w:pPr>
      <w:r>
        <w:t xml:space="preserve">This will take you to Your Projects.</w:t>
      </w:r>
    </w:p>
    <w:p>
      <w:pPr>
        <w:pStyle w:val="Compact"/>
        <w:numPr>
          <w:ilvl w:val="0"/>
          <w:numId w:val="1004"/>
        </w:numPr>
      </w:pPr>
      <w:r>
        <w:t xml:space="preserve">On the bottom right of the page, select Start a Project.</w:t>
      </w:r>
    </w:p>
    <w:p>
      <w:pPr>
        <w:pStyle w:val="Compact"/>
        <w:numPr>
          <w:ilvl w:val="0"/>
          <w:numId w:val="1004"/>
        </w:numPr>
      </w:pPr>
      <w:r>
        <w:t xml:space="preserve">Start a Traditional Project. Scroll to the bottom of the page to find the Traditional Project link for this option.</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6" name="Picture"/>
                  <a:graphic>
                    <a:graphicData uri="http://schemas.openxmlformats.org/drawingml/2006/picture">
                      <pic:pic>
                        <pic:nvPicPr>
                          <pic:cNvPr descr="/opt/quarto/share/formats/docx/note.png" id="37" name="Picture"/>
                          <pic:cNvPicPr>
                            <a:picLocks noChangeArrowheads="1" noChangeAspect="1"/>
                          </pic:cNvPicPr>
                        </pic:nvPicPr>
                        <pic:blipFill>
                          <a:blip r:embed="rId2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If you do not have this option, please contact</w:t>
            </w:r>
            <w:r>
              <w:t xml:space="preserve"> </w:t>
            </w:r>
            <w:r>
              <w:rPr>
                <w:b/>
                <w:bCs/>
              </w:rPr>
              <w:t xml:space="preserve">Amy Honan</w:t>
            </w:r>
            <w:r>
              <w:t xml:space="preserve"> </w:t>
            </w:r>
            <w:r>
              <w:t xml:space="preserve">(amy.honan@oregonstate.edu) or</w:t>
            </w:r>
            <w:r>
              <w:t xml:space="preserve"> </w:t>
            </w:r>
            <w:r>
              <w:rPr>
                <w:b/>
                <w:bCs/>
              </w:rPr>
              <w:t xml:space="preserve">Andrew Wilson</w:t>
            </w:r>
            <w:r>
              <w:t xml:space="preserve"> </w:t>
            </w:r>
            <w:r>
              <w:t xml:space="preserve">(andrew.wilson@BotanicGardens.org) for assistance.</w:t>
            </w:r>
          </w:p>
          <w:p/>
        </w:tc>
      </w:tr>
    </w:tbl>
    <w:p>
      <w:pPr>
        <w:pStyle w:val="Compact"/>
        <w:numPr>
          <w:ilvl w:val="0"/>
          <w:numId w:val="1005"/>
        </w:numPr>
      </w:pPr>
      <w:r>
        <w:t xml:space="preserve">Complete the following criteria indicated in the lettered parts of the figure below:</w:t>
      </w:r>
    </w:p>
    <w:p>
      <w:pPr>
        <w:pStyle w:val="Compact"/>
        <w:numPr>
          <w:ilvl w:val="1"/>
          <w:numId w:val="1006"/>
        </w:numPr>
      </w:pPr>
      <w:r>
        <w:t xml:space="preserve">Add Title. Include Institution, term or semester, and year.</w:t>
      </w:r>
    </w:p>
    <w:p>
      <w:pPr>
        <w:pStyle w:val="Compact"/>
        <w:numPr>
          <w:ilvl w:val="1"/>
          <w:numId w:val="1006"/>
        </w:numPr>
      </w:pPr>
      <w:r>
        <w:t xml:space="preserve">Make this Invite Only. You will add your students to this project.</w:t>
      </w:r>
    </w:p>
    <w:p>
      <w:pPr>
        <w:pStyle w:val="Compact"/>
        <w:numPr>
          <w:ilvl w:val="1"/>
          <w:numId w:val="1006"/>
        </w:numPr>
      </w:pPr>
      <w:r>
        <w:t xml:space="preserve">Add images or logos as you see fit. This step is useful if you manage multiple projects.</w:t>
      </w:r>
    </w:p>
    <w:p>
      <w:pPr>
        <w:pStyle w:val="Compact"/>
        <w:numPr>
          <w:ilvl w:val="0"/>
          <w:numId w:val="1005"/>
        </w:numPr>
      </w:pPr>
      <w:r>
        <w:t xml:space="preserve">Other fields to consider:</w:t>
      </w:r>
    </w:p>
    <w:p>
      <w:pPr>
        <w:pStyle w:val="Compact"/>
        <w:numPr>
          <w:ilvl w:val="1"/>
          <w:numId w:val="1007"/>
        </w:numPr>
      </w:pPr>
      <w:r>
        <w:t xml:space="preserve">Location: You may choose to limit the locations of your observations. If your project is set to invite only, this is likely unnecessary.</w:t>
      </w:r>
    </w:p>
    <w:p>
      <w:pPr>
        <w:pStyle w:val="Compact"/>
        <w:numPr>
          <w:ilvl w:val="1"/>
          <w:numId w:val="1007"/>
        </w:numPr>
      </w:pPr>
      <w:r>
        <w:t xml:space="preserve">Observation Fields: Here you can link the fungal endophytes back to the host plants. In the future, we may have further instructions for data to add here.</w:t>
      </w:r>
    </w:p>
    <w:p>
      <w:pPr>
        <w:pStyle w:val="Compact"/>
        <w:numPr>
          <w:ilvl w:val="0"/>
          <w:numId w:val="1005"/>
        </w:numPr>
      </w:pPr>
      <w:r>
        <w:t xml:space="preserve">Complete the project by selecting the Create button.</w:t>
      </w:r>
    </w:p>
    <w:p>
      <w:pPr>
        <w:pStyle w:val="Compact"/>
        <w:numPr>
          <w:ilvl w:val="0"/>
          <w:numId w:val="1005"/>
        </w:numPr>
      </w:pPr>
      <w:r>
        <w:t xml:space="preserve">You may add your MycoEd concierges to your project if you wish (Andrew_wilson, ahonan).</w:t>
      </w:r>
    </w:p>
    <w:p>
      <w:pPr>
        <w:pStyle w:val="Compact"/>
        <w:numPr>
          <w:ilvl w:val="0"/>
          <w:numId w:val="1005"/>
        </w:numPr>
      </w:pPr>
      <w:r>
        <w:t xml:space="preserve">Email Andrew Wilson (andrew.wilson@BotanicGardens.org) to be added to the MycoEd Fungal Genomics Education Project.</w:t>
      </w:r>
    </w:p>
    <w:p>
      <w:pPr>
        <w:pStyle w:val="Compact"/>
        <w:numPr>
          <w:ilvl w:val="0"/>
          <w:numId w:val="1005"/>
        </w:numPr>
      </w:pPr>
      <w:r>
        <w:t xml:space="preserve">Add your project name to the text highlighted in yellow in copies of the following documents:</w:t>
      </w:r>
    </w:p>
    <w:p>
      <w:pPr>
        <w:pStyle w:val="Compact"/>
        <w:numPr>
          <w:ilvl w:val="1"/>
          <w:numId w:val="1008"/>
        </w:numPr>
      </w:pPr>
      <w:r>
        <w:t xml:space="preserve">Module 1 – Using iNaturalist</w:t>
      </w:r>
    </w:p>
    <w:p>
      <w:pPr>
        <w:pStyle w:val="Compact"/>
        <w:numPr>
          <w:ilvl w:val="1"/>
          <w:numId w:val="1008"/>
        </w:numPr>
      </w:pPr>
      <w:r>
        <w:t xml:space="preserve">Module 1 – Sampling Fungal Endophytes and Culturing Student Instructions</w:t>
      </w:r>
    </w:p>
    <w:p>
      <w:pPr>
        <w:pStyle w:val="FirstParagraph"/>
      </w:pPr>
      <w:r>
        <w:t xml:space="preserve">Adding your name to the copies of these documents will enable you to use them directly in your courses.</w:t>
      </w:r>
    </w:p>
    <w:bookmarkEnd w:id="38"/>
    <w:bookmarkStart w:id="39" w:name="add-participants-students-to-the-project"/>
    <w:p>
      <w:pPr>
        <w:pStyle w:val="Heading3"/>
      </w:pPr>
      <w:r>
        <w:t xml:space="preserve">Add Participants (=Students) To The Project</w:t>
      </w:r>
    </w:p>
    <w:p>
      <w:pPr>
        <w:pStyle w:val="FirstParagraph"/>
      </w:pPr>
      <w:r>
        <w:t xml:space="preserve">Because we’ve made the Project</w:t>
      </w:r>
      <w:r>
        <w:t xml:space="preserve"> </w:t>
      </w:r>
      <w:r>
        <w:t xml:space="preserve">“Invite Only”</w:t>
      </w:r>
      <w:r>
        <w:t xml:space="preserve"> </w:t>
      </w:r>
      <w:r>
        <w:t xml:space="preserve">you will need to manually invite each of the students to join the course. They are instructed to join the course in Module 1.2.</w:t>
      </w:r>
    </w:p>
    <w:p>
      <w:pPr>
        <w:pStyle w:val="Compact"/>
        <w:numPr>
          <w:ilvl w:val="0"/>
          <w:numId w:val="1009"/>
        </w:numPr>
      </w:pPr>
      <w:r>
        <w:t xml:space="preserve">Open your Myco-Ed project.</w:t>
      </w:r>
    </w:p>
    <w:p>
      <w:pPr>
        <w:pStyle w:val="Compact"/>
        <w:numPr>
          <w:ilvl w:val="0"/>
          <w:numId w:val="1009"/>
        </w:numPr>
      </w:pPr>
      <w:r>
        <w:t xml:space="preserve">Select the</w:t>
      </w:r>
      <w:r>
        <w:t xml:space="preserve"> </w:t>
      </w:r>
      <w:r>
        <w:t xml:space="preserve">“Members”</w:t>
      </w:r>
      <w:r>
        <w:t xml:space="preserve"> </w:t>
      </w:r>
      <w:r>
        <w:t xml:space="preserve">section on the lower right. In this section you can manage membership and participation for the project.</w:t>
      </w:r>
    </w:p>
    <w:p>
      <w:pPr>
        <w:pStyle w:val="Compact"/>
        <w:numPr>
          <w:ilvl w:val="0"/>
          <w:numId w:val="1009"/>
        </w:numPr>
      </w:pPr>
      <w:r>
        <w:t xml:space="preserve">Click on</w:t>
      </w:r>
      <w:r>
        <w:t xml:space="preserve"> </w:t>
      </w:r>
      <w:r>
        <w:t xml:space="preserve">“invite new members here”</w:t>
      </w:r>
      <w:r>
        <w:t xml:space="preserve"> </w:t>
      </w:r>
      <w:r>
        <w:t xml:space="preserve">in the yellow box on the right.</w:t>
      </w:r>
    </w:p>
    <w:p>
      <w:pPr>
        <w:pStyle w:val="Compact"/>
        <w:numPr>
          <w:ilvl w:val="0"/>
          <w:numId w:val="1009"/>
        </w:numPr>
      </w:pPr>
      <w:r>
        <w:t xml:space="preserve">Once you’ve received the iNaturalist User IDs, start adding your students to the blank space under</w:t>
      </w:r>
      <w:r>
        <w:t xml:space="preserve"> </w:t>
      </w:r>
      <w:r>
        <w:t xml:space="preserve">“Invite people…”</w:t>
      </w:r>
      <w:r>
        <w:t xml:space="preserve">. Their names/user ID should appear in the drop down menu.</w:t>
      </w:r>
    </w:p>
    <w:p>
      <w:pPr>
        <w:pStyle w:val="FirstParagraph"/>
      </w:pPr>
      <w:r>
        <w:t xml:space="preserve">If their names do not show up, it is because they have not completed their iNaturalist registration, or the User ID is different from what they’ve supplied.</w:t>
      </w:r>
    </w:p>
    <w:p>
      <w:pPr>
        <w:pStyle w:val="Compact"/>
        <w:numPr>
          <w:ilvl w:val="0"/>
          <w:numId w:val="1010"/>
        </w:numPr>
      </w:pPr>
      <w:r>
        <w:t xml:space="preserve">Instruct the students to look for their invitation and join the project. They must now add their course’s iNaturalist observations to the project for them to show up in the project.</w:t>
      </w:r>
    </w:p>
    <w:p>
      <w:pPr>
        <w:pStyle w:val="FirstParagraph"/>
      </w:pPr>
      <w:r>
        <w:t xml:space="preserve">Use this last step as a requirement for course credit to ensure the process is completed by students.</w:t>
      </w:r>
    </w:p>
    <w:bookmarkEnd w:id="39"/>
    <w:bookmarkEnd w:id="40"/>
    <w:bookmarkStart w:id="44" w:name="module-0.3-inaturalist-checklist"/>
    <w:p>
      <w:pPr>
        <w:pStyle w:val="Heading2"/>
      </w:pPr>
      <w:r>
        <w:t xml:space="preserve">Module 0.3 – iNaturalist Checklist</w:t>
      </w:r>
    </w:p>
    <w:bookmarkStart w:id="43" w:name="inaturalist-checklist"/>
    <w:p>
      <w:pPr>
        <w:pStyle w:val="Heading3"/>
      </w:pPr>
      <w:r>
        <w:t xml:space="preserve">iNaturalist Checklist</w:t>
      </w:r>
    </w:p>
    <w:p>
      <w:pPr>
        <w:pStyle w:val="FirstParagraph"/>
      </w:pPr>
      <w:r>
        <w:t xml:space="preserve">This checklist will help you track your progress in managing Myco-Ed project data using iNaturalist.</w:t>
      </w:r>
    </w:p>
    <w:bookmarkStart w:id="41" w:name="for-instructors"/>
    <w:p>
      <w:pPr>
        <w:pStyle w:val="Heading4"/>
      </w:pPr>
      <w:r>
        <w:t xml:space="preserve">For Instructors</w:t>
      </w:r>
    </w:p>
    <w:p>
      <w:pPr>
        <w:pStyle w:val="Compact"/>
        <w:numPr>
          <w:ilvl w:val="0"/>
          <w:numId w:val="1011"/>
        </w:numPr>
      </w:pPr>
      <w:r>
        <w:t xml:space="preserve">Create an iNaturalist Account. (Module 0.2)</w:t>
      </w:r>
    </w:p>
    <w:p>
      <w:pPr>
        <w:pStyle w:val="Compact"/>
        <w:numPr>
          <w:ilvl w:val="0"/>
          <w:numId w:val="1012"/>
        </w:numPr>
      </w:pPr>
      <w:r>
        <w:t xml:space="preserve">Create an iNaturalist Traditional Project for your course. (Module 0.2) You may need to request the assistance of the Myco-Ed team to create this if you do not have the pre-requisite number of observations.</w:t>
      </w:r>
    </w:p>
    <w:p>
      <w:pPr>
        <w:pStyle w:val="Compact"/>
        <w:numPr>
          <w:ilvl w:val="0"/>
          <w:numId w:val="1013"/>
        </w:numPr>
      </w:pPr>
      <w:r>
        <w:t xml:space="preserve">Tell students the name of the iNaturalist Project, and request their iNaturalist user IDs.</w:t>
      </w:r>
    </w:p>
    <w:p>
      <w:pPr>
        <w:pStyle w:val="Compact"/>
        <w:numPr>
          <w:ilvl w:val="0"/>
          <w:numId w:val="1014"/>
        </w:numPr>
      </w:pPr>
      <w:r>
        <w:t xml:space="preserve">Add the students to the course project once they’ve completed Module 1.2. (Module 0.2)</w:t>
      </w:r>
    </w:p>
    <w:p>
      <w:pPr>
        <w:pStyle w:val="Compact"/>
        <w:numPr>
          <w:ilvl w:val="0"/>
          <w:numId w:val="1015"/>
        </w:numPr>
      </w:pPr>
      <w:r>
        <w:t xml:space="preserve">Instruct students on iNaturalist data management obligations for course credit (at the instructor’s discretion).</w:t>
      </w:r>
    </w:p>
    <w:bookmarkEnd w:id="41"/>
    <w:bookmarkStart w:id="42" w:name="for-studentsparticipants"/>
    <w:p>
      <w:pPr>
        <w:pStyle w:val="Heading4"/>
      </w:pPr>
      <w:r>
        <w:t xml:space="preserve">For Students/Participants</w:t>
      </w:r>
    </w:p>
    <w:p>
      <w:pPr>
        <w:pStyle w:val="FirstParagraph"/>
      </w:pPr>
      <w:r>
        <w:rPr>
          <w:b/>
          <w:bCs/>
        </w:rPr>
        <w:t xml:space="preserve">Homework Assignment 1 (Module 1.2)</w:t>
      </w:r>
    </w:p>
    <w:p>
      <w:pPr>
        <w:pStyle w:val="Compact"/>
        <w:numPr>
          <w:ilvl w:val="0"/>
          <w:numId w:val="1016"/>
        </w:numPr>
      </w:pPr>
      <w:r>
        <w:t xml:space="preserve">Create an iNaturalist Account.</w:t>
      </w:r>
    </w:p>
    <w:p>
      <w:pPr>
        <w:pStyle w:val="Compact"/>
        <w:numPr>
          <w:ilvl w:val="0"/>
          <w:numId w:val="1017"/>
        </w:numPr>
      </w:pPr>
      <w:r>
        <w:t xml:space="preserve">Get the iNaturalist App for your phone</w:t>
      </w:r>
    </w:p>
    <w:p>
      <w:pPr>
        <w:pStyle w:val="Compact"/>
        <w:numPr>
          <w:ilvl w:val="0"/>
          <w:numId w:val="1018"/>
        </w:numPr>
      </w:pPr>
      <w:r>
        <w:t xml:space="preserve">Give your instructor your iNaturalist User Name.</w:t>
      </w:r>
    </w:p>
    <w:p>
      <w:pPr>
        <w:pStyle w:val="Compact"/>
        <w:numPr>
          <w:ilvl w:val="0"/>
          <w:numId w:val="1019"/>
        </w:numPr>
      </w:pPr>
      <w:r>
        <w:t xml:space="preserve">Update your real name under your account settings.</w:t>
      </w:r>
    </w:p>
    <w:p>
      <w:pPr>
        <w:pStyle w:val="Compact"/>
        <w:numPr>
          <w:ilvl w:val="0"/>
          <w:numId w:val="1020"/>
        </w:numPr>
      </w:pPr>
      <w:r>
        <w:t xml:space="preserve">Watch some videos and tutorials.</w:t>
      </w:r>
    </w:p>
    <w:p>
      <w:pPr>
        <w:pStyle w:val="Compact"/>
        <w:numPr>
          <w:ilvl w:val="0"/>
          <w:numId w:val="1021"/>
        </w:numPr>
      </w:pPr>
      <w:r>
        <w:t xml:space="preserve">Join the course project once you receive an invitation from the instructor/TA.</w:t>
      </w:r>
    </w:p>
    <w:p>
      <w:pPr>
        <w:pStyle w:val="FirstParagraph"/>
      </w:pPr>
      <w:r>
        <w:rPr>
          <w:b/>
          <w:bCs/>
        </w:rPr>
        <w:t xml:space="preserve">Make an Observation (Module 1.2)</w:t>
      </w:r>
    </w:p>
    <w:p>
      <w:pPr>
        <w:pStyle w:val="Compact"/>
        <w:numPr>
          <w:ilvl w:val="0"/>
          <w:numId w:val="1022"/>
        </w:numPr>
      </w:pPr>
      <w:r>
        <w:t xml:space="preserve">Take multiple images of the plant host (or habitat photos of the environment) and include at least one image with a unique field number. (e.g., MycoEd_004)</w:t>
      </w:r>
    </w:p>
    <w:p>
      <w:pPr>
        <w:pStyle w:val="Compact"/>
        <w:numPr>
          <w:ilvl w:val="0"/>
          <w:numId w:val="1023"/>
        </w:numPr>
      </w:pPr>
      <w:r>
        <w:t xml:space="preserve">Add the observation to your course project.</w:t>
      </w:r>
    </w:p>
    <w:p>
      <w:pPr>
        <w:pStyle w:val="Compact"/>
        <w:numPr>
          <w:ilvl w:val="0"/>
          <w:numId w:val="1024"/>
        </w:numPr>
      </w:pPr>
      <w:r>
        <w:t xml:space="preserve">Save and upload the observation to the cloud once you’re connected to wifi.</w:t>
      </w:r>
    </w:p>
    <w:p>
      <w:pPr>
        <w:pStyle w:val="Compact"/>
        <w:numPr>
          <w:ilvl w:val="0"/>
          <w:numId w:val="1025"/>
        </w:numPr>
      </w:pPr>
      <w:r>
        <w:t xml:space="preserve">Add Observation Field for MycoEd ID.</w:t>
      </w:r>
    </w:p>
    <w:p>
      <w:pPr>
        <w:pStyle w:val="Compact"/>
        <w:numPr>
          <w:ilvl w:val="0"/>
          <w:numId w:val="1026"/>
        </w:numPr>
      </w:pPr>
      <w:r>
        <w:t xml:space="preserve">Add Observation Field for DNA Barcode ITS once you have DNA sequence data.</w:t>
      </w:r>
    </w:p>
    <w:p>
      <w:pPr>
        <w:pStyle w:val="Compact"/>
        <w:numPr>
          <w:ilvl w:val="0"/>
          <w:numId w:val="1027"/>
        </w:numPr>
      </w:pPr>
      <w:r>
        <w:t xml:space="preserve">Update the name of fungal isolates using DNA sequence BLAST results.</w:t>
      </w:r>
    </w:p>
    <w:p>
      <w:pPr>
        <w:pStyle w:val="Compact"/>
        <w:numPr>
          <w:ilvl w:val="0"/>
          <w:numId w:val="1028"/>
        </w:numPr>
      </w:pPr>
      <w:r>
        <w:t xml:space="preserve">Add Observation Field for Host Observation for fungal isolates linking to the original host on iNaturalist.</w:t>
      </w:r>
    </w:p>
    <w:bookmarkEnd w:id="42"/>
    <w:bookmarkEnd w:id="43"/>
    <w:bookmarkEnd w:id="44"/>
    <w:bookmarkEnd w:id="45"/>
    <w:bookmarkStart w:id="108" w:name="module-1-fungal-sampling"/>
    <w:p>
      <w:pPr>
        <w:pStyle w:val="Heading1"/>
      </w:pPr>
      <w:r>
        <w:t xml:space="preserve">Module 1: Fungal Sampling</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46" name="Picture"/>
                  <a:graphic>
                    <a:graphicData uri="http://schemas.openxmlformats.org/drawingml/2006/picture">
                      <pic:pic>
                        <pic:nvPicPr>
                          <pic:cNvPr descr="/opt/quarto/share/formats/docx/tip.png" id="47" name="Picture"/>
                          <pic:cNvPicPr>
                            <a:picLocks noChangeArrowheads="1" noChangeAspect="1"/>
                          </pic:cNvPicPr>
                        </pic:nvPicPr>
                        <pic:blipFill>
                          <a:blip r:embed="rId1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 Open Slides</w:t>
            </w:r>
          </w:p>
        </w:tc>
      </w:tr>
      <w:tr>
        <w:trPr>
          <w:cantSplit/>
        </w:trPr>
        <w:tc>
          <w:tcPr>
            <w:tcMar>
              <w:top w:w="108" w:type="dxa"/>
              <w:bottom w:w="108" w:type="dxa"/>
            </w:tcMar>
          </w:tcPr>
          <w:p>
            <w:pPr>
              <w:pStyle w:val="BodyText"/>
            </w:pPr>
            <w:pPr>
              <w:spacing w:before="16" w:after="16"/>
            </w:pPr>
            <w:hyperlink r:id="rId16">
              <w:r>
                <w:rPr>
                  <w:rStyle w:val="Hyperlink"/>
                </w:rPr>
                <w:t xml:space="preserve">Open Module 1 Slides</w:t>
              </w:r>
            </w:hyperlink>
          </w:p>
          <w:p/>
        </w:tc>
      </w:tr>
    </w:tbl>
    <w:bookmarkStart w:id="53" w:name="module-1.1-lab-prep-overview"/>
    <w:p>
      <w:pPr>
        <w:pStyle w:val="Heading2"/>
      </w:pPr>
      <w:r>
        <w:t xml:space="preserve">Module 1.1 – Lab Prep Overview</w:t>
      </w:r>
    </w:p>
    <w:bookmarkStart w:id="52" w:name="X77a2a5cde368cdc7e0265278fa1fc26eefd1a5c"/>
    <w:p>
      <w:pPr>
        <w:pStyle w:val="Heading3"/>
      </w:pPr>
      <w:r>
        <w:t xml:space="preserve">Instructor Laboratory Preparation Instructions</w:t>
      </w:r>
    </w:p>
    <w:bookmarkStart w:id="51" w:name="materials-and-equipment"/>
    <w:p>
      <w:pPr>
        <w:pStyle w:val="Heading4"/>
      </w:pPr>
      <w:r>
        <w:t xml:space="preserve">Materials and Equipment</w:t>
      </w:r>
    </w:p>
    <w:p>
      <w:pPr>
        <w:pStyle w:val="Compact"/>
        <w:numPr>
          <w:ilvl w:val="0"/>
          <w:numId w:val="1029"/>
        </w:numPr>
      </w:pPr>
      <w:r>
        <w:t xml:space="preserve">Cellophane discs (rinsed and individually wrapped before autoclaving)</w:t>
      </w:r>
    </w:p>
    <w:p>
      <w:pPr>
        <w:pStyle w:val="Compact"/>
        <w:numPr>
          <w:ilvl w:val="0"/>
          <w:numId w:val="1030"/>
        </w:numPr>
      </w:pPr>
      <w:r>
        <w:t xml:space="preserve">150x10mm Petri dishes</w:t>
      </w:r>
    </w:p>
    <w:p>
      <w:pPr>
        <w:pStyle w:val="Compact"/>
        <w:numPr>
          <w:ilvl w:val="0"/>
          <w:numId w:val="1031"/>
        </w:numPr>
      </w:pPr>
      <w:r>
        <w:t xml:space="preserve">60x15mm Petri dishes</w:t>
      </w:r>
    </w:p>
    <w:p>
      <w:pPr>
        <w:pStyle w:val="Compact"/>
        <w:numPr>
          <w:ilvl w:val="0"/>
          <w:numId w:val="1032"/>
        </w:numPr>
      </w:pPr>
      <w:r>
        <w:t xml:space="preserve">Bacteriological agar</w:t>
      </w:r>
    </w:p>
    <w:p>
      <w:pPr>
        <w:pStyle w:val="Compact"/>
        <w:numPr>
          <w:ilvl w:val="0"/>
          <w:numId w:val="1033"/>
        </w:numPr>
      </w:pPr>
      <w:r>
        <w:t xml:space="preserve">Potato Dextrose Agar (PDA)</w:t>
      </w:r>
    </w:p>
    <w:p>
      <w:pPr>
        <w:pStyle w:val="Compact"/>
        <w:numPr>
          <w:ilvl w:val="0"/>
          <w:numId w:val="1034"/>
        </w:numPr>
      </w:pPr>
      <w:r>
        <w:t xml:space="preserve">Forceps</w:t>
      </w:r>
    </w:p>
    <w:p>
      <w:pPr>
        <w:pStyle w:val="Compact"/>
        <w:numPr>
          <w:ilvl w:val="0"/>
          <w:numId w:val="1035"/>
        </w:numPr>
      </w:pPr>
      <w:r>
        <w:t xml:space="preserve">Scalpels or metal hole punch</w:t>
      </w:r>
    </w:p>
    <w:p>
      <w:pPr>
        <w:pStyle w:val="Compact"/>
        <w:numPr>
          <w:ilvl w:val="0"/>
          <w:numId w:val="1036"/>
        </w:numPr>
      </w:pPr>
      <w:r>
        <w:t xml:space="preserve">Parafilm</w:t>
      </w:r>
    </w:p>
    <w:p>
      <w:pPr>
        <w:pStyle w:val="Compact"/>
        <w:numPr>
          <w:ilvl w:val="0"/>
          <w:numId w:val="1037"/>
        </w:numPr>
      </w:pPr>
      <w:r>
        <w:t xml:space="preserve">Bleach</w:t>
      </w:r>
    </w:p>
    <w:p>
      <w:pPr>
        <w:pStyle w:val="Compact"/>
        <w:numPr>
          <w:ilvl w:val="0"/>
          <w:numId w:val="1038"/>
        </w:numPr>
      </w:pPr>
      <w:r>
        <w:t xml:space="preserve">Ethanol</w:t>
      </w:r>
    </w:p>
    <w:p>
      <w:pPr>
        <w:pStyle w:val="Compact"/>
        <w:numPr>
          <w:ilvl w:val="0"/>
          <w:numId w:val="1039"/>
        </w:numPr>
      </w:pPr>
      <w:r>
        <w:t xml:space="preserve">Sterile water</w:t>
      </w:r>
    </w:p>
    <w:p>
      <w:pPr>
        <w:pStyle w:val="Compact"/>
        <w:numPr>
          <w:ilvl w:val="0"/>
          <w:numId w:val="1040"/>
        </w:numPr>
      </w:pPr>
      <w:r>
        <w:t xml:space="preserve">Streptomycin (50 mg/ml stock solution)</w:t>
      </w:r>
    </w:p>
    <w:p>
      <w:pPr>
        <w:pStyle w:val="Compact"/>
        <w:numPr>
          <w:ilvl w:val="0"/>
          <w:numId w:val="1041"/>
        </w:numPr>
      </w:pPr>
      <w:r>
        <w:t xml:space="preserve">Laminar flow hood or clean bench (if available)</w:t>
      </w:r>
    </w:p>
    <w:p>
      <w:pPr>
        <w:pStyle w:val="Compact"/>
        <w:numPr>
          <w:ilvl w:val="0"/>
          <w:numId w:val="1042"/>
        </w:numPr>
      </w:pPr>
      <w:r>
        <w:t xml:space="preserve">Autoclave or pressure cooker</w:t>
      </w:r>
    </w:p>
    <w:p>
      <w:pPr>
        <w:pStyle w:val="Compact"/>
        <w:numPr>
          <w:ilvl w:val="0"/>
          <w:numId w:val="1043"/>
        </w:numPr>
      </w:pPr>
      <w:r>
        <w:t xml:space="preserve">Refrigerator for storing plates</w:t>
      </w:r>
    </w:p>
    <w:p>
      <w:pPr>
        <w:pStyle w:val="FirstParagraph"/>
      </w:pPr>
      <w:r>
        <w:rPr>
          <w:b/>
          <w:bCs/>
        </w:rPr>
        <w:t xml:space="preserve">Lab Prep and Sterility</w:t>
      </w:r>
      <w:r>
        <w:t xml:space="preserve"> </w:t>
      </w:r>
      <w:r>
        <w:t xml:space="preserve">We will be working at the bench and without Bunsen burners.</w:t>
      </w:r>
      <w:r>
        <w:t xml:space="preserve"> </w:t>
      </w:r>
      <w:r>
        <w:rPr>
          <w:b/>
          <w:bCs/>
        </w:rPr>
        <w:t xml:space="preserve">Be very careful and do not leave plates open for long periods.</w:t>
      </w:r>
      <w:r>
        <w:t xml:space="preserve"> </w:t>
      </w:r>
      <w:r>
        <w:t xml:space="preserve">First, clean your work area with bleach, and/or ethanol. We will use clean benches and laminar flow hoods when available, but this is a good alternative for those without access to these resources.</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BodyText"/>
            </w:pPr>
            <w:pPr>
              <w:spacing w:before="0" w:after="0"/>
              <w:textAlignment w:val="center"/>
            </w:pPr>
            <w:r>
              <w:drawing>
                <wp:inline>
                  <wp:extent cx="152400" cy="152400"/>
                  <wp:effectExtent b="0" l="0" r="0" t="0"/>
                  <wp:docPr descr="" title="" id="49" name="Picture"/>
                  <a:graphic>
                    <a:graphicData uri="http://schemas.openxmlformats.org/drawingml/2006/picture">
                      <pic:pic>
                        <pic:nvPicPr>
                          <pic:cNvPr descr="/opt/quarto/share/formats/docx/warning.png" id="50" name="Picture"/>
                          <pic:cNvPicPr>
                            <a:picLocks noChangeArrowheads="1" noChangeAspect="1"/>
                          </pic:cNvPicPr>
                        </pic:nvPicPr>
                        <pic:blipFill>
                          <a:blip r:embed="rId4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pPr>
            <w:r>
              <w:t xml:space="preserve">We will be working with fungi, which are generally not harmful to humans, but can cause allergic reactions in some individuals. Always practice good sterile technique and handle all materials with care. If you have any concerns about allergies or sensitivities, please consult with your instructor before beginning the lab.</w:t>
            </w:r>
          </w:p>
          <w:p>
            <w:pPr>
              <w:pStyle w:val="BodyText"/>
            </w:pPr>
            <w:pPr>
              <w:spacing w:after="16"/>
            </w:pPr>
            <w:r>
              <w:t xml:space="preserve">Additionally, we may not be able to work in a laminar flow hood, which increases the risk of contamination. Be extra cautious with sterile technique and be prepared for some contamination in your plates.</w:t>
            </w:r>
            <w:r>
              <w:t xml:space="preserve"> </w:t>
            </w:r>
            <w:r>
              <w:rPr>
                <w:b/>
                <w:bCs/>
              </w:rPr>
              <w:t xml:space="preserve">Work carefully and do not leave plates open for long periods of time.</w:t>
            </w:r>
          </w:p>
          <w:p/>
        </w:tc>
      </w:tr>
    </w:tbl>
    <w:p>
      <w:pPr>
        <w:pStyle w:val="BodyText"/>
      </w:pPr>
      <w:r>
        <w:rPr>
          <w:b/>
          <w:bCs/>
        </w:rPr>
        <w:t xml:space="preserve">Water Agar Plates:</w:t>
      </w:r>
      <w:r>
        <w:t xml:space="preserve"> </w:t>
      </w:r>
      <w:r>
        <w:t xml:space="preserve">Student scholars isolate fungal endophytes from leaves on water agar. We use one 100x15mm Petri dish to plate up to 6 leaf discs (</w:t>
      </w:r>
      <w:hyperlink w:anchor="fig-Wateragar">
        <w:r>
          <w:rPr>
            <w:rStyle w:val="Hyperlink"/>
          </w:rPr>
          <w:t xml:space="preserve">Figure 3</w:t>
        </w:r>
      </w:hyperlink>
      <w:r>
        <w:t xml:space="preserve">).</w:t>
      </w:r>
    </w:p>
    <w:p>
      <w:pPr>
        <w:pStyle w:val="BodyText"/>
      </w:pPr>
      <w:r>
        <w:rPr>
          <w:b/>
          <w:bCs/>
        </w:rPr>
        <w:t xml:space="preserve">Water Agar Recipe:</w:t>
      </w:r>
      <w:r>
        <w:t xml:space="preserve"> </w:t>
      </w:r>
      <w:r>
        <w:t xml:space="preserve">Suspend 39 grams bacteriological agar in 1000 mL (1 L) distilled water. Heat to boiling to dissolve the medium completely (in most cases, this step can be skipped as autoclaving will dissolve media). Sterilize by autoclaving at 15 lbs pressure at 121 °C for 15 minutes.</w:t>
      </w:r>
    </w:p>
    <w:p>
      <w:pPr>
        <w:pStyle w:val="BodyText"/>
      </w:pPr>
      <w:r>
        <w:t xml:space="preserve">When the media is cool enough to handle with autoclave gloves, pour 100x15mm plates in a sterile environment. Do not let it cool too long as the media will solidify. Each 100x15mm plate holds approximately 20 ml media. If plates will be used immediately smaller amounts of media can be poured into plates. If plates will be stored, use larger amounts. Store plates (agar side up)in the original dish sleeve in a refrigerator (~4 °C) until use.</w:t>
      </w:r>
    </w:p>
    <w:p>
      <w:pPr>
        <w:pStyle w:val="BodyText"/>
      </w:pPr>
      <w:r>
        <w:rPr>
          <w:b/>
          <w:bCs/>
        </w:rPr>
        <w:t xml:space="preserve">Disposal:</w:t>
      </w:r>
      <w:r>
        <w:t xml:space="preserve"> </w:t>
      </w:r>
      <w:r>
        <w:t xml:space="preserve">Place all Petri dishes in an autoclavable bag and sterilize at 15 lbs. pressure at 121 °C for 15 minutes. Follow institutional protocol for post-sterilization disposal. Be sure that the disposal of any heavy metals or other chemicals is properly handled.</w:t>
      </w:r>
    </w:p>
    <w:bookmarkEnd w:id="51"/>
    <w:bookmarkEnd w:id="52"/>
    <w:bookmarkEnd w:id="53"/>
    <w:bookmarkStart w:id="65" w:name="module-1.2-metadata-directions"/>
    <w:p>
      <w:pPr>
        <w:pStyle w:val="Heading2"/>
      </w:pPr>
      <w:r>
        <w:t xml:space="preserve">Module 1.2 – Metadata Directions</w:t>
      </w:r>
    </w:p>
    <w:bookmarkStart w:id="55" w:name="metadata"/>
    <w:p>
      <w:pPr>
        <w:pStyle w:val="Heading3"/>
      </w:pPr>
      <w:r>
        <w:t xml:space="preserve">Metadata</w:t>
      </w:r>
    </w:p>
    <w:p>
      <w:pPr>
        <w:pStyle w:val="FirstParagraph"/>
      </w:pPr>
      <w:r>
        <w:rPr>
          <w:b/>
          <w:bCs/>
        </w:rPr>
        <w:t xml:space="preserve">Metadata</w:t>
      </w:r>
      <w:r>
        <w:t xml:space="preserve"> </w:t>
      </w:r>
      <w:r>
        <w:t xml:space="preserve">is the data providing information about other data.</w:t>
      </w:r>
      <w:r>
        <w:t xml:space="preserve"> </w:t>
      </w:r>
      <w:r>
        <w:t xml:space="preserve">In this project, metadata refers to information related to the fungi you will study, including information about the substrate (e.g., plant host for fungal endophytes), location (latitude and longitude), elevation, images, fungal species, growth rates, assay information, images, and other variables. This document guides you through capturing this data and where to document it.</w:t>
      </w:r>
    </w:p>
    <w:p>
      <w:pPr>
        <w:pStyle w:val="BodyText"/>
      </w:pPr>
      <w:r>
        <w:t xml:space="preserve">Once you have selected the plant(s) that you will isolate fungi from, upload an image of each plant to your course’s iNaturalist Project page. This part of the larger MycoEd Fungal Genomics Education Project. The fungi you isolate from this plant and the data associated with the fungal isolates will be linked back to this observation. These data will then be freely available to you and any other researchers interested in investigating fungal endophyte ecology and genomics.</w:t>
      </w:r>
    </w:p>
    <w:p>
      <w:pPr>
        <w:pStyle w:val="BodyText"/>
      </w:pPr>
      <w:r>
        <w:t xml:space="preserve">Record metadata on the</w:t>
      </w:r>
      <w:r>
        <w:t xml:space="preserve"> </w:t>
      </w:r>
      <w:hyperlink r:id="rId54">
        <w:r>
          <w:rPr>
            <w:rStyle w:val="Hyperlink"/>
            <w:b/>
            <w:bCs/>
          </w:rPr>
          <w:t xml:space="preserve">Endophyte spreadsheet</w:t>
        </w:r>
      </w:hyperlink>
      <w:r>
        <w:t xml:space="preserve">. We will continue adding to this spreadsheet as we collect more data on our fungal isolates. This spreadsheet will be shared with you and your instructor/TA.</w:t>
      </w:r>
    </w:p>
    <w:bookmarkEnd w:id="55"/>
    <w:bookmarkStart w:id="57" w:name="inaturalist-plant-observation"/>
    <w:p>
      <w:pPr>
        <w:pStyle w:val="Heading3"/>
      </w:pPr>
      <w:r>
        <w:t xml:space="preserve">iNaturalist Plant Observation</w:t>
      </w:r>
    </w:p>
    <w:p>
      <w:pPr>
        <w:pStyle w:val="FirstParagraph"/>
      </w:pPr>
      <w:hyperlink r:id="rId56">
        <w:r>
          <w:rPr>
            <w:rStyle w:val="Hyperlink"/>
          </w:rPr>
          <w:t xml:space="preserve">NC State Myco Ed on iNaturalist</w:t>
        </w:r>
      </w:hyperlink>
    </w:p>
    <w:bookmarkEnd w:id="57"/>
    <w:bookmarkStart w:id="58" w:name="sample-naming"/>
    <w:p>
      <w:pPr>
        <w:pStyle w:val="Heading3"/>
      </w:pPr>
      <w:r>
        <w:t xml:space="preserve">Sample Naming</w:t>
      </w:r>
    </w:p>
    <w:p>
      <w:pPr>
        <w:pStyle w:val="FirstParagraph"/>
      </w:pPr>
      <w:r>
        <w:t xml:space="preserve">Your individual fungal isolates will be identified using several identifiers. The first will be the unique</w:t>
      </w:r>
      <w:r>
        <w:t xml:space="preserve"> </w:t>
      </w:r>
      <w:r>
        <w:rPr>
          <w:b/>
          <w:bCs/>
        </w:rPr>
        <w:t xml:space="preserve">Host ID number from iNaturalist</w:t>
      </w:r>
      <w:r>
        <w:t xml:space="preserve"> </w:t>
      </w:r>
      <w:r>
        <w:t xml:space="preserve">that identifies the host for the fungi you isolate. Second will be</w:t>
      </w:r>
      <w:r>
        <w:t xml:space="preserve"> </w:t>
      </w:r>
      <w:r>
        <w:rPr>
          <w:b/>
          <w:bCs/>
        </w:rPr>
        <w:t xml:space="preserve">your initials</w:t>
      </w:r>
      <w:r>
        <w:t xml:space="preserve">. Please use at least 3 initials since some large courses may have students with shared initials. Third,</w:t>
      </w:r>
      <w:r>
        <w:t xml:space="preserve"> </w:t>
      </w:r>
      <w:r>
        <w:rPr>
          <w:b/>
          <w:bCs/>
        </w:rPr>
        <w:t xml:space="preserve">each individual leaf you cultured fungi from will be a separate number</w:t>
      </w:r>
      <w:r>
        <w:t xml:space="preserve">. If you take multiple samples from the same leaf, they will be identified by letters. For example, if you have one leaf or needle with 3 different sections, they would be 1a, 1b, and 1c.</w:t>
      </w:r>
    </w:p>
    <w:p>
      <w:pPr>
        <w:pStyle w:val="BodyText"/>
      </w:pPr>
      <w:r>
        <w:rPr>
          <w:b/>
          <w:bCs/>
        </w:rPr>
        <w:t xml:space="preserve">Example:</w:t>
      </w:r>
      <w:r>
        <w:t xml:space="preserve"> </w:t>
      </w:r>
      <w:r>
        <w:t xml:space="preserve">You have leaves collected from a maple tree on your campus. This tree was logged in iNaturalist and given a unique field number MycoED_004 (or whatever format the field numbers are provided in by your instructor/TA and iNaturalist). Let’s assume your initials are ABC. From this collection, you have three leaves that you culture from: leaf 1, leaf 2, and leaf 3. From each of these leaves, you take six segments or sections, so these are letters a-f. So, if you isolate a fungus from the second leaf, third section, and your initials are ABC, the name of the isolate would look like MycoED_004_ABC_2c.</w:t>
      </w:r>
    </w:p>
    <w:p>
      <w:pPr>
        <w:pStyle w:val="BodyText"/>
      </w:pPr>
      <w:r>
        <w:t xml:space="preserve">With this naming scheme, anyone can trace the 1) plant host, 2) the researcher, 3) and the leaf and leaf section the fungal isolate came from. No other fungus will have this precise labeling unless additional fungi were isolated from this leaf section. After that step you will need to add additional identifiers.</w:t>
      </w:r>
    </w:p>
    <w:bookmarkEnd w:id="58"/>
    <w:bookmarkStart w:id="61" w:name="sample-location"/>
    <w:p>
      <w:pPr>
        <w:pStyle w:val="Heading3"/>
      </w:pPr>
      <w:r>
        <w:t xml:space="preserve">Sample Location</w:t>
      </w:r>
    </w:p>
    <w:p>
      <w:pPr>
        <w:pStyle w:val="FirstParagraph"/>
      </w:pPr>
      <w:r>
        <w:t xml:space="preserve">Record latitude and longitude in decimal format.</w:t>
      </w:r>
      <w:r>
        <w:t xml:space="preserve"> </w:t>
      </w:r>
      <w:r>
        <w:t xml:space="preserve">On a computer, go to iNaturalist observation. On the map, click on details at the bottom.</w:t>
      </w:r>
    </w:p>
    <w:p>
      <w:pPr>
        <w:pStyle w:val="BodyText"/>
      </w:pPr>
      <w:r>
        <w:t xml:space="preserve">From the dropdown menu. The Lat/Long is now shown. Click the copy button and paste it into the</w:t>
      </w:r>
      <w:r>
        <w:t xml:space="preserve"> </w:t>
      </w:r>
      <w:hyperlink r:id="rId54">
        <w:r>
          <w:rPr>
            <w:rStyle w:val="Hyperlink"/>
          </w:rPr>
          <w:t xml:space="preserve">Endophyte spreadsheet</w:t>
        </w:r>
      </w:hyperlink>
      <w:r>
        <w:t xml:space="preserve">.</w:t>
      </w:r>
    </w:p>
    <w:p>
      <w:pPr>
        <w:pStyle w:val="BodyText"/>
      </w:pPr>
      <w:r>
        <w:t xml:space="preserve">You can also find latitude/longitude coordinates on Google Maps.</w:t>
      </w:r>
    </w:p>
    <w:bookmarkStart w:id="59" w:name="for-android-phones"/>
    <w:p>
      <w:pPr>
        <w:pStyle w:val="Heading4"/>
      </w:pPr>
      <w:r>
        <w:t xml:space="preserve">For Android phones</w:t>
      </w:r>
    </w:p>
    <w:p>
      <w:pPr>
        <w:pStyle w:val="Compact"/>
        <w:numPr>
          <w:ilvl w:val="0"/>
          <w:numId w:val="1044"/>
        </w:numPr>
      </w:pPr>
      <w:r>
        <w:t xml:space="preserve">Tap on the location.</w:t>
      </w:r>
    </w:p>
    <w:p>
      <w:pPr>
        <w:pStyle w:val="Compact"/>
        <w:numPr>
          <w:ilvl w:val="0"/>
          <w:numId w:val="1044"/>
        </w:numPr>
      </w:pPr>
      <w:r>
        <w:t xml:space="preserve">Copy the latitutde/longitude coordinates.</w:t>
      </w:r>
    </w:p>
    <w:p>
      <w:pPr>
        <w:pStyle w:val="Compact"/>
        <w:numPr>
          <w:ilvl w:val="0"/>
          <w:numId w:val="1044"/>
        </w:numPr>
      </w:pPr>
      <w:r>
        <w:t xml:space="preserve">Paste the information. The text is automatically in decimal degree format.</w:t>
      </w:r>
    </w:p>
    <w:bookmarkEnd w:id="59"/>
    <w:bookmarkStart w:id="60" w:name="for-iphones"/>
    <w:p>
      <w:pPr>
        <w:pStyle w:val="Heading4"/>
      </w:pPr>
      <w:r>
        <w:t xml:space="preserve">For iPhones</w:t>
      </w:r>
    </w:p>
    <w:p>
      <w:pPr>
        <w:pStyle w:val="Compact"/>
        <w:numPr>
          <w:ilvl w:val="0"/>
          <w:numId w:val="1045"/>
        </w:numPr>
      </w:pPr>
      <w:r>
        <w:t xml:space="preserve">Open the Google Maps app. Tap the</w:t>
      </w:r>
      <w:r>
        <w:t xml:space="preserve"> </w:t>
      </w:r>
      <w:r>
        <w:t xml:space="preserve">“black triangle in a circle”</w:t>
      </w:r>
      <w:r>
        <w:t xml:space="preserve"> </w:t>
      </w:r>
      <w:r>
        <w:t xml:space="preserve">icon to zoom to your location.</w:t>
      </w:r>
    </w:p>
    <w:p>
      <w:pPr>
        <w:pStyle w:val="Compact"/>
        <w:numPr>
          <w:ilvl w:val="0"/>
          <w:numId w:val="1045"/>
        </w:numPr>
      </w:pPr>
      <w:r>
        <w:t xml:space="preserve">Long touch on your location. This should open a tab at the bottom of the screen.</w:t>
      </w:r>
    </w:p>
    <w:p>
      <w:pPr>
        <w:pStyle w:val="Compact"/>
        <w:numPr>
          <w:ilvl w:val="0"/>
          <w:numId w:val="1045"/>
        </w:numPr>
      </w:pPr>
      <w:r>
        <w:t xml:space="preserve">Scroll up. You should see the latitude and longitude coordinates of that position, looking something like this: (45.1234567, -122.1234567).</w:t>
      </w:r>
    </w:p>
    <w:p>
      <w:pPr>
        <w:pStyle w:val="Compact"/>
        <w:numPr>
          <w:ilvl w:val="0"/>
          <w:numId w:val="1045"/>
        </w:numPr>
      </w:pPr>
      <w:r>
        <w:t xml:space="preserve">Long touch the coordinates, tap copy and then paste into an email or text.</w:t>
      </w:r>
    </w:p>
    <w:bookmarkEnd w:id="60"/>
    <w:bookmarkEnd w:id="61"/>
    <w:bookmarkStart w:id="62" w:name="elevation"/>
    <w:p>
      <w:pPr>
        <w:pStyle w:val="Heading3"/>
      </w:pPr>
      <w:r>
        <w:t xml:space="preserve">Elevation</w:t>
      </w:r>
    </w:p>
    <w:p>
      <w:pPr>
        <w:pStyle w:val="FirstParagraph"/>
      </w:pPr>
      <w:r>
        <w:t xml:space="preserve">Record the elevation of the plant in meters.</w:t>
      </w:r>
      <w:r>
        <w:t xml:space="preserve"> </w:t>
      </w:r>
      <w:r>
        <w:t xml:space="preserve">On a computer, go to iNaturalist observation and again, click on details at the bottom.</w:t>
      </w:r>
      <w:r>
        <w:t xml:space="preserve"> </w:t>
      </w:r>
      <w:r>
        <w:t xml:space="preserve">1. On a computer, go to iNaturalist observation and again, click on details at the bottom.</w:t>
      </w:r>
      <w:r>
        <w:t xml:space="preserve"> </w:t>
      </w:r>
      <w:r>
        <w:t xml:space="preserve">2. At the bottom of the details window, click macrostrat.</w:t>
      </w:r>
      <w:r>
        <w:t xml:space="preserve"> </w:t>
      </w:r>
      <w:r>
        <w:t xml:space="preserve">3. The next window will display elevation in meters in the upper right. Record this elevation.</w:t>
      </w:r>
    </w:p>
    <w:bookmarkEnd w:id="62"/>
    <w:bookmarkStart w:id="64" w:name="canopy"/>
    <w:p>
      <w:pPr>
        <w:pStyle w:val="Heading3"/>
      </w:pPr>
      <w:r>
        <w:t xml:space="preserve">Canopy</w:t>
      </w:r>
    </w:p>
    <w:p>
      <w:pPr>
        <w:pStyle w:val="FirstParagraph"/>
      </w:pPr>
      <w:r>
        <w:t xml:space="preserve">Record the portion of the canopy where the leaf was collected:</w:t>
      </w:r>
    </w:p>
    <w:tbl>
      <w:tblPr>
        <w:tblStyle w:val="Table"/>
        <w:tblW w:type="pct" w:w="5000"/>
        <w:tblLayout w:type="fixed"/>
        <w:tblLook w:firstRow="0" w:lastRow="0" w:firstColumn="0" w:lastColumn="0" w:noHBand="0" w:noVBand="0" w:val="0000"/>
      </w:tblPr>
      <w:tblGrid>
        <w:gridCol w:w="7920"/>
      </w:tblGrid>
      <w:tr>
        <w:tc>
          <w:tcPr/>
          <w:bookmarkStart w:id="63" w:name="tbl-canopy-location"/>
          <w:p>
            <w:pPr>
              <w:jc w:val="center"/>
            </w:pPr>
            <w:pPr>
              <w:jc w:val="left"/>
              <w:spacing w:before="200"/>
              <w:pStyle w:val="ImageCaption"/>
            </w:pPr>
            <w:r>
              <w:t xml:space="preserve">Table 1: Table 1. Canopy location of leaf sample collection.</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t xml:space="preserve">Canopy Location</w:t>
                  </w:r>
                </w:p>
              </w:tc>
              <w:tc>
                <w:tcPr/>
                <w:p>
                  <w:pPr>
                    <w:pStyle w:val="Compact"/>
                    <w:jc w:val="center"/>
                  </w:pPr>
                  <w:r>
                    <w:t xml:space="preserve">Portion</w:t>
                  </w:r>
                </w:p>
              </w:tc>
            </w:tr>
            <w:tr>
              <w:tc>
                <w:tcPr/>
                <w:p>
                  <w:pPr>
                    <w:pStyle w:val="Compact"/>
                    <w:jc w:val="center"/>
                  </w:pPr>
                  <w:r>
                    <w:rPr>
                      <w:b/>
                      <w:bCs/>
                    </w:rPr>
                    <w:t xml:space="preserve">L-lower</w:t>
                  </w:r>
                </w:p>
              </w:tc>
              <w:tc>
                <w:tcPr/>
                <w:p>
                  <w:pPr>
                    <w:pStyle w:val="Compact"/>
                    <w:jc w:val="center"/>
                  </w:pPr>
                  <w:r>
                    <w:t xml:space="preserve">Lower 1/3 of plant</w:t>
                  </w:r>
                </w:p>
              </w:tc>
            </w:tr>
            <w:tr>
              <w:tc>
                <w:tcPr/>
                <w:p>
                  <w:pPr>
                    <w:pStyle w:val="Compact"/>
                    <w:jc w:val="center"/>
                  </w:pPr>
                  <w:r>
                    <w:rPr>
                      <w:b/>
                      <w:bCs/>
                    </w:rPr>
                    <w:t xml:space="preserve">M-middle</w:t>
                  </w:r>
                </w:p>
              </w:tc>
              <w:tc>
                <w:tcPr/>
                <w:p>
                  <w:pPr>
                    <w:pStyle w:val="Compact"/>
                    <w:jc w:val="center"/>
                  </w:pPr>
                  <w:r>
                    <w:t xml:space="preserve">Middle 1/3 of plant</w:t>
                  </w:r>
                </w:p>
              </w:tc>
            </w:tr>
            <w:tr>
              <w:tc>
                <w:tcPr/>
                <w:p>
                  <w:pPr>
                    <w:pStyle w:val="Compact"/>
                    <w:jc w:val="center"/>
                  </w:pPr>
                  <w:r>
                    <w:rPr>
                      <w:b/>
                      <w:bCs/>
                    </w:rPr>
                    <w:t xml:space="preserve">U-upper</w:t>
                  </w:r>
                </w:p>
              </w:tc>
              <w:tc>
                <w:tcPr/>
                <w:p>
                  <w:pPr>
                    <w:pStyle w:val="Compact"/>
                    <w:jc w:val="center"/>
                  </w:pPr>
                  <w:r>
                    <w:t xml:space="preserve">Upper 1/3 of plant</w:t>
                  </w:r>
                </w:p>
              </w:tc>
            </w:tr>
          </w:tbl>
          <w:bookmarkEnd w:id="63"/>
          <w:p/>
        </w:tc>
      </w:tr>
    </w:tbl>
    <w:bookmarkEnd w:id="64"/>
    <w:bookmarkEnd w:id="65"/>
    <w:bookmarkStart w:id="79" w:name="module-1.3-using-inaturalist"/>
    <w:p>
      <w:pPr>
        <w:pStyle w:val="Heading2"/>
      </w:pPr>
      <w:r>
        <w:t xml:space="preserve">Module 1.3 – Using iNaturalist</w:t>
      </w:r>
    </w:p>
    <w:bookmarkStart w:id="72" w:name="using-inaturalist"/>
    <w:p>
      <w:pPr>
        <w:pStyle w:val="Heading3"/>
      </w:pPr>
      <w:r>
        <w:t xml:space="preserve">Using iNaturalist</w:t>
      </w:r>
    </w:p>
    <w:p>
      <w:pPr>
        <w:pStyle w:val="FirstParagraph"/>
      </w:pPr>
      <w:r>
        <w:t xml:space="preserve">We will be sampling plant tissue and isolating endophytic fungi for an experiment in fungal genomics. Part of this research will include the collection of important meta-data which includes latitude and longitude information, sampled material/host, and taxonomic information. To facilitate this we are using iNaturalist.</w:t>
      </w:r>
    </w:p>
    <w:bookmarkStart w:id="66" w:name="Xbeec4a120114e651dbdef4718e7037939582acc"/>
    <w:p>
      <w:pPr>
        <w:pStyle w:val="Heading4"/>
      </w:pPr>
      <w:r>
        <w:t xml:space="preserve">Homework Assignment 1: Get Set Up to Use iNaturalist</w:t>
      </w:r>
    </w:p>
    <w:p>
      <w:pPr>
        <w:pStyle w:val="Compact"/>
        <w:numPr>
          <w:ilvl w:val="0"/>
          <w:numId w:val="1046"/>
        </w:numPr>
      </w:pPr>
      <w:r>
        <w:t xml:space="preserve">Go to https://www.inaturalist.org/ and make an account if you don’t already have one.</w:t>
      </w:r>
    </w:p>
    <w:p>
      <w:pPr>
        <w:pStyle w:val="Compact"/>
        <w:numPr>
          <w:ilvl w:val="0"/>
          <w:numId w:val="1046"/>
        </w:numPr>
      </w:pPr>
      <w:r>
        <w:t xml:space="preserve">Download the iNaturalist App to your phone.</w:t>
      </w:r>
    </w:p>
    <w:p>
      <w:pPr>
        <w:pStyle w:val="Compact"/>
        <w:numPr>
          <w:ilvl w:val="0"/>
          <w:numId w:val="1046"/>
        </w:numPr>
      </w:pPr>
      <w:r>
        <w:t xml:space="preserve">Give your iNaturalist user ID to your course instructor or TA. They will need this to add you to the course project. Be sure to ask your instructor for the name of the course project.</w:t>
      </w:r>
    </w:p>
    <w:p>
      <w:pPr>
        <w:pStyle w:val="Compact"/>
        <w:numPr>
          <w:ilvl w:val="0"/>
          <w:numId w:val="1046"/>
        </w:numPr>
      </w:pPr>
      <w:r>
        <w:t xml:space="preserve">Join your course project. Within your iNaturalist account, go to: Community&gt;Projects Assuming you’re invited you should see the name of your course project. Join the project. If you don’t see it, send your iNaturalist user ID to your Instructor or TA to receive an invitation.</w:t>
      </w:r>
    </w:p>
    <w:p>
      <w:pPr>
        <w:pStyle w:val="Compact"/>
        <w:numPr>
          <w:ilvl w:val="0"/>
          <w:numId w:val="1046"/>
        </w:numPr>
      </w:pPr>
      <w:r>
        <w:t xml:space="preserve">Add your name to iNaturalist or coontact your instructor with the information you will want to use and share.</w:t>
      </w:r>
    </w:p>
    <w:p>
      <w:pPr>
        <w:pStyle w:val="Compact"/>
        <w:numPr>
          <w:ilvl w:val="1"/>
          <w:numId w:val="1047"/>
        </w:numPr>
      </w:pPr>
      <w:r>
        <w:t xml:space="preserve">For your name to display properly you need it spelled out in your profile.</w:t>
      </w:r>
    </w:p>
    <w:p>
      <w:pPr>
        <w:pStyle w:val="Compact"/>
        <w:numPr>
          <w:ilvl w:val="1"/>
          <w:numId w:val="1047"/>
        </w:numPr>
      </w:pPr>
      <w:r>
        <w:t xml:space="preserve">Log into iNaturalist.</w:t>
      </w:r>
    </w:p>
    <w:p>
      <w:pPr>
        <w:pStyle w:val="Compact"/>
        <w:numPr>
          <w:ilvl w:val="1"/>
          <w:numId w:val="1047"/>
        </w:numPr>
      </w:pPr>
      <w:r>
        <w:t xml:space="preserve">Go to your profile icon in the top right.</w:t>
      </w:r>
    </w:p>
    <w:p>
      <w:pPr>
        <w:pStyle w:val="Compact"/>
        <w:numPr>
          <w:ilvl w:val="1"/>
          <w:numId w:val="1047"/>
        </w:numPr>
      </w:pPr>
      <w:r>
        <w:t xml:space="preserve">Select Account Settings.</w:t>
      </w:r>
    </w:p>
    <w:p>
      <w:pPr>
        <w:pStyle w:val="Compact"/>
        <w:numPr>
          <w:ilvl w:val="1"/>
          <w:numId w:val="1047"/>
        </w:numPr>
      </w:pPr>
      <w:r>
        <w:t xml:space="preserve">Type your real name into the space under Display Name.</w:t>
      </w:r>
    </w:p>
    <w:p>
      <w:pPr>
        <w:pStyle w:val="Compact"/>
        <w:numPr>
          <w:ilvl w:val="0"/>
          <w:numId w:val="1046"/>
        </w:numPr>
      </w:pPr>
      <w:r>
        <w:t xml:space="preserve">iNaturalist Application Settings on your phone.</w:t>
      </w:r>
    </w:p>
    <w:p>
      <w:pPr>
        <w:pStyle w:val="Compact"/>
        <w:numPr>
          <w:ilvl w:val="1"/>
          <w:numId w:val="1048"/>
        </w:numPr>
      </w:pPr>
      <w:r>
        <w:t xml:space="preserve">Go to settings on your phone.</w:t>
      </w:r>
    </w:p>
    <w:p>
      <w:pPr>
        <w:pStyle w:val="Compact"/>
        <w:numPr>
          <w:ilvl w:val="1"/>
          <w:numId w:val="1048"/>
        </w:numPr>
      </w:pPr>
      <w:r>
        <w:t xml:space="preserve">Turn off</w:t>
      </w:r>
      <w:r>
        <w:t xml:space="preserve"> </w:t>
      </w:r>
      <w:r>
        <w:t xml:space="preserve">“Automatic Upload”</w:t>
      </w:r>
      <w:r>
        <w:t xml:space="preserve"> </w:t>
      </w:r>
      <w:r>
        <w:t xml:space="preserve">(recommended).</w:t>
      </w:r>
    </w:p>
    <w:p>
      <w:pPr>
        <w:pStyle w:val="Compact"/>
        <w:numPr>
          <w:ilvl w:val="1"/>
          <w:numId w:val="1048"/>
        </w:numPr>
      </w:pPr>
      <w:r>
        <w:t xml:space="preserve">Adjust settings as they suit you.</w:t>
      </w:r>
    </w:p>
    <w:p>
      <w:pPr>
        <w:pStyle w:val="FirstParagraph"/>
      </w:pPr>
      <w:r>
        <w:rPr>
          <w:b/>
          <w:bCs/>
        </w:rPr>
        <w:t xml:space="preserve">Learn how to use iNaturalist to make observations for scientific research.</w:t>
      </w:r>
      <w:r>
        <w:t xml:space="preserve"> </w:t>
      </w:r>
      <w:r>
        <w:t xml:space="preserve">iNaturalist makes documenting samples easy through observations. We will use this to help collect the metadata on our specimens in the upcoming lab. To prepare yourself, please review the following resources.</w:t>
      </w:r>
    </w:p>
    <w:bookmarkEnd w:id="66"/>
    <w:bookmarkStart w:id="71" w:name="Xb7ad742eef97a8d3c4383a8bb43904736c9611c"/>
    <w:p>
      <w:pPr>
        <w:pStyle w:val="Heading4"/>
      </w:pPr>
      <w:r>
        <w:t xml:space="preserve">Homework Assignment 2: Review Videos on How to Document Fungi</w:t>
      </w:r>
    </w:p>
    <w:p>
      <w:pPr>
        <w:pStyle w:val="Compact"/>
        <w:numPr>
          <w:ilvl w:val="0"/>
          <w:numId w:val="1049"/>
        </w:numPr>
      </w:pPr>
      <w:hyperlink r:id="rId67">
        <w:r>
          <w:rPr>
            <w:rStyle w:val="Hyperlink"/>
          </w:rPr>
          <w:t xml:space="preserve">Getting Started</w:t>
        </w:r>
      </w:hyperlink>
    </w:p>
    <w:p>
      <w:pPr>
        <w:pStyle w:val="Compact"/>
        <w:numPr>
          <w:ilvl w:val="0"/>
          <w:numId w:val="1050"/>
        </w:numPr>
      </w:pPr>
      <w:hyperlink r:id="rId68">
        <w:r>
          <w:rPr>
            <w:rStyle w:val="Hyperlink"/>
          </w:rPr>
          <w:t xml:space="preserve">iNaturalist Videos</w:t>
        </w:r>
      </w:hyperlink>
    </w:p>
    <w:p>
      <w:pPr>
        <w:pStyle w:val="Compact"/>
        <w:numPr>
          <w:ilvl w:val="0"/>
          <w:numId w:val="1051"/>
        </w:numPr>
      </w:pPr>
      <w:hyperlink r:id="rId69">
        <w:r>
          <w:rPr>
            <w:rStyle w:val="Hyperlink"/>
          </w:rPr>
          <w:t xml:space="preserve">NAMA/FunDiS How To Collect Research Specimens</w:t>
        </w:r>
      </w:hyperlink>
    </w:p>
    <w:p>
      <w:pPr>
        <w:pStyle w:val="FirstParagraph"/>
      </w:pPr>
      <w:hyperlink r:id="rId69">
        <w:r>
          <w:rPr>
            <w:rStyle w:val="Hyperlink"/>
          </w:rPr>
          <w:t xml:space="preserve">https://youtu.be/EgZw37NjxkA</w:t>
        </w:r>
      </w:hyperlink>
    </w:p>
    <w:p>
      <w:pPr>
        <w:pStyle w:val="Compact"/>
        <w:numPr>
          <w:ilvl w:val="0"/>
          <w:numId w:val="1052"/>
        </w:numPr>
      </w:pPr>
      <w:hyperlink r:id="rId70">
        <w:r>
          <w:rPr>
            <w:rStyle w:val="Hyperlink"/>
          </w:rPr>
          <w:t xml:space="preserve">FunDiS Photography</w:t>
        </w:r>
      </w:hyperlink>
    </w:p>
    <w:p>
      <w:pPr>
        <w:pStyle w:val="FirstParagraph"/>
      </w:pPr>
      <w:r>
        <w:t xml:space="preserve">Our protocol will be specific to our project, but we will borrow from any/all of the video guides shown above.</w:t>
      </w:r>
    </w:p>
    <w:bookmarkEnd w:id="71"/>
    <w:bookmarkEnd w:id="72"/>
    <w:bookmarkStart w:id="78" w:name="X1455788dff4268325d88f82fa4ef5fe4cdcf16a"/>
    <w:p>
      <w:pPr>
        <w:pStyle w:val="Heading3"/>
      </w:pPr>
      <w:r>
        <w:t xml:space="preserve">Making observations for your mycology course (Myco-Ed)</w:t>
      </w:r>
    </w:p>
    <w:p>
      <w:pPr>
        <w:pStyle w:val="FirstParagraph"/>
      </w:pPr>
      <w:r>
        <w:t xml:space="preserve">To make the best use of iNaturalist as a tool for this course, and the broader MycoEd Project, you need to make quality observations of plant hosts, and the fungal endophyte cultures that come from these plants.</w:t>
      </w:r>
    </w:p>
    <w:bookmarkStart w:id="75" w:name="observations-of-plant-hosts"/>
    <w:p>
      <w:pPr>
        <w:pStyle w:val="Heading4"/>
      </w:pPr>
      <w:r>
        <w:t xml:space="preserve">Observations of Plant Hosts</w:t>
      </w:r>
    </w:p>
    <w:p>
      <w:pPr>
        <w:pStyle w:val="Compact"/>
        <w:numPr>
          <w:ilvl w:val="0"/>
          <w:numId w:val="1053"/>
        </w:numPr>
      </w:pPr>
      <w:r>
        <w:t xml:space="preserve">Open your iNaturalist Application.</w:t>
      </w:r>
    </w:p>
    <w:p>
      <w:pPr>
        <w:pStyle w:val="Compact"/>
        <w:numPr>
          <w:ilvl w:val="0"/>
          <w:numId w:val="1053"/>
        </w:numPr>
      </w:pPr>
      <w:r>
        <w:t xml:space="preserve">Make an observation of one host plant by taking a picture of it.</w:t>
      </w:r>
    </w:p>
    <w:p>
      <w:pPr>
        <w:pStyle w:val="Compact"/>
        <w:numPr>
          <w:ilvl w:val="1"/>
          <w:numId w:val="1054"/>
        </w:numPr>
      </w:pPr>
      <w:r>
        <w:t xml:space="preserve">Find the camera icon in the app and take a picture of your plant.</w:t>
      </w:r>
    </w:p>
    <w:p>
      <w:pPr>
        <w:pStyle w:val="Compact"/>
        <w:numPr>
          <w:ilvl w:val="1"/>
          <w:numId w:val="1054"/>
        </w:numPr>
      </w:pPr>
      <w:r>
        <w:t xml:space="preserve">Include one field label in an image of the plant. (review examples)</w:t>
      </w:r>
    </w:p>
    <w:p>
      <w:pPr>
        <w:pStyle w:val="Compact"/>
        <w:numPr>
          <w:ilvl w:val="1"/>
          <w:numId w:val="1054"/>
        </w:numPr>
      </w:pPr>
      <w:r>
        <w:t xml:space="preserve">Take images from multiple perspectives: whole plant, leaves, flowers &amp; fruits, branches, trunk…</w:t>
      </w:r>
    </w:p>
    <w:p>
      <w:pPr>
        <w:pStyle w:val="Compact"/>
        <w:numPr>
          <w:ilvl w:val="0"/>
          <w:numId w:val="1053"/>
        </w:numPr>
      </w:pPr>
      <w:r>
        <w:t xml:space="preserve">Alternatively, take images on your phone and upload them to iNaturalist. Again, make sure you are including a field label in your images.</w:t>
      </w:r>
    </w:p>
    <w:p>
      <w:pPr>
        <w:pStyle w:val="Compact"/>
        <w:numPr>
          <w:ilvl w:val="0"/>
          <w:numId w:val="1053"/>
        </w:numPr>
      </w:pPr>
      <w:r>
        <w:t xml:space="preserve">Before saving the observation, add it to your course project using the app.</w:t>
      </w:r>
    </w:p>
    <w:p>
      <w:pPr>
        <w:pStyle w:val="Compact"/>
        <w:numPr>
          <w:ilvl w:val="1"/>
          <w:numId w:val="1055"/>
        </w:numPr>
      </w:pPr>
      <w:r>
        <w:t xml:space="preserve">Go to</w:t>
      </w:r>
      <w:r>
        <w:t xml:space="preserve"> </w:t>
      </w:r>
      <w:r>
        <w:t xml:space="preserve">“Projects”</w:t>
      </w:r>
    </w:p>
    <w:p>
      <w:pPr>
        <w:pStyle w:val="Compact"/>
        <w:numPr>
          <w:ilvl w:val="1"/>
          <w:numId w:val="1055"/>
        </w:numPr>
      </w:pPr>
      <w:r>
        <w:t xml:space="preserve">Select the course project.</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73" name="Picture"/>
                  <a:graphic>
                    <a:graphicData uri="http://schemas.openxmlformats.org/drawingml/2006/picture">
                      <pic:pic>
                        <pic:nvPicPr>
                          <pic:cNvPr descr="/opt/quarto/share/formats/docx/tip.png" id="74" name="Picture"/>
                          <pic:cNvPicPr>
                            <a:picLocks noChangeArrowheads="1" noChangeAspect="1"/>
                          </pic:cNvPicPr>
                        </pic:nvPicPr>
                        <pic:blipFill>
                          <a:blip r:embed="rId1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Tip</w:t>
            </w:r>
          </w:p>
        </w:tc>
      </w:tr>
      <w:tr>
        <w:trPr>
          <w:cantSplit/>
        </w:trPr>
        <w:tc>
          <w:tcPr>
            <w:tcMar>
              <w:top w:w="108" w:type="dxa"/>
              <w:bottom w:w="108" w:type="dxa"/>
            </w:tcMar>
          </w:tcPr>
          <w:p>
            <w:pPr>
              <w:pStyle w:val="BodyText"/>
            </w:pPr>
            <w:pPr>
              <w:spacing w:before="16" w:after="16"/>
            </w:pPr>
            <w:r>
              <w:t xml:space="preserve">You must join the course project before this step. Refer to the third bullet point at the beginning of these instructions.</w:t>
            </w:r>
          </w:p>
          <w:p/>
        </w:tc>
      </w:tr>
    </w:tbl>
    <w:p>
      <w:pPr>
        <w:pStyle w:val="Compact"/>
        <w:numPr>
          <w:ilvl w:val="0"/>
          <w:numId w:val="1056"/>
        </w:numPr>
      </w:pPr>
      <w:r>
        <w:t xml:space="preserve">Click Done to save your observation.</w:t>
      </w:r>
    </w:p>
    <w:p>
      <w:pPr>
        <w:pStyle w:val="Compact"/>
        <w:numPr>
          <w:ilvl w:val="0"/>
          <w:numId w:val="1056"/>
        </w:numPr>
      </w:pPr>
      <w:r>
        <w:t xml:space="preserve">Assuming you’ve turned</w:t>
      </w:r>
      <w:r>
        <w:t xml:space="preserve"> </w:t>
      </w:r>
      <w:r>
        <w:t xml:space="preserve">“automatic upload”</w:t>
      </w:r>
      <w:r>
        <w:t xml:space="preserve"> </w:t>
      </w:r>
      <w:r>
        <w:t xml:space="preserve">off, you will need to manually upload your observation. This will appear green on your phone until it is uploaded.</w:t>
      </w:r>
    </w:p>
    <w:p>
      <w:pPr>
        <w:pStyle w:val="Compact"/>
        <w:numPr>
          <w:ilvl w:val="0"/>
          <w:numId w:val="1056"/>
        </w:numPr>
      </w:pPr>
      <w:r>
        <w:t xml:space="preserve">Double-check your observation online.</w:t>
      </w:r>
    </w:p>
    <w:p>
      <w:pPr>
        <w:pStyle w:val="Compact"/>
        <w:numPr>
          <w:ilvl w:val="1"/>
          <w:numId w:val="1057"/>
        </w:numPr>
      </w:pPr>
      <w:r>
        <w:t xml:space="preserve">It will appear on your account if it was uploaded correctly.</w:t>
      </w:r>
    </w:p>
    <w:p>
      <w:pPr>
        <w:pStyle w:val="Compact"/>
        <w:numPr>
          <w:ilvl w:val="0"/>
          <w:numId w:val="1056"/>
        </w:numPr>
      </w:pPr>
      <w:r>
        <w:t xml:space="preserve">Add Myco-Ed ID. This will attach the field label ID number to this host observation.</w:t>
      </w:r>
    </w:p>
    <w:p>
      <w:pPr>
        <w:pStyle w:val="Compact"/>
        <w:numPr>
          <w:ilvl w:val="1"/>
          <w:numId w:val="1058"/>
        </w:numPr>
      </w:pPr>
      <w:r>
        <w:t xml:space="preserve">Under Observations Fields, on the lower right portion of the page, type</w:t>
      </w:r>
      <w:r>
        <w:t xml:space="preserve"> </w:t>
      </w:r>
      <w:r>
        <w:t xml:space="preserve">“MycoEd”</w:t>
      </w:r>
    </w:p>
    <w:p>
      <w:pPr>
        <w:pStyle w:val="Compact"/>
        <w:numPr>
          <w:ilvl w:val="1"/>
          <w:numId w:val="1058"/>
        </w:numPr>
      </w:pPr>
      <w:r>
        <w:t xml:space="preserve">Select</w:t>
      </w:r>
      <w:r>
        <w:t xml:space="preserve"> </w:t>
      </w:r>
      <w:r>
        <w:t xml:space="preserve">“MycoEd ID”</w:t>
      </w:r>
      <w:r>
        <w:t xml:space="preserve"> </w:t>
      </w:r>
      <w:r>
        <w:t xml:space="preserve">from the dropdown that appears.</w:t>
      </w:r>
    </w:p>
    <w:p>
      <w:pPr>
        <w:pStyle w:val="Compact"/>
        <w:numPr>
          <w:ilvl w:val="1"/>
          <w:numId w:val="1058"/>
        </w:numPr>
      </w:pPr>
      <w:r>
        <w:t xml:space="preserve">Add the field label ID number assigned to this host in the blank field under MycoEd ID.</w:t>
      </w:r>
    </w:p>
    <w:p>
      <w:pPr>
        <w:pStyle w:val="Compact"/>
        <w:numPr>
          <w:ilvl w:val="1"/>
          <w:numId w:val="1058"/>
        </w:numPr>
      </w:pPr>
      <w:r>
        <w:t xml:space="preserve">Click</w:t>
      </w:r>
      <w:r>
        <w:t xml:space="preserve"> </w:t>
      </w:r>
      <w:r>
        <w:t xml:space="preserve">“Add”</w:t>
      </w:r>
      <w:r>
        <w:t xml:space="preserve">.</w:t>
      </w:r>
    </w:p>
    <w:p>
      <w:pPr>
        <w:pStyle w:val="FirstParagraph"/>
      </w:pPr>
      <w:r>
        <w:t xml:space="preserve">Under Project you should see the name for your course project. If not, click on the open field and the course project’s name should appear in the drop-down menu. Select the</w:t>
      </w:r>
    </w:p>
    <w:bookmarkEnd w:id="75"/>
    <w:bookmarkStart w:id="76" w:name="observations-of-fungal-cultures"/>
    <w:p>
      <w:pPr>
        <w:pStyle w:val="Heading4"/>
      </w:pPr>
      <w:r>
        <w:t xml:space="preserve">Observations of Fungal Cultures</w:t>
      </w:r>
    </w:p>
    <w:p>
      <w:pPr>
        <w:pStyle w:val="FirstParagraph"/>
      </w:pPr>
      <w:r>
        <w:t xml:space="preserve">Protocols for making observations of fungal cultures that follow the same steps as above with some added metadata that will go in as</w:t>
      </w:r>
      <w:r>
        <w:t xml:space="preserve"> </w:t>
      </w:r>
      <w:r>
        <w:t xml:space="preserve">“Observation Fields”</w:t>
      </w:r>
      <w:r>
        <w:t xml:space="preserve">.</w:t>
      </w:r>
    </w:p>
    <w:p>
      <w:pPr>
        <w:pStyle w:val="Compact"/>
        <w:numPr>
          <w:ilvl w:val="0"/>
          <w:numId w:val="1059"/>
        </w:numPr>
      </w:pPr>
      <w:r>
        <w:t xml:space="preserve">Open your iNaturalist Application.</w:t>
      </w:r>
    </w:p>
    <w:p>
      <w:pPr>
        <w:pStyle w:val="Compact"/>
        <w:numPr>
          <w:ilvl w:val="1"/>
          <w:numId w:val="1060"/>
        </w:numPr>
      </w:pPr>
      <w:r>
        <w:t xml:space="preserve">Alternatively, take images on your phone and upload them to iNaturalist.</w:t>
      </w:r>
    </w:p>
    <w:p>
      <w:pPr>
        <w:pStyle w:val="Compact"/>
        <w:numPr>
          <w:ilvl w:val="0"/>
          <w:numId w:val="1059"/>
        </w:numPr>
      </w:pPr>
      <w:r>
        <w:t xml:space="preserve">Make an observation of the fungal isolate by taking a picture of it.</w:t>
      </w:r>
    </w:p>
    <w:p>
      <w:pPr>
        <w:pStyle w:val="Compact"/>
        <w:numPr>
          <w:ilvl w:val="1"/>
          <w:numId w:val="1061"/>
        </w:numPr>
      </w:pPr>
      <w:r>
        <w:t xml:space="preserve">Take pictures from the top and bottom, including the label.</w:t>
      </w:r>
    </w:p>
    <w:p>
      <w:pPr>
        <w:pStyle w:val="Compact"/>
        <w:numPr>
          <w:ilvl w:val="0"/>
          <w:numId w:val="1059"/>
        </w:numPr>
      </w:pPr>
      <w:r>
        <w:t xml:space="preserve">Before saving the observation, add it to your course project using the app.</w:t>
      </w:r>
    </w:p>
    <w:p>
      <w:pPr>
        <w:pStyle w:val="Compact"/>
        <w:numPr>
          <w:ilvl w:val="1"/>
          <w:numId w:val="1062"/>
        </w:numPr>
      </w:pPr>
      <w:r>
        <w:t xml:space="preserve">Follow the instructions detailed above.</w:t>
      </w:r>
    </w:p>
    <w:p>
      <w:pPr>
        <w:pStyle w:val="Compact"/>
        <w:numPr>
          <w:ilvl w:val="0"/>
          <w:numId w:val="1059"/>
        </w:numPr>
      </w:pPr>
      <w:r>
        <w:t xml:space="preserve">Click Done to save your observation.</w:t>
      </w:r>
    </w:p>
    <w:p>
      <w:pPr>
        <w:pStyle w:val="Compact"/>
        <w:numPr>
          <w:ilvl w:val="0"/>
          <w:numId w:val="1059"/>
        </w:numPr>
      </w:pPr>
      <w:r>
        <w:t xml:space="preserve">Manually upload your observation. This will appear green on your phone until it is uploaded.</w:t>
      </w:r>
    </w:p>
    <w:p>
      <w:pPr>
        <w:pStyle w:val="Compact"/>
        <w:numPr>
          <w:ilvl w:val="0"/>
          <w:numId w:val="1059"/>
        </w:numPr>
      </w:pPr>
      <w:r>
        <w:t xml:space="preserve">Double-check your observation online.</w:t>
      </w:r>
    </w:p>
    <w:p>
      <w:pPr>
        <w:pStyle w:val="Compact"/>
        <w:numPr>
          <w:ilvl w:val="1"/>
          <w:numId w:val="1063"/>
        </w:numPr>
      </w:pPr>
      <w:r>
        <w:t xml:space="preserve">It will appear on your account if it was uploaded correctly.</w:t>
      </w:r>
    </w:p>
    <w:bookmarkEnd w:id="76"/>
    <w:bookmarkStart w:id="77" w:name="adding-inaturalist-observation-fields"/>
    <w:p>
      <w:pPr>
        <w:pStyle w:val="Heading4"/>
      </w:pPr>
      <w:r>
        <w:t xml:space="preserve">Adding iNaturalist Observation Fields</w:t>
      </w:r>
    </w:p>
    <w:p>
      <w:pPr>
        <w:pStyle w:val="Compact"/>
        <w:numPr>
          <w:ilvl w:val="0"/>
          <w:numId w:val="1064"/>
        </w:numPr>
      </w:pPr>
      <w:r>
        <w:t xml:space="preserve">Add MycoEd ID. This will attach the field label ID number to this host observation.</w:t>
      </w:r>
    </w:p>
    <w:p>
      <w:pPr>
        <w:pStyle w:val="Compact"/>
        <w:numPr>
          <w:ilvl w:val="1"/>
          <w:numId w:val="1065"/>
        </w:numPr>
      </w:pPr>
      <w:r>
        <w:t xml:space="preserve">Follow the above directions.</w:t>
      </w:r>
    </w:p>
    <w:p>
      <w:pPr>
        <w:pStyle w:val="Compact"/>
        <w:numPr>
          <w:ilvl w:val="1"/>
          <w:numId w:val="1065"/>
        </w:numPr>
      </w:pPr>
      <w:r>
        <w:t xml:space="preserve">The format of the MycoEd ID of fungal isolates should be in the form of: MycoEd Host ID_Your Initials_Leaf and Fragment number.</w:t>
      </w:r>
      <w:r>
        <w:t xml:space="preserve"> </w:t>
      </w:r>
      <w:r>
        <w:t xml:space="preserve">Example: MycoEd_004_ABC_2c</w:t>
      </w:r>
      <w:r>
        <w:t xml:space="preserve"> </w:t>
      </w:r>
      <w:r>
        <w:t xml:space="preserve">See: Myco-Ed Module 1.1 - Metadata, under the Sample Naming section</w:t>
      </w:r>
    </w:p>
    <w:p>
      <w:pPr>
        <w:pStyle w:val="Compact"/>
        <w:numPr>
          <w:ilvl w:val="0"/>
          <w:numId w:val="1064"/>
        </w:numPr>
      </w:pPr>
      <w:r>
        <w:t xml:space="preserve">Add other iNaturalist Observation Fields</w:t>
      </w:r>
    </w:p>
    <w:p>
      <w:pPr>
        <w:pStyle w:val="Compact"/>
        <w:numPr>
          <w:ilvl w:val="1"/>
          <w:numId w:val="1066"/>
        </w:numPr>
      </w:pPr>
      <w:r>
        <w:t xml:space="preserve">For ITS sequence data from fungal isolates, use DNA Sequence ITS</w:t>
      </w:r>
    </w:p>
    <w:p>
      <w:pPr>
        <w:pStyle w:val="Compact"/>
        <w:numPr>
          <w:ilvl w:val="1"/>
          <w:numId w:val="1066"/>
        </w:numPr>
      </w:pPr>
      <w:r>
        <w:t xml:space="preserve">To link to the host iNaturalist observation for this fungus, use the Host Observation Observation Field and add the URL to the host observation.</w:t>
      </w:r>
    </w:p>
    <w:bookmarkEnd w:id="77"/>
    <w:bookmarkEnd w:id="78"/>
    <w:bookmarkEnd w:id="79"/>
    <w:bookmarkStart w:id="107" w:name="module-1.4-fungal-sampling-and-culturing"/>
    <w:p>
      <w:pPr>
        <w:pStyle w:val="Heading2"/>
      </w:pPr>
      <w:r>
        <w:t xml:space="preserve">Module 1.4 – Fungal Sampling and Culturing</w:t>
      </w:r>
    </w:p>
    <w:bookmarkStart w:id="80" w:name="purpose"/>
    <w:p>
      <w:pPr>
        <w:pStyle w:val="Heading3"/>
      </w:pPr>
      <w:r>
        <w:t xml:space="preserve">Purpose</w:t>
      </w:r>
    </w:p>
    <w:p>
      <w:pPr>
        <w:pStyle w:val="FirstParagraph"/>
      </w:pPr>
      <w:r>
        <w:t xml:space="preserve">This lab session will introduce you to sterile/aseptic technique, culturing, isolating, and documenting fungal growth.</w:t>
      </w:r>
    </w:p>
    <w:bookmarkEnd w:id="80"/>
    <w:bookmarkStart w:id="85" w:name="introduction-1"/>
    <w:p>
      <w:pPr>
        <w:pStyle w:val="Heading3"/>
      </w:pPr>
      <w:r>
        <w:t xml:space="preserve">Introduction</w:t>
      </w:r>
    </w:p>
    <w:p>
      <w:pPr>
        <w:pStyle w:val="FirstParagraph"/>
      </w:pPr>
      <w:r>
        <w:t xml:space="preserve">Every species of plant surveyed to date hosts a multitude of fungal</w:t>
      </w:r>
      <w:r>
        <w:t xml:space="preserve"> </w:t>
      </w:r>
      <w:r>
        <w:rPr>
          <w:b/>
          <w:bCs/>
        </w:rPr>
        <w:t xml:space="preserve">endophytes</w:t>
      </w:r>
      <w:r>
        <w:t xml:space="preserve">. These symbiotic fungi exist in all plant tissues, including leaves, bark, roots, and reproductive structures such as flowers and seeds. Observation of leaves can provide information on potential plant disesase, including fungal infections. This is illustrated in</w:t>
      </w:r>
      <w:r>
        <w:t xml:space="preserve"> </w:t>
      </w:r>
      <w:hyperlink w:anchor="fig-leafpathologies">
        <w:r>
          <w:rPr>
            <w:rStyle w:val="Hyperlink"/>
          </w:rPr>
          <w:t xml:space="preserve">Figure 1</w:t>
        </w:r>
      </w:hyperlink>
      <w:r>
        <w:t xml:space="preserve">, which depicts a variety of leaf pathologies. Fungal endophytes can be cultured from healthy plant tissue, and these fungi can be important for plant health and fitness. These fungi can be mutualistic, commensal, or parasitic. They can also be latent pathogens that cause disease under certain conditions.</w:t>
      </w:r>
    </w:p>
    <w:p>
      <w:pPr>
        <w:pStyle w:val="BodyText"/>
      </w:pPr>
      <w:r>
        <w:t xml:space="preserve">All lineages of fungi contain endophytic species, however the majority of fungal endophytes described to date are Ascomycetes. Research has shown that fungal endophytes impact both plant species fitness and plant community fitness. Fungal endophytes can confer abiotic and biotic stress tolerance, influence biomass and water consumption, and alter resource allocation. The fungi live either between the plant cells, between the cell wall and the cell membrane, or sometimes even within the cell membrane. This project is part of the MycoEd Fungal Genomics Education Project.</w:t>
      </w:r>
      <w:r>
        <w:t xml:space="preserve"> </w:t>
      </w:r>
      <w:r>
        <w:rPr>
          <w:b/>
          <w:bCs/>
        </w:rPr>
        <w:t xml:space="preserve">The goal of this long-term research project is to produce fungal reference genomes to better understand their biology.</w:t>
      </w:r>
    </w:p>
    <w:tbl>
      <w:tblPr>
        <w:tblStyle w:val="Table"/>
        <w:tblW w:type="pct" w:w="5000"/>
        <w:tblLayout w:type="fixed"/>
        <w:tblLook w:firstRow="0" w:lastRow="0" w:firstColumn="0" w:lastColumn="0" w:noHBand="0" w:noVBand="0" w:val="0000"/>
      </w:tblPr>
      <w:tblGrid>
        <w:gridCol w:w="7920"/>
      </w:tblGrid>
      <w:tr>
        <w:tc>
          <w:tcPr/>
          <w:bookmarkStart w:id="84" w:name="fig-leafpathologies"/>
          <w:p>
            <w:pPr>
              <w:pStyle w:val="Compact"/>
              <w:jc w:val="center"/>
            </w:pPr>
            <w:r>
              <w:drawing>
                <wp:inline>
                  <wp:extent cx="5334000" cy="3733799"/>
                  <wp:effectExtent b="0" l="0" r="0" t="0"/>
                  <wp:docPr descr="" title="" id="82" name="Picture"/>
                  <a:graphic>
                    <a:graphicData uri="http://schemas.openxmlformats.org/drawingml/2006/picture">
                      <pic:pic>
                        <pic:nvPicPr>
                          <pic:cNvPr descr="images/LeafPathologies.png" id="83" name="Picture"/>
                          <pic:cNvPicPr>
                            <a:picLocks noChangeArrowheads="1" noChangeAspect="1"/>
                          </pic:cNvPicPr>
                        </pic:nvPicPr>
                        <pic:blipFill>
                          <a:blip r:embed="rId81"/>
                          <a:stretch>
                            <a:fillRect/>
                          </a:stretch>
                        </pic:blipFill>
                        <pic:spPr bwMode="auto">
                          <a:xfrm>
                            <a:off x="0" y="0"/>
                            <a:ext cx="5334000" cy="3733799"/>
                          </a:xfrm>
                          <a:prstGeom prst="rect">
                            <a:avLst/>
                          </a:prstGeom>
                          <a:noFill/>
                          <a:ln w="9525">
                            <a:noFill/>
                            <a:headEnd/>
                            <a:tailEnd/>
                          </a:ln>
                        </pic:spPr>
                      </pic:pic>
                    </a:graphicData>
                  </a:graphic>
                </wp:inline>
              </w:drawing>
            </w:r>
          </w:p>
          <w:p>
            <w:pPr>
              <w:jc w:val="center"/>
            </w:pPr>
            <w:pPr>
              <w:jc w:val="left"/>
              <w:spacing w:before="200"/>
              <w:pStyle w:val="ImageCaption"/>
            </w:pPr>
            <w:r>
              <w:t xml:space="preserve">Figure 1: Fungal Sampling. Leaves have different shapes and sizes. Leaf pathologies and diseases can be identified by inspection of leaves. Figure created with BioRender.com.</w:t>
            </w:r>
          </w:p>
          <w:bookmarkEnd w:id="84"/>
        </w:tc>
      </w:tr>
    </w:tbl>
    <w:bookmarkEnd w:id="85"/>
    <w:bookmarkStart w:id="86" w:name="learning-goals"/>
    <w:p>
      <w:pPr>
        <w:pStyle w:val="Heading3"/>
      </w:pPr>
      <w:r>
        <w:t xml:space="preserve">Learning Goals</w:t>
      </w:r>
    </w:p>
    <w:p>
      <w:pPr>
        <w:pStyle w:val="Compact"/>
        <w:numPr>
          <w:ilvl w:val="0"/>
          <w:numId w:val="1067"/>
        </w:numPr>
      </w:pPr>
      <w:r>
        <w:rPr>
          <w:b/>
          <w:bCs/>
        </w:rPr>
        <w:t xml:space="preserve">Document</w:t>
      </w:r>
      <w:r>
        <w:t xml:space="preserve"> </w:t>
      </w:r>
      <w:r>
        <w:t xml:space="preserve">fungal isolation using iNaturalist</w:t>
      </w:r>
    </w:p>
    <w:p>
      <w:pPr>
        <w:pStyle w:val="Compact"/>
        <w:numPr>
          <w:ilvl w:val="0"/>
          <w:numId w:val="1067"/>
        </w:numPr>
      </w:pPr>
      <w:r>
        <w:rPr>
          <w:b/>
          <w:bCs/>
        </w:rPr>
        <w:t xml:space="preserve">Practice</w:t>
      </w:r>
      <w:r>
        <w:t xml:space="preserve"> </w:t>
      </w:r>
      <w:r>
        <w:t xml:space="preserve">sterile technique</w:t>
      </w:r>
    </w:p>
    <w:p>
      <w:pPr>
        <w:pStyle w:val="Compact"/>
        <w:numPr>
          <w:ilvl w:val="0"/>
          <w:numId w:val="1067"/>
        </w:numPr>
      </w:pPr>
      <w:r>
        <w:rPr>
          <w:b/>
          <w:bCs/>
        </w:rPr>
        <w:t xml:space="preserve">Culture</w:t>
      </w:r>
      <w:r>
        <w:t xml:space="preserve"> </w:t>
      </w:r>
      <w:r>
        <w:t xml:space="preserve">and</w:t>
      </w:r>
      <w:r>
        <w:t xml:space="preserve"> </w:t>
      </w:r>
      <w:r>
        <w:rPr>
          <w:b/>
          <w:bCs/>
        </w:rPr>
        <w:t xml:space="preserve">isolate</w:t>
      </w:r>
      <w:r>
        <w:t xml:space="preserve"> </w:t>
      </w:r>
      <w:r>
        <w:t xml:space="preserve">fungi</w:t>
      </w:r>
    </w:p>
    <w:p>
      <w:pPr>
        <w:pStyle w:val="Compact"/>
        <w:numPr>
          <w:ilvl w:val="0"/>
          <w:numId w:val="1067"/>
        </w:numPr>
      </w:pPr>
      <w:r>
        <w:rPr>
          <w:b/>
          <w:bCs/>
        </w:rPr>
        <w:t xml:space="preserve">Investigate</w:t>
      </w:r>
      <w:r>
        <w:t xml:space="preserve"> </w:t>
      </w:r>
      <w:r>
        <w:t xml:space="preserve">fungal endophytes</w:t>
      </w:r>
    </w:p>
    <w:p>
      <w:pPr>
        <w:pStyle w:val="Compact"/>
        <w:numPr>
          <w:ilvl w:val="0"/>
          <w:numId w:val="1067"/>
        </w:numPr>
      </w:pPr>
      <w:r>
        <w:rPr>
          <w:b/>
          <w:bCs/>
        </w:rPr>
        <w:t xml:space="preserve">Characterize</w:t>
      </w:r>
      <w:r>
        <w:t xml:space="preserve"> </w:t>
      </w:r>
      <w:r>
        <w:t xml:space="preserve">morphology of fungal cultures</w:t>
      </w:r>
    </w:p>
    <w:bookmarkEnd w:id="86"/>
    <w:bookmarkStart w:id="87" w:name="materials"/>
    <w:p>
      <w:pPr>
        <w:pStyle w:val="Heading3"/>
      </w:pPr>
      <w:r>
        <w:t xml:space="preserve">Materials</w:t>
      </w:r>
    </w:p>
    <w:p>
      <w:pPr>
        <w:pStyle w:val="Compact"/>
        <w:numPr>
          <w:ilvl w:val="0"/>
          <w:numId w:val="1068"/>
        </w:numPr>
      </w:pPr>
      <w:r>
        <w:t xml:space="preserve">3 large water agar Petri plates (150 x 10 mm)per student - these are for initial isolation</w:t>
      </w:r>
    </w:p>
    <w:p>
      <w:pPr>
        <w:pStyle w:val="Compact"/>
        <w:numPr>
          <w:ilvl w:val="0"/>
          <w:numId w:val="1069"/>
        </w:numPr>
      </w:pPr>
      <w:r>
        <w:t xml:space="preserve">Sharpie or marker for labeling plates</w:t>
      </w:r>
    </w:p>
    <w:p>
      <w:pPr>
        <w:pStyle w:val="Compact"/>
        <w:numPr>
          <w:ilvl w:val="0"/>
          <w:numId w:val="1070"/>
        </w:numPr>
      </w:pPr>
      <w:r>
        <w:t xml:space="preserve">Parafilm</w:t>
      </w:r>
    </w:p>
    <w:p>
      <w:pPr>
        <w:pStyle w:val="Compact"/>
        <w:numPr>
          <w:ilvl w:val="0"/>
          <w:numId w:val="1071"/>
        </w:numPr>
      </w:pPr>
      <w:r>
        <w:t xml:space="preserve">Paper towels</w:t>
      </w:r>
    </w:p>
    <w:p>
      <w:pPr>
        <w:pStyle w:val="Compact"/>
        <w:numPr>
          <w:ilvl w:val="0"/>
          <w:numId w:val="1072"/>
        </w:numPr>
      </w:pPr>
      <w:r>
        <w:t xml:space="preserve">Gloves</w:t>
      </w:r>
    </w:p>
    <w:p>
      <w:pPr>
        <w:pStyle w:val="Compact"/>
        <w:numPr>
          <w:ilvl w:val="0"/>
          <w:numId w:val="1073"/>
        </w:numPr>
      </w:pPr>
      <w:r>
        <w:t xml:space="preserve">Bleach</w:t>
      </w:r>
    </w:p>
    <w:p>
      <w:pPr>
        <w:pStyle w:val="Compact"/>
        <w:numPr>
          <w:ilvl w:val="0"/>
          <w:numId w:val="1074"/>
        </w:numPr>
      </w:pPr>
      <w:r>
        <w:t xml:space="preserve">Ethanol</w:t>
      </w:r>
    </w:p>
    <w:p>
      <w:pPr>
        <w:pStyle w:val="Compact"/>
        <w:numPr>
          <w:ilvl w:val="0"/>
          <w:numId w:val="1075"/>
        </w:numPr>
      </w:pPr>
      <w:r>
        <w:t xml:space="preserve">Scissors</w:t>
      </w:r>
    </w:p>
    <w:p>
      <w:pPr>
        <w:pStyle w:val="Compact"/>
        <w:numPr>
          <w:ilvl w:val="0"/>
          <w:numId w:val="1076"/>
        </w:numPr>
      </w:pPr>
      <w:r>
        <w:t xml:space="preserve">Metal hole punch</w:t>
      </w:r>
    </w:p>
    <w:p>
      <w:pPr>
        <w:pStyle w:val="Compact"/>
        <w:numPr>
          <w:ilvl w:val="0"/>
          <w:numId w:val="1077"/>
        </w:numPr>
      </w:pPr>
      <w:r>
        <w:t xml:space="preserve">Forceps</w:t>
      </w:r>
    </w:p>
    <w:bookmarkEnd w:id="87"/>
    <w:bookmarkStart w:id="106" w:name="instructions"/>
    <w:p>
      <w:pPr>
        <w:pStyle w:val="Heading3"/>
      </w:pPr>
      <w:r>
        <w:t xml:space="preserve">Instructions</w:t>
      </w:r>
    </w:p>
    <w:bookmarkStart w:id="88" w:name="isolation-of-fungi-from-leaves"/>
    <w:p>
      <w:pPr>
        <w:pStyle w:val="Heading4"/>
      </w:pPr>
      <w:r>
        <w:t xml:space="preserve">Isolation of Fungi from Leaves</w:t>
      </w:r>
    </w:p>
    <w:p>
      <w:pPr>
        <w:pStyle w:val="FirstParagraph"/>
      </w:pPr>
      <w:r>
        <w:t xml:space="preserve">Before you begin, read through the entire instructions. Be sure to consult your instructor if you have any questions.</w:t>
      </w:r>
    </w:p>
    <w:p>
      <w:pPr>
        <w:pStyle w:val="BodyText"/>
      </w:pPr>
      <w:r>
        <w:rPr>
          <w:b/>
          <w:bCs/>
        </w:rPr>
        <w:t xml:space="preserve">Formulate your Research Question</w:t>
      </w:r>
    </w:p>
    <w:p>
      <w:pPr>
        <w:pStyle w:val="BodyText"/>
      </w:pPr>
      <w:r>
        <w:t xml:space="preserve">You will attempt to culture fungi from a total of 18 leaf sections. You may use any combination of plant species, individual plants, leaf portions, or leaf cuttings in your setup. Choose a combination that interests you. Are you interested in capturing the diversity within an individual plant? If so, are you interested in looking at the diversity of endophytes within the canopy of individual plants? For this question, you would plate leaves from lower, middle, and upper canopies. Are you interested in documenting the fungal endophyte diversity within a plant species? For this investigation, collect leaves from multiple individuals of the same species. Perhaps you want to compare species diversity between different plant species. To investigate this question, collect plant leaves from a variety of plant species.</w:t>
      </w:r>
    </w:p>
    <w:p>
      <w:pPr>
        <w:pStyle w:val="BodyText"/>
      </w:pPr>
      <w:r>
        <w:rPr>
          <w:b/>
          <w:bCs/>
        </w:rPr>
        <w:t xml:space="preserve">Design your Experimental Setup</w:t>
      </w:r>
    </w:p>
    <w:p>
      <w:pPr>
        <w:pStyle w:val="BodyText"/>
      </w:pPr>
      <w:r>
        <w:t xml:space="preserve">Once you have decided what endophyte communities you would like to explore, obtain green leaves from your target host plants. These can be from deciduous or evergreen plants, including needles from conifers. You should plate your leaves within 24 hours of collection. Refrigerate your leaves if you need to store them between collection and plating.</w:t>
      </w:r>
    </w:p>
    <w:p>
      <w:pPr>
        <w:pStyle w:val="BodyText"/>
      </w:pPr>
      <w:r>
        <w:rPr>
          <w:b/>
          <w:bCs/>
        </w:rPr>
        <w:t xml:space="preserve">Metadata</w:t>
      </w:r>
    </w:p>
    <w:p>
      <w:pPr>
        <w:pStyle w:val="BodyText"/>
      </w:pPr>
      <w:r>
        <w:t xml:space="preserve">Upload an image of the plants you have chosen to your course’s iNaturalist Project page. Follow the instructions in Module 1.1 - Metadata Directions to be sure you have documented all necessary metadata.</w:t>
      </w:r>
    </w:p>
    <w:p>
      <w:pPr>
        <w:pStyle w:val="BodyText"/>
      </w:pPr>
      <w:r>
        <w:rPr>
          <w:b/>
          <w:bCs/>
        </w:rPr>
        <w:t xml:space="preserve">Sampling Endophytes</w:t>
      </w:r>
    </w:p>
    <w:bookmarkEnd w:id="88"/>
    <w:bookmarkStart w:id="89" w:name="materials-needed"/>
    <w:p>
      <w:pPr>
        <w:pStyle w:val="Heading4"/>
      </w:pPr>
      <w:r>
        <w:t xml:space="preserve">Materials needed</w:t>
      </w:r>
    </w:p>
    <w:p>
      <w:pPr>
        <w:pStyle w:val="Compact"/>
        <w:numPr>
          <w:ilvl w:val="0"/>
          <w:numId w:val="1078"/>
        </w:numPr>
      </w:pPr>
      <w:r>
        <w:t xml:space="preserve">Your phone with iNaturalist.</w:t>
      </w:r>
    </w:p>
    <w:p>
      <w:pPr>
        <w:pStyle w:val="Compact"/>
        <w:numPr>
          <w:ilvl w:val="0"/>
          <w:numId w:val="1079"/>
        </w:numPr>
      </w:pPr>
      <w:r>
        <w:t xml:space="preserve">Sample labels with unique ID numbers.</w:t>
      </w:r>
    </w:p>
    <w:p>
      <w:pPr>
        <w:pStyle w:val="Compact"/>
        <w:numPr>
          <w:ilvl w:val="0"/>
          <w:numId w:val="1080"/>
        </w:numPr>
      </w:pPr>
      <w:r>
        <w:t xml:space="preserve">Paper bags for samples.</w:t>
      </w:r>
    </w:p>
    <w:p>
      <w:pPr>
        <w:pStyle w:val="Compact"/>
        <w:numPr>
          <w:ilvl w:val="0"/>
          <w:numId w:val="1081"/>
        </w:numPr>
      </w:pPr>
      <w:r>
        <w:t xml:space="preserve">Clippers, scissors, or a knife to sample leaves.</w:t>
      </w:r>
    </w:p>
    <w:bookmarkEnd w:id="89"/>
    <w:bookmarkStart w:id="94" w:name="protocol"/>
    <w:p>
      <w:pPr>
        <w:pStyle w:val="Heading4"/>
      </w:pPr>
      <w:r>
        <w:t xml:space="preserve">Protocol</w:t>
      </w:r>
    </w:p>
    <w:p>
      <w:pPr>
        <w:pStyle w:val="Compact"/>
        <w:numPr>
          <w:ilvl w:val="0"/>
          <w:numId w:val="1082"/>
        </w:numPr>
      </w:pPr>
      <w:r>
        <w:t xml:space="preserve">Find a tree, or other plant to sample. Ideally, one that has healthy leaves.</w:t>
      </w:r>
    </w:p>
    <w:p>
      <w:pPr>
        <w:pStyle w:val="Compact"/>
        <w:numPr>
          <w:ilvl w:val="0"/>
          <w:numId w:val="1082"/>
        </w:numPr>
      </w:pPr>
      <w:r>
        <w:t xml:space="preserve">Make an iNaturalist observation of the plant on your phone or device.</w:t>
      </w:r>
    </w:p>
    <w:p>
      <w:pPr>
        <w:pStyle w:val="Compact"/>
        <w:numPr>
          <w:ilvl w:val="1"/>
          <w:numId w:val="1083"/>
        </w:numPr>
      </w:pPr>
      <w:r>
        <w:t xml:space="preserve">Take multiple photos.</w:t>
      </w:r>
    </w:p>
    <w:p>
      <w:pPr>
        <w:pStyle w:val="Compact"/>
        <w:numPr>
          <w:ilvl w:val="2"/>
          <w:numId w:val="1084"/>
        </w:numPr>
      </w:pPr>
      <w:r>
        <w:t xml:space="preserve">At least one of the entire plant.</w:t>
      </w:r>
    </w:p>
    <w:p>
      <w:pPr>
        <w:pStyle w:val="Compact"/>
        <w:numPr>
          <w:ilvl w:val="2"/>
          <w:numId w:val="1084"/>
        </w:numPr>
      </w:pPr>
      <w:r>
        <w:t xml:space="preserve">Multiple closer pictures of the leaves, bark, any flowers or fruit…</w:t>
      </w:r>
    </w:p>
    <w:p>
      <w:pPr>
        <w:pStyle w:val="Compact"/>
        <w:numPr>
          <w:ilvl w:val="2"/>
          <w:numId w:val="1084"/>
        </w:numPr>
      </w:pPr>
      <w:r>
        <w:t xml:space="preserve">At least one observation must include one sample label with an ID number.</w:t>
      </w:r>
    </w:p>
    <w:p>
      <w:pPr>
        <w:pStyle w:val="Compact"/>
        <w:numPr>
          <w:ilvl w:val="1"/>
          <w:numId w:val="1083"/>
        </w:numPr>
      </w:pPr>
      <w:r>
        <w:t xml:space="preserve">Go to the projects section on iNaturalist.</w:t>
      </w:r>
    </w:p>
    <w:p>
      <w:pPr>
        <w:pStyle w:val="Compact"/>
        <w:numPr>
          <w:ilvl w:val="2"/>
          <w:numId w:val="1085"/>
        </w:numPr>
      </w:pPr>
      <w:r>
        <w:t xml:space="preserve">Select</w:t>
      </w:r>
      <w:r>
        <w:t xml:space="preserve"> </w:t>
      </w:r>
      <w:r>
        <w:t xml:space="preserve">“Your iNaturalist Project.”</w:t>
      </w:r>
    </w:p>
    <w:p>
      <w:pPr>
        <w:pStyle w:val="Compact"/>
        <w:numPr>
          <w:ilvl w:val="1"/>
          <w:numId w:val="1083"/>
        </w:numPr>
      </w:pPr>
      <w:r>
        <w:t xml:space="preserve">Save the observation on iNaturalist.</w:t>
      </w:r>
    </w:p>
    <w:p>
      <w:pPr>
        <w:pStyle w:val="Compact"/>
        <w:numPr>
          <w:ilvl w:val="2"/>
          <w:numId w:val="1086"/>
        </w:numPr>
      </w:pPr>
      <w:r>
        <w:t xml:space="preserve">Follow instructions in Module 1.2 Using iNaturalist</w:t>
      </w:r>
    </w:p>
    <w:p>
      <w:pPr>
        <w:pStyle w:val="Compact"/>
        <w:numPr>
          <w:ilvl w:val="0"/>
          <w:numId w:val="1082"/>
        </w:numPr>
      </w:pPr>
      <w:r>
        <w:t xml:space="preserve">As indicated in</w:t>
      </w:r>
      <w:r>
        <w:t xml:space="preserve"> </w:t>
      </w:r>
      <w:hyperlink w:anchor="fig-leafsampling">
        <w:r>
          <w:rPr>
            <w:rStyle w:val="Hyperlink"/>
          </w:rPr>
          <w:t xml:space="preserve">Figure 2</w:t>
        </w:r>
      </w:hyperlink>
      <w:r>
        <w:t xml:space="preserve">, place the label in a paper bag. Record your information on the label including the unique ID number, date, location, and any other relevant information. This will be important for tracking your samples and linking them to your iNaturalist observation.</w:t>
      </w:r>
    </w:p>
    <w:p>
      <w:pPr>
        <w:pStyle w:val="Compact"/>
        <w:numPr>
          <w:ilvl w:val="0"/>
          <w:numId w:val="1082"/>
        </w:numPr>
      </w:pPr>
      <w:r>
        <w:t xml:space="preserve">Sample up to three leaves using your cutting instrument.</w:t>
      </w:r>
    </w:p>
    <w:p>
      <w:pPr>
        <w:pStyle w:val="Compact"/>
        <w:numPr>
          <w:ilvl w:val="0"/>
          <w:numId w:val="1082"/>
        </w:numPr>
      </w:pPr>
      <w:r>
        <w:t xml:space="preserve">Put the leaf samples into the bag.</w:t>
      </w:r>
    </w:p>
    <w:tbl>
      <w:tblPr>
        <w:tblStyle w:val="Table"/>
        <w:tblW w:type="pct" w:w="5000"/>
        <w:tblLayout w:type="fixed"/>
        <w:tblLook w:firstRow="0" w:lastRow="0" w:firstColumn="0" w:lastColumn="0" w:noHBand="0" w:noVBand="0" w:val="0000"/>
      </w:tblPr>
      <w:tblGrid>
        <w:gridCol w:w="7920"/>
      </w:tblGrid>
      <w:tr>
        <w:tc>
          <w:tcPr/>
          <w:bookmarkStart w:id="93" w:name="fig-leafsampling"/>
          <w:p>
            <w:pPr>
              <w:pStyle w:val="Compact"/>
              <w:jc w:val="center"/>
            </w:pPr>
            <w:r>
              <w:drawing>
                <wp:inline>
                  <wp:extent cx="5334000" cy="3733799"/>
                  <wp:effectExtent b="0" l="0" r="0" t="0"/>
                  <wp:docPr descr="" title="" id="91" name="Picture"/>
                  <a:graphic>
                    <a:graphicData uri="http://schemas.openxmlformats.org/drawingml/2006/picture">
                      <pic:pic>
                        <pic:nvPicPr>
                          <pic:cNvPr descr="images/LeafSampling.png" id="92" name="Picture"/>
                          <pic:cNvPicPr>
                            <a:picLocks noChangeArrowheads="1" noChangeAspect="1"/>
                          </pic:cNvPicPr>
                        </pic:nvPicPr>
                        <pic:blipFill>
                          <a:blip r:embed="rId90"/>
                          <a:stretch>
                            <a:fillRect/>
                          </a:stretch>
                        </pic:blipFill>
                        <pic:spPr bwMode="auto">
                          <a:xfrm>
                            <a:off x="0" y="0"/>
                            <a:ext cx="5334000" cy="3733799"/>
                          </a:xfrm>
                          <a:prstGeom prst="rect">
                            <a:avLst/>
                          </a:prstGeom>
                          <a:noFill/>
                          <a:ln w="9525">
                            <a:noFill/>
                            <a:headEnd/>
                            <a:tailEnd/>
                          </a:ln>
                        </pic:spPr>
                      </pic:pic>
                    </a:graphicData>
                  </a:graphic>
                </wp:inline>
              </w:drawing>
            </w:r>
          </w:p>
          <w:p>
            <w:pPr>
              <w:jc w:val="center"/>
            </w:pPr>
            <w:pPr>
              <w:jc w:val="left"/>
              <w:spacing w:before="200"/>
              <w:pStyle w:val="ImageCaption"/>
            </w:pPr>
            <w:r>
              <w:t xml:space="preserve">Figure 2: Fungal Sampling. Collect one sample/leaf per bag and complete the required information on each label. Figure created with BioRender.com.</w:t>
            </w:r>
          </w:p>
          <w:bookmarkEnd w:id="93"/>
        </w:tc>
      </w:tr>
    </w:tbl>
    <w:bookmarkEnd w:id="94"/>
    <w:bookmarkStart w:id="105" w:name="culturing-fungi-from-leaves"/>
    <w:p>
      <w:pPr>
        <w:pStyle w:val="Heading4"/>
      </w:pPr>
      <w:r>
        <w:t xml:space="preserve">Culturing Fungi From Leaves</w:t>
      </w:r>
    </w:p>
    <w:p>
      <w:pPr>
        <w:pStyle w:val="FirstParagraph"/>
      </w:pPr>
      <w:r>
        <w:t xml:space="preserve">You have 3 larger (150x10mm) Petri dishes that contain water agar. Water agar media is more clear (whitish to translucent) than the smaller Petri dishes which contain Potato Dextrose Agar (PDA). These water agar plates will be used for Part I of this exercise. Section each of these into 6 regions as depicted in</w:t>
      </w:r>
      <w:r>
        <w:t xml:space="preserve"> </w:t>
      </w:r>
      <w:hyperlink w:anchor="fig-Wateragar">
        <w:r>
          <w:rPr>
            <w:rStyle w:val="Hyperlink"/>
          </w:rPr>
          <w:t xml:space="preserve">Figure 3</w:t>
        </w:r>
      </w:hyperlink>
      <w:r>
        <w:t xml:space="preserve">. This will provide you space to culture 18 leaf sections.</w:t>
      </w:r>
    </w:p>
    <w:p>
      <w:pPr>
        <w:pStyle w:val="BodyText"/>
      </w:pPr>
      <w:r>
        <w:t xml:space="preserve">Gather all supplies including sterilized water, 70% ethanol, and 10% bleach solution. Label the Petri dishes and read through procedures before starting. Place bleach solution and sterile water in a container with enough space to dip leaf tissue. Use the provided scalpel or metal paper hole punch from your lab kit to take leaf subsamples.</w:t>
      </w:r>
    </w:p>
    <w:p>
      <w:pPr>
        <w:pStyle w:val="BodyText"/>
      </w:pPr>
      <w:r>
        <w:t xml:space="preserve">Label the</w:t>
      </w:r>
      <w:r>
        <w:t xml:space="preserve"> </w:t>
      </w:r>
      <w:hyperlink w:anchor="fig-Wateragar">
        <w:r>
          <w:rPr>
            <w:rStyle w:val="Hyperlink"/>
          </w:rPr>
          <w:t xml:space="preserve">Figure 3</w:t>
        </w:r>
      </w:hyperlink>
      <w:r>
        <w:t xml:space="preserve"> </w:t>
      </w:r>
      <w:r>
        <w:t xml:space="preserve">plate with your name and divide into six sections. Label each section with the unique ID number for the leaf sample you will be plating in that section. For example, if you are plating leaf 1a in the first section, label that section</w:t>
      </w:r>
      <w:r>
        <w:t xml:space="preserve"> </w:t>
      </w:r>
      <w:r>
        <w:t xml:space="preserve">“1a”</w:t>
      </w:r>
      <w:r>
        <w:t xml:space="preserve">. If you are plating leaf 2b in the second section, label that section</w:t>
      </w:r>
      <w:r>
        <w:t xml:space="preserve"> </w:t>
      </w:r>
      <w:r>
        <w:t xml:space="preserve">“2b”</w:t>
      </w:r>
      <w:r>
        <w:t xml:space="preserve">, and so on.</w:t>
      </w:r>
    </w:p>
    <w:tbl>
      <w:tblPr>
        <w:tblStyle w:val="Table"/>
        <w:tblW w:type="pct" w:w="5000"/>
        <w:tblLayout w:type="fixed"/>
        <w:tblLook w:firstRow="0" w:lastRow="0" w:firstColumn="0" w:lastColumn="0" w:noHBand="0" w:noVBand="0" w:val="0000"/>
      </w:tblPr>
      <w:tblGrid>
        <w:gridCol w:w="7920"/>
      </w:tblGrid>
      <w:tr>
        <w:tc>
          <w:tcPr/>
          <w:bookmarkStart w:id="98" w:name="fig-Wateragar"/>
          <w:p>
            <w:pPr>
              <w:pStyle w:val="Compact"/>
              <w:jc w:val="center"/>
            </w:pPr>
            <w:r>
              <w:drawing>
                <wp:inline>
                  <wp:extent cx="5334000" cy="3733799"/>
                  <wp:effectExtent b="0" l="0" r="0" t="0"/>
                  <wp:docPr descr="" title="" id="96" name="Picture"/>
                  <a:graphic>
                    <a:graphicData uri="http://schemas.openxmlformats.org/drawingml/2006/picture">
                      <pic:pic>
                        <pic:nvPicPr>
                          <pic:cNvPr descr="images/WaterAgar.png" id="97" name="Picture"/>
                          <pic:cNvPicPr>
                            <a:picLocks noChangeArrowheads="1" noChangeAspect="1"/>
                          </pic:cNvPicPr>
                        </pic:nvPicPr>
                        <pic:blipFill>
                          <a:blip r:embed="rId95"/>
                          <a:stretch>
                            <a:fillRect/>
                          </a:stretch>
                        </pic:blipFill>
                        <pic:spPr bwMode="auto">
                          <a:xfrm>
                            <a:off x="0" y="0"/>
                            <a:ext cx="5334000" cy="3733799"/>
                          </a:xfrm>
                          <a:prstGeom prst="rect">
                            <a:avLst/>
                          </a:prstGeom>
                          <a:noFill/>
                          <a:ln w="9525">
                            <a:noFill/>
                            <a:headEnd/>
                            <a:tailEnd/>
                          </a:ln>
                        </pic:spPr>
                      </pic:pic>
                    </a:graphicData>
                  </a:graphic>
                </wp:inline>
              </w:drawing>
            </w:r>
          </w:p>
          <w:p>
            <w:pPr>
              <w:jc w:val="center"/>
            </w:pPr>
            <w:pPr>
              <w:jc w:val="left"/>
              <w:spacing w:before="200"/>
              <w:pStyle w:val="ImageCaption"/>
            </w:pPr>
            <w:r>
              <w:t xml:space="preserve">Figure 3: Water Agar Plates. Take a large water agar plate and divide it into six sections using a ruler and marker. Label each section with the unique ID number for the leaf sample you will be plating in that section. Figure created with BioRender.com.</w:t>
            </w:r>
          </w:p>
          <w:bookmarkEnd w:id="98"/>
        </w:tc>
      </w:tr>
    </w:tbl>
    <w:p>
      <w:pPr>
        <w:pStyle w:val="Compact"/>
        <w:numPr>
          <w:ilvl w:val="0"/>
          <w:numId w:val="1087"/>
        </w:numPr>
      </w:pPr>
      <w:r>
        <w:t xml:space="preserve">Sanitize/sterilize all work surfaces. Wipe surfaces with ethanol. Choose a working location with the least amount of airflow to prevent contamination.</w:t>
      </w:r>
    </w:p>
    <w:p>
      <w:pPr>
        <w:pStyle w:val="Compact"/>
        <w:numPr>
          <w:ilvl w:val="0"/>
          <w:numId w:val="1087"/>
        </w:numPr>
      </w:pPr>
      <w:r>
        <w:t xml:space="preserve">Sterilize tools (scalpel or hole punch and forceps). Use ethanol and allow to air dry.</w:t>
      </w:r>
    </w:p>
    <w:p>
      <w:pPr>
        <w:pStyle w:val="Compact"/>
        <w:numPr>
          <w:ilvl w:val="0"/>
          <w:numId w:val="1087"/>
        </w:numPr>
      </w:pPr>
      <w:r>
        <w:t xml:space="preserve">Cut leaf tissues. You may take as many cuttings from each leaf as desired. Be sure to label cuttings appropriately as described above. Cuttings should be ~1 cm.</w:t>
      </w:r>
    </w:p>
    <w:p>
      <w:pPr>
        <w:pStyle w:val="Compact"/>
        <w:numPr>
          <w:ilvl w:val="0"/>
          <w:numId w:val="1087"/>
        </w:numPr>
      </w:pPr>
      <w:r>
        <w:t xml:space="preserve">Surface sterilize leaf tissue. Using sterilized forceps (heat and cool as above), immerse each cutting in 10% bleach solution for 10 seconds.</w:t>
      </w:r>
    </w:p>
    <w:p>
      <w:pPr>
        <w:pStyle w:val="Compact"/>
        <w:numPr>
          <w:ilvl w:val="1"/>
          <w:numId w:val="1088"/>
        </w:numPr>
      </w:pPr>
      <w:r>
        <w:t xml:space="preserve">To prepare the bleach solution, sterilize water by boiling water for 10 minutes. You will need enough water for the bleach solution and rinse step. Distilled water is preferred. If unavailable, use tap water. Let water cool to room temperature before coming into contact with plant tissue.</w:t>
      </w:r>
    </w:p>
    <w:p>
      <w:pPr>
        <w:pStyle w:val="Compact"/>
        <w:numPr>
          <w:ilvl w:val="1"/>
          <w:numId w:val="1088"/>
        </w:numPr>
      </w:pPr>
      <w:r>
        <w:t xml:space="preserve">Mix 1ml (1/4 teaspoon) household bleach with 500 ml (2 cups) sterilized water.</w:t>
      </w:r>
    </w:p>
    <w:p>
      <w:pPr>
        <w:pStyle w:val="Compact"/>
        <w:numPr>
          <w:ilvl w:val="0"/>
          <w:numId w:val="1087"/>
        </w:numPr>
      </w:pPr>
      <w:r>
        <w:t xml:space="preserve">Rinse leaf tissue. Transfer leaf cutting from bleach solution using forceps and swirl in sterile water or 70% ethanol to rinse. Let excess water drip off leaf cutting or place on clean kimwipes to dry.</w:t>
      </w:r>
    </w:p>
    <w:p>
      <w:pPr>
        <w:pStyle w:val="Compact"/>
        <w:numPr>
          <w:ilvl w:val="0"/>
          <w:numId w:val="1087"/>
        </w:numPr>
      </w:pPr>
      <w:r>
        <w:t xml:space="preserve">Add tissue to water agar. Place up to 6 leaf cuttings per plate of water agar labeled as described</w:t>
      </w:r>
      <w:r>
        <w:t xml:space="preserve"> </w:t>
      </w:r>
      <w:hyperlink w:anchor="fig-SamplesWaterAgar">
        <w:r>
          <w:rPr>
            <w:rStyle w:val="Hyperlink"/>
          </w:rPr>
          <w:t xml:space="preserve">Figure 4</w:t>
        </w:r>
      </w:hyperlink>
      <w:r>
        <w:t xml:space="preserve">. The water agar plates are the larger plates that contain clear to whitish media. Use sterile technique. Be sure to sterilize forceps (heat with flame and cool) in between each leaf transfer.</w:t>
      </w:r>
    </w:p>
    <w:p>
      <w:pPr>
        <w:pStyle w:val="Compact"/>
        <w:numPr>
          <w:ilvl w:val="0"/>
          <w:numId w:val="1087"/>
        </w:numPr>
      </w:pPr>
      <w:r>
        <w:t xml:space="preserve">Seal the Petri dish with Parafilm. This is a stretchy material similar to Saran Wrap. Cut a strip a little wider than the Petri dish. Remove the paper backing. Hold one end of the Parafilm strip on the lip of the Petri dish so that the gap between the lid and base is covered by the Parafilm. Keeping one end fixed with one hand, stretch and wrap the parafilm around the Petri dish, sealing the gap between the lid and base of the Petri dish. The stretching of the Parafilm will facilitate the seal, you will not need any tape to keep the Parafilm in place.</w:t>
      </w:r>
    </w:p>
    <w:p>
      <w:pPr>
        <w:pStyle w:val="Compact"/>
        <w:numPr>
          <w:ilvl w:val="0"/>
          <w:numId w:val="1087"/>
        </w:numPr>
      </w:pPr>
      <w:r>
        <w:t xml:space="preserve">Incubate at room temperature in the dark and examine for growth each day.</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99" name="Picture"/>
                  <a:graphic>
                    <a:graphicData uri="http://schemas.openxmlformats.org/drawingml/2006/picture">
                      <pic:pic>
                        <pic:nvPicPr>
                          <pic:cNvPr descr="/opt/quarto/share/formats/docx/note.png" id="100" name="Picture"/>
                          <pic:cNvPicPr>
                            <a:picLocks noChangeArrowheads="1" noChangeAspect="1"/>
                          </pic:cNvPicPr>
                        </pic:nvPicPr>
                        <pic:blipFill>
                          <a:blip r:embed="rId2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In the summer of 2026 we incubated at 28 °C, but room temperature is fine. You should see fungal growth within 3-7 days. If you do not see growth after 7 days, you can try re-plating the leaf tissue on a fresh water agar plate. If you have access to a laminar flow hood or clean bench, you can also try plating on PDA media which may facilitate fungal growth.</w:t>
            </w:r>
          </w:p>
          <w:p/>
        </w:tc>
      </w:tr>
    </w:tbl>
    <w:tbl>
      <w:tblPr>
        <w:tblStyle w:val="Table"/>
        <w:tblW w:type="pct" w:w="5000"/>
        <w:tblLayout w:type="fixed"/>
        <w:tblLook w:firstRow="0" w:lastRow="0" w:firstColumn="0" w:lastColumn="0" w:noHBand="0" w:noVBand="0" w:val="0000"/>
      </w:tblPr>
      <w:tblGrid>
        <w:gridCol w:w="7920"/>
      </w:tblGrid>
      <w:tr>
        <w:tc>
          <w:tcPr/>
          <w:bookmarkStart w:id="104" w:name="fig-SamplesWaterAgar"/>
          <w:p>
            <w:pPr>
              <w:pStyle w:val="Compact"/>
              <w:jc w:val="center"/>
            </w:pPr>
            <w:r>
              <w:drawing>
                <wp:inline>
                  <wp:extent cx="5334000" cy="3733799"/>
                  <wp:effectExtent b="0" l="0" r="0" t="0"/>
                  <wp:docPr descr="" title="" id="102" name="Picture"/>
                  <a:graphic>
                    <a:graphicData uri="http://schemas.openxmlformats.org/drawingml/2006/picture">
                      <pic:pic>
                        <pic:nvPicPr>
                          <pic:cNvPr descr="images/LeafSamplesWaterAgar.png" id="103" name="Picture"/>
                          <pic:cNvPicPr>
                            <a:picLocks noChangeArrowheads="1" noChangeAspect="1"/>
                          </pic:cNvPicPr>
                        </pic:nvPicPr>
                        <pic:blipFill>
                          <a:blip r:embed="rId101"/>
                          <a:stretch>
                            <a:fillRect/>
                          </a:stretch>
                        </pic:blipFill>
                        <pic:spPr bwMode="auto">
                          <a:xfrm>
                            <a:off x="0" y="0"/>
                            <a:ext cx="5334000" cy="3733799"/>
                          </a:xfrm>
                          <a:prstGeom prst="rect">
                            <a:avLst/>
                          </a:prstGeom>
                          <a:noFill/>
                          <a:ln w="9525">
                            <a:noFill/>
                            <a:headEnd/>
                            <a:tailEnd/>
                          </a:ln>
                        </pic:spPr>
                      </pic:pic>
                    </a:graphicData>
                  </a:graphic>
                </wp:inline>
              </w:drawing>
            </w:r>
          </w:p>
          <w:p>
            <w:pPr>
              <w:jc w:val="center"/>
            </w:pPr>
            <w:pPr>
              <w:jc w:val="left"/>
              <w:spacing w:before="200"/>
              <w:pStyle w:val="ImageCaption"/>
            </w:pPr>
            <w:r>
              <w:t xml:space="preserve">Figure 4: Place Leaf Samples on Water Agar Plates. Take a large water agar plate and divide it into six sections using a ruler and marker. Place leaf samples in each section after surface sterilizing and rinsing in ethanol. Figure created with BioRender.com.</w:t>
            </w:r>
          </w:p>
          <w:bookmarkEnd w:id="104"/>
        </w:tc>
      </w:tr>
    </w:tbl>
    <w:bookmarkEnd w:id="105"/>
    <w:bookmarkEnd w:id="106"/>
    <w:bookmarkEnd w:id="107"/>
    <w:bookmarkEnd w:id="108"/>
    <w:bookmarkStart w:id="139" w:name="module-2-fungal-isolation"/>
    <w:p>
      <w:pPr>
        <w:pStyle w:val="Heading1"/>
      </w:pPr>
      <w:r>
        <w:t xml:space="preserve">Module 2: Fungal Isolation</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109" name="Picture"/>
                  <a:graphic>
                    <a:graphicData uri="http://schemas.openxmlformats.org/drawingml/2006/picture">
                      <pic:pic>
                        <pic:nvPicPr>
                          <pic:cNvPr descr="/opt/quarto/share/formats/docx/tip.png" id="110" name="Picture"/>
                          <pic:cNvPicPr>
                            <a:picLocks noChangeArrowheads="1" noChangeAspect="1"/>
                          </pic:cNvPicPr>
                        </pic:nvPicPr>
                        <pic:blipFill>
                          <a:blip r:embed="rId1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 Open Slides</w:t>
            </w:r>
          </w:p>
        </w:tc>
      </w:tr>
      <w:tr>
        <w:trPr>
          <w:cantSplit/>
        </w:trPr>
        <w:tc>
          <w:tcPr>
            <w:tcMar>
              <w:top w:w="108" w:type="dxa"/>
              <w:bottom w:w="108" w:type="dxa"/>
            </w:tcMar>
          </w:tcPr>
          <w:p>
            <w:pPr>
              <w:pStyle w:val="BodyText"/>
            </w:pPr>
            <w:pPr>
              <w:spacing w:before="16" w:after="16"/>
            </w:pPr>
            <w:hyperlink r:id="rId17">
              <w:r>
                <w:rPr>
                  <w:rStyle w:val="Hyperlink"/>
                </w:rPr>
                <w:t xml:space="preserve">Open Module 2 Slides</w:t>
              </w:r>
            </w:hyperlink>
          </w:p>
          <w:p/>
        </w:tc>
      </w:tr>
    </w:tbl>
    <w:bookmarkStart w:id="120" w:name="module-2.1-lab-prep-overview"/>
    <w:p>
      <w:pPr>
        <w:pStyle w:val="Heading2"/>
      </w:pPr>
      <w:r>
        <w:t xml:space="preserve">Module 2.1 – Lab Prep Overview</w:t>
      </w:r>
    </w:p>
    <w:bookmarkStart w:id="119" w:name="X607910f6b5d5ec784b2986740c973a9a0beb010"/>
    <w:p>
      <w:pPr>
        <w:pStyle w:val="Heading3"/>
      </w:pPr>
      <w:r>
        <w:t xml:space="preserve">Instructor Laboratory Preparation Instructions</w:t>
      </w:r>
    </w:p>
    <w:bookmarkStart w:id="118" w:name="materials-and-equipment-1"/>
    <w:p>
      <w:pPr>
        <w:pStyle w:val="Heading4"/>
      </w:pPr>
      <w:r>
        <w:t xml:space="preserve">Materials and Equipment</w:t>
      </w:r>
    </w:p>
    <w:p>
      <w:pPr>
        <w:pStyle w:val="Compact"/>
        <w:numPr>
          <w:ilvl w:val="0"/>
          <w:numId w:val="1089"/>
        </w:numPr>
      </w:pPr>
      <w:r>
        <w:t xml:space="preserve">Cellophane (rinsed, individually wrapped in gauze, and autoclaved)</w:t>
      </w:r>
    </w:p>
    <w:p>
      <w:pPr>
        <w:pStyle w:val="Compact"/>
        <w:numPr>
          <w:ilvl w:val="0"/>
          <w:numId w:val="1090"/>
        </w:numPr>
      </w:pPr>
      <w:r>
        <w:t xml:space="preserve">100x15mm Petri dishes</w:t>
      </w:r>
    </w:p>
    <w:p>
      <w:pPr>
        <w:pStyle w:val="Compact"/>
        <w:numPr>
          <w:ilvl w:val="0"/>
          <w:numId w:val="1091"/>
        </w:numPr>
      </w:pPr>
      <w:r>
        <w:t xml:space="preserve">60x15mm Petri dishes</w:t>
      </w:r>
    </w:p>
    <w:p>
      <w:pPr>
        <w:pStyle w:val="Compact"/>
        <w:numPr>
          <w:ilvl w:val="0"/>
          <w:numId w:val="1092"/>
        </w:numPr>
      </w:pPr>
      <w:r>
        <w:t xml:space="preserve">Bacteriological agar</w:t>
      </w:r>
    </w:p>
    <w:p>
      <w:pPr>
        <w:pStyle w:val="Compact"/>
        <w:numPr>
          <w:ilvl w:val="0"/>
          <w:numId w:val="1093"/>
        </w:numPr>
      </w:pPr>
      <w:r>
        <w:t xml:space="preserve">Potato Dextrose Agar (PDA)</w:t>
      </w:r>
    </w:p>
    <w:p>
      <w:pPr>
        <w:pStyle w:val="Compact"/>
        <w:numPr>
          <w:ilvl w:val="0"/>
          <w:numId w:val="1094"/>
        </w:numPr>
      </w:pPr>
      <w:r>
        <w:t xml:space="preserve">Forceps</w:t>
      </w:r>
    </w:p>
    <w:p>
      <w:pPr>
        <w:pStyle w:val="Compact"/>
        <w:numPr>
          <w:ilvl w:val="0"/>
          <w:numId w:val="1095"/>
        </w:numPr>
      </w:pPr>
      <w:r>
        <w:t xml:space="preserve">Scalpel</w:t>
      </w:r>
    </w:p>
    <w:p>
      <w:pPr>
        <w:pStyle w:val="Compact"/>
        <w:numPr>
          <w:ilvl w:val="0"/>
          <w:numId w:val="1096"/>
        </w:numPr>
      </w:pPr>
      <w:r>
        <w:t xml:space="preserve">70% ethanol</w:t>
      </w:r>
    </w:p>
    <w:p>
      <w:pPr>
        <w:pStyle w:val="Compact"/>
        <w:numPr>
          <w:ilvl w:val="0"/>
          <w:numId w:val="1097"/>
        </w:numPr>
      </w:pPr>
      <w:r>
        <w:t xml:space="preserve">Beaker or autoclavable container for cellophane and ethanol</w:t>
      </w:r>
    </w:p>
    <w:p>
      <w:pPr>
        <w:pStyle w:val="Compact"/>
        <w:numPr>
          <w:ilvl w:val="0"/>
          <w:numId w:val="1098"/>
        </w:numPr>
      </w:pPr>
      <w:r>
        <w:t xml:space="preserve">Parafilm</w:t>
      </w:r>
    </w:p>
    <w:p>
      <w:pPr>
        <w:pStyle w:val="Compact"/>
        <w:numPr>
          <w:ilvl w:val="0"/>
          <w:numId w:val="1099"/>
        </w:numPr>
      </w:pPr>
      <w:r>
        <w:t xml:space="preserve">Ruler</w:t>
      </w:r>
    </w:p>
    <w:p>
      <w:pPr>
        <w:pStyle w:val="Compact"/>
        <w:numPr>
          <w:ilvl w:val="0"/>
          <w:numId w:val="1100"/>
        </w:numPr>
      </w:pPr>
      <w:r>
        <w:t xml:space="preserve">Fine-tip Sharpie or marker for labeling plates</w:t>
      </w:r>
    </w:p>
    <w:p>
      <w:pPr>
        <w:pStyle w:val="Compact"/>
        <w:numPr>
          <w:ilvl w:val="0"/>
          <w:numId w:val="1101"/>
        </w:numPr>
      </w:pPr>
      <w:r>
        <w:t xml:space="preserve">Paper towels/Kimwipes</w:t>
      </w:r>
    </w:p>
    <w:p>
      <w:pPr>
        <w:pStyle w:val="Compact"/>
        <w:numPr>
          <w:ilvl w:val="0"/>
          <w:numId w:val="1102"/>
        </w:numPr>
      </w:pPr>
      <w:r>
        <w:t xml:space="preserve">Incubators set to 4 °C, room temperature (~20 °C), and 28 °C</w:t>
      </w:r>
    </w:p>
    <w:p>
      <w:pPr>
        <w:pStyle w:val="Compact"/>
        <w:numPr>
          <w:ilvl w:val="0"/>
          <w:numId w:val="1103"/>
        </w:numPr>
      </w:pPr>
      <w:r>
        <w:t xml:space="preserve">Refrigerator for storing plates at ~4 °C</w:t>
      </w:r>
    </w:p>
    <w:p>
      <w:pPr>
        <w:pStyle w:val="Compact"/>
        <w:numPr>
          <w:ilvl w:val="0"/>
          <w:numId w:val="1104"/>
        </w:numPr>
      </w:pPr>
      <w:r>
        <w:t xml:space="preserve">Autoclave</w:t>
      </w:r>
    </w:p>
    <w:p>
      <w:pPr>
        <w:pStyle w:val="FirstParagraph"/>
      </w:pPr>
      <w:r>
        <w:rPr>
          <w:b/>
          <w:bCs/>
        </w:rPr>
        <w:t xml:space="preserve">Lab Prep</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BodyText"/>
            </w:pPr>
            <w:pPr>
              <w:spacing w:before="0" w:after="0"/>
              <w:textAlignment w:val="center"/>
            </w:pPr>
            <w:r>
              <w:drawing>
                <wp:inline>
                  <wp:extent cx="152400" cy="152400"/>
                  <wp:effectExtent b="0" l="0" r="0" t="0"/>
                  <wp:docPr descr="" title="" id="112" name="Picture"/>
                  <a:graphic>
                    <a:graphicData uri="http://schemas.openxmlformats.org/drawingml/2006/picture">
                      <pic:pic>
                        <pic:nvPicPr>
                          <pic:cNvPr descr="/opt/quarto/share/formats/docx/important.png" id="113" name="Picture"/>
                          <pic:cNvPicPr>
                            <a:picLocks noChangeArrowheads="1" noChangeAspect="1"/>
                          </pic:cNvPicPr>
                        </pic:nvPicPr>
                        <pic:blipFill>
                          <a:blip r:embed="rId11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Important</w:t>
            </w:r>
          </w:p>
        </w:tc>
      </w:tr>
      <w:tr>
        <w:trPr>
          <w:cantSplit/>
        </w:trPr>
        <w:tc>
          <w:tcPr>
            <w:tcMar>
              <w:top w:w="108" w:type="dxa"/>
              <w:bottom w:w="108" w:type="dxa"/>
            </w:tcMar>
          </w:tcPr>
          <w:p>
            <w:pPr>
              <w:pStyle w:val="BodyText"/>
            </w:pPr>
            <w:pPr>
              <w:spacing w:before="16" w:after="16"/>
            </w:pPr>
            <w:r>
              <w:t xml:space="preserve">Read all directions and gather all supplies before beginning. Carefully clean your work area with bleach, and/or ethanol.</w:t>
            </w:r>
          </w:p>
          <w:p/>
        </w:tc>
      </w:tr>
    </w:tbl>
    <w:p>
      <w:pPr>
        <w:pStyle w:val="BodyText"/>
      </w:pPr>
      <w:r>
        <w:rPr>
          <w:b/>
          <w:bCs/>
        </w:rPr>
        <w:t xml:space="preserve">Potato Dextrose Agar (PDA) Plates:</w:t>
      </w:r>
      <w:r>
        <w:t xml:space="preserve"> </w:t>
      </w:r>
      <w:r>
        <w:t xml:space="preserve">Fungi cultured from leaves on water agar is transferred to nutrient Potato Dextrose Agar (PDA) plates.</w:t>
      </w:r>
      <w:r>
        <w:t xml:space="preserve"> </w:t>
      </w:r>
      <w:r>
        <w:rPr>
          <w:b/>
          <w:bCs/>
        </w:rPr>
        <w:t xml:space="preserve">We use one 60x15 mm Petri dish for each fungal isolate.</w:t>
      </w:r>
    </w:p>
    <w:p>
      <w:pPr>
        <w:pStyle w:val="BodyText"/>
      </w:pPr>
      <w:r>
        <w:rPr>
          <w:b/>
          <w:bCs/>
        </w:rPr>
        <w:t xml:space="preserve">Potato Dextrose Agar Recipe:</w:t>
      </w:r>
      <w:r>
        <w:t xml:space="preserve"> </w:t>
      </w:r>
      <w:r>
        <w:t xml:space="preserve">Suspend 39 grams Agar, Bacteriological in 1000 ml (1 L) distilled water. Heat to boiling to dissolve the medium completely (in most cases, this step can be skipped as autoclaving will dissolve media). Sterilize by autoclaving at 15 lbs pressure (121°C) for 15 minutes.</w:t>
      </w:r>
    </w:p>
    <w:p>
      <w:pPr>
        <w:pStyle w:val="BodyText"/>
      </w:pPr>
      <w:r>
        <w:t xml:space="preserve">When the media is cool enough to handle with autoclave gloves, pour 60x15mm plates in a sterile environment. Do not let it cool too long as the media will solidify. Each 60x15mm plate holds approximately 8 ml media. If plates will be used immediately smaller amounts of media can be poured into plates. If plates will be stored, use larger amounts. Store plates in the original Petri dish sleeve in the refrigerator (~4 °C) until use.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14" name="Picture"/>
                  <a:graphic>
                    <a:graphicData uri="http://schemas.openxmlformats.org/drawingml/2006/picture">
                      <pic:pic>
                        <pic:nvPicPr>
                          <pic:cNvPr descr="/opt/quarto/share/formats/docx/note.png" id="115" name="Picture"/>
                          <pic:cNvPicPr>
                            <a:picLocks noChangeArrowheads="1" noChangeAspect="1"/>
                          </pic:cNvPicPr>
                        </pic:nvPicPr>
                        <pic:blipFill>
                          <a:blip r:embed="rId2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rPr>
                <w:b/>
                <w:bCs/>
              </w:rPr>
              <w:t xml:space="preserve">Adding Antibiotics:</w:t>
            </w:r>
            <w:r>
              <w:t xml:space="preserve"> </w:t>
            </w:r>
            <w:r>
              <w:t xml:space="preserve">Once your PDA has cooled, you may choose to add antibiotics to the media. Streptomycin (streptomycin sulfate) is commonly used at a concentration of 50mg/L in agar. Add the appropriate amount to your media once cool to the touch and before pouring plates.</w:t>
            </w:r>
          </w:p>
          <w:p/>
        </w:tc>
      </w:tr>
    </w:tbl>
    <w:p>
      <w:pPr>
        <w:pStyle w:val="BodyText"/>
      </w:pPr>
      <w:r>
        <w:rPr>
          <w:b/>
          <w:bCs/>
        </w:rPr>
        <w:t xml:space="preserve">Cellophane Plates:</w:t>
      </w:r>
      <w:r>
        <w:t xml:space="preserve"> </w:t>
      </w:r>
      <w:r>
        <w:t xml:space="preserve">Fungal tissue can be harvested from cellophane plates. Cut cellophane discs slightly smaller than the petri dish so that they lay flat on the PDA media. Using the bottom of the Petri dish as a template, draw a circle on the cellophane and cut out discs on the inside of the line.</w:t>
      </w:r>
    </w:p>
    <w:p>
      <w:pPr>
        <w:pStyle w:val="BodyText"/>
      </w:pPr>
      <w:r>
        <w:t xml:space="preserve">Place cellophane discs into an autoclavable container with water. Place each cellophane disc individually into the water and try to stagger them in the water. This staggering step ensures that you can more easily remove the discs from the water. Cover your container with foil and sterilize by autoclaving at 15 lbs. pressure at 121 °C for 15 minutes.</w:t>
      </w:r>
    </w:p>
    <w:p>
      <w:pPr>
        <w:pStyle w:val="BodyText"/>
      </w:pPr>
      <w:r>
        <w:t xml:space="preserve">Working in your sterile environment, place one cellophane disc onto cooled PDA agar in 60x15mm plates. Use sterile forceps to transfer each cellophane disc onto the PDA plate. If you can’t easily remove single discs, try the</w:t>
      </w:r>
      <w:r>
        <w:t xml:space="preserve"> </w:t>
      </w:r>
      <w:r>
        <w:t xml:space="preserve">“slide”</w:t>
      </w:r>
      <w:r>
        <w:t xml:space="preserve"> </w:t>
      </w:r>
      <w:r>
        <w:t xml:space="preserve">technique. Dip your forceps into the container with the discs until you touch a disc. Using the forceps as a probe (not pinched) slide the disc to the side of the container and up the side of the container. Often, you’ll pull out one disc. Sometimes more than one disc will slide up, but it’s usually easy to see the individual discs at this point. You can then use your forceps to pull out one disc. If you grasp one disc with your forceps, you can swirl it in the water in the container to dislodge any other discs that might be attached. Open the lid of the petri dish and lay the cellophane onto the solid agar.</w:t>
      </w:r>
    </w:p>
    <w:p>
      <w:pPr>
        <w:pStyle w:val="BodyText"/>
      </w:pPr>
      <w:r>
        <w:rPr>
          <w:b/>
          <w:bCs/>
        </w:rPr>
        <w:t xml:space="preserve">Disposal:</w:t>
      </w:r>
      <w:r>
        <w:t xml:space="preserve"> </w:t>
      </w:r>
      <w:r>
        <w:t xml:space="preserve">Place all Petri dishes in an autoclavable bag and sterilize at 15 lbs pressure (121°C) for 15 minutes. Follow institutional protocol for post-sterilization disposal. Be sure that the disposal of any heavy metals or other chemicals are properly handled.</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BodyText"/>
            </w:pPr>
            <w:pPr>
              <w:spacing w:before="0" w:after="0"/>
              <w:textAlignment w:val="center"/>
            </w:pPr>
            <w:r>
              <w:drawing>
                <wp:inline>
                  <wp:extent cx="152400" cy="152400"/>
                  <wp:effectExtent b="0" l="0" r="0" t="0"/>
                  <wp:docPr descr="" title="" id="116" name="Picture"/>
                  <a:graphic>
                    <a:graphicData uri="http://schemas.openxmlformats.org/drawingml/2006/picture">
                      <pic:pic>
                        <pic:nvPicPr>
                          <pic:cNvPr descr="/opt/quarto/share/formats/docx/important.png" id="117" name="Picture"/>
                          <pic:cNvPicPr>
                            <a:picLocks noChangeArrowheads="1" noChangeAspect="1"/>
                          </pic:cNvPicPr>
                        </pic:nvPicPr>
                        <pic:blipFill>
                          <a:blip r:embed="rId11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Important</w:t>
            </w:r>
          </w:p>
        </w:tc>
      </w:tr>
      <w:tr>
        <w:trPr>
          <w:cantSplit/>
        </w:trPr>
        <w:tc>
          <w:tcPr>
            <w:tcMar>
              <w:top w:w="108" w:type="dxa"/>
              <w:bottom w:w="108" w:type="dxa"/>
            </w:tcMar>
          </w:tcPr>
          <w:p>
            <w:pPr>
              <w:pStyle w:val="BodyText"/>
            </w:pPr>
            <w:pPr>
              <w:spacing w:before="16" w:after="16"/>
            </w:pPr>
            <w:r>
              <w:t xml:space="preserve">Please use the red biohazard bags for disposal of all Petri dishes and materials that have come into contact with fungi. This includes gloves, paper towels, Kimwipes, and any other materials used during the lab. Do not dispose of these materials in regular trash or recycling bins.</w:t>
            </w:r>
          </w:p>
          <w:p/>
        </w:tc>
      </w:tr>
    </w:tbl>
    <w:bookmarkEnd w:id="118"/>
    <w:bookmarkEnd w:id="119"/>
    <w:bookmarkEnd w:id="120"/>
    <w:bookmarkStart w:id="138" w:name="module-2.2---fungal-isolation"/>
    <w:p>
      <w:pPr>
        <w:pStyle w:val="Heading2"/>
      </w:pPr>
      <w:r>
        <w:t xml:space="preserve">Module 2.2 - Fungal Isolation</w:t>
      </w:r>
    </w:p>
    <w:bookmarkStart w:id="123" w:name="purpose-1"/>
    <w:p>
      <w:pPr>
        <w:pStyle w:val="Heading3"/>
      </w:pPr>
      <w:r>
        <w:t xml:space="preserve">Purpose</w:t>
      </w:r>
    </w:p>
    <w:p>
      <w:pPr>
        <w:pStyle w:val="FirstParagraph"/>
      </w:pPr>
      <w:r>
        <w:t xml:space="preserve">This lab will introduce you to sterile technique, culturing fungi, isolating cultures, and documenting fungal growth.</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BodyText"/>
            </w:pPr>
            <w:pPr>
              <w:spacing w:before="0" w:after="0"/>
              <w:textAlignment w:val="center"/>
            </w:pPr>
            <w:r>
              <w:drawing>
                <wp:inline>
                  <wp:extent cx="152400" cy="152400"/>
                  <wp:effectExtent b="0" l="0" r="0" t="0"/>
                  <wp:docPr descr="" title="" id="121" name="Picture"/>
                  <a:graphic>
                    <a:graphicData uri="http://schemas.openxmlformats.org/drawingml/2006/picture">
                      <pic:pic>
                        <pic:nvPicPr>
                          <pic:cNvPr descr="/opt/quarto/share/formats/docx/warning.png" id="122" name="Picture"/>
                          <pic:cNvPicPr>
                            <a:picLocks noChangeArrowheads="1" noChangeAspect="1"/>
                          </pic:cNvPicPr>
                        </pic:nvPicPr>
                        <pic:blipFill>
                          <a:blip r:embed="rId4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pPr>
            <w:r>
              <w:t xml:space="preserve">Note that we will be working with fungi, which are generally not harmful to humans, but can cause allergic reactions in some individuals. Always practice good sterile technique and handle all materials with care. If you have any concerns about allergies or sensitivities, please consult with your instructor before beginning the lab.</w:t>
            </w:r>
          </w:p>
          <w:p>
            <w:pPr>
              <w:pStyle w:val="BodyText"/>
            </w:pPr>
            <w:pPr>
              <w:spacing w:after="16"/>
            </w:pPr>
            <w:r>
              <w:t xml:space="preserve">Additionally, we may not be able to work in a laminar flow hood, which increases the risk of contamination. Be extra cautious with sterile technique and be prepared for some contamination in your plates. If you have access to a laminar flow hood, please use it for this lab.</w:t>
            </w:r>
          </w:p>
          <w:p/>
        </w:tc>
      </w:tr>
    </w:tbl>
    <w:bookmarkEnd w:id="123"/>
    <w:bookmarkStart w:id="124" w:name="introduction-2"/>
    <w:p>
      <w:pPr>
        <w:pStyle w:val="Heading3"/>
      </w:pPr>
      <w:r>
        <w:t xml:space="preserve">Introduction</w:t>
      </w:r>
    </w:p>
    <w:p>
      <w:pPr>
        <w:pStyle w:val="FirstParagraph"/>
      </w:pPr>
      <w:r>
        <w:t xml:space="preserve">In the previous lab, we started the process of sampling fungal endophytes. We documented the host plant using iNaturalist and then sampled foliar tissues from the plants. These foliar tissues were transported to the lab, surface sterilized to remove any external contaminants, and dissected. The dissected tissues were plated onto water agar plates, sealed, and labeled.</w:t>
      </w:r>
    </w:p>
    <w:p>
      <w:pPr>
        <w:pStyle w:val="BodyText"/>
      </w:pPr>
      <w:r>
        <w:t xml:space="preserve">Today, we will isolate, or subculture, these fungi onto PDA agar (Potato Dextrose Agar). This nutrient agar will allow for fungal growth. We will then measure the growth rate of each individual fungal isolate.</w:t>
      </w:r>
    </w:p>
    <w:p>
      <w:pPr>
        <w:pStyle w:val="BodyText"/>
      </w:pPr>
      <w:r>
        <w:t xml:space="preserve">This project is part of the</w:t>
      </w:r>
      <w:r>
        <w:t xml:space="preserve"> </w:t>
      </w:r>
      <w:hyperlink r:id="rId9">
        <w:r>
          <w:rPr>
            <w:rStyle w:val="Hyperlink"/>
          </w:rPr>
          <w:t xml:space="preserve">Myco-Ed Fungal Genomics Education Project</w:t>
        </w:r>
      </w:hyperlink>
      <w:r>
        <w:t xml:space="preserve">. The goal of this long-term research project is to develop annotated genomes of fungal endophytes to better understand their ecology and how they impact their host plants.</w:t>
      </w:r>
    </w:p>
    <w:bookmarkEnd w:id="124"/>
    <w:bookmarkStart w:id="125" w:name="learning-goals-1"/>
    <w:p>
      <w:pPr>
        <w:pStyle w:val="Heading3"/>
      </w:pPr>
      <w:r>
        <w:t xml:space="preserve">Learning Goals</w:t>
      </w:r>
    </w:p>
    <w:p>
      <w:pPr>
        <w:pStyle w:val="Compact"/>
        <w:numPr>
          <w:ilvl w:val="0"/>
          <w:numId w:val="1105"/>
        </w:numPr>
      </w:pPr>
      <w:r>
        <w:rPr>
          <w:b/>
          <w:bCs/>
        </w:rPr>
        <w:t xml:space="preserve">Practice</w:t>
      </w:r>
      <w:r>
        <w:t xml:space="preserve"> </w:t>
      </w:r>
      <w:r>
        <w:t xml:space="preserve">sterile technique</w:t>
      </w:r>
    </w:p>
    <w:p>
      <w:pPr>
        <w:pStyle w:val="Compact"/>
        <w:numPr>
          <w:ilvl w:val="0"/>
          <w:numId w:val="1105"/>
        </w:numPr>
      </w:pPr>
      <w:r>
        <w:rPr>
          <w:b/>
          <w:bCs/>
        </w:rPr>
        <w:t xml:space="preserve">Culture</w:t>
      </w:r>
      <w:r>
        <w:t xml:space="preserve"> </w:t>
      </w:r>
      <w:r>
        <w:t xml:space="preserve">and</w:t>
      </w:r>
      <w:r>
        <w:t xml:space="preserve"> </w:t>
      </w:r>
      <w:r>
        <w:rPr>
          <w:b/>
          <w:bCs/>
        </w:rPr>
        <w:t xml:space="preserve">isolate</w:t>
      </w:r>
      <w:r>
        <w:t xml:space="preserve"> </w:t>
      </w:r>
      <w:r>
        <w:t xml:space="preserve">fungi</w:t>
      </w:r>
    </w:p>
    <w:p>
      <w:pPr>
        <w:pStyle w:val="Compact"/>
        <w:numPr>
          <w:ilvl w:val="0"/>
          <w:numId w:val="1105"/>
        </w:numPr>
      </w:pPr>
      <w:r>
        <w:rPr>
          <w:b/>
          <w:bCs/>
        </w:rPr>
        <w:t xml:space="preserve">Investigate</w:t>
      </w:r>
      <w:r>
        <w:t xml:space="preserve"> </w:t>
      </w:r>
      <w:r>
        <w:t xml:space="preserve">fungal endophytes</w:t>
      </w:r>
    </w:p>
    <w:p>
      <w:pPr>
        <w:pStyle w:val="Compact"/>
        <w:numPr>
          <w:ilvl w:val="0"/>
          <w:numId w:val="1105"/>
        </w:numPr>
      </w:pPr>
      <w:r>
        <w:rPr>
          <w:b/>
          <w:bCs/>
        </w:rPr>
        <w:t xml:space="preserve">Characterize</w:t>
      </w:r>
      <w:r>
        <w:t xml:space="preserve"> </w:t>
      </w:r>
      <w:r>
        <w:t xml:space="preserve">morphology of fungal cultures</w:t>
      </w:r>
    </w:p>
    <w:p>
      <w:pPr>
        <w:pStyle w:val="Compact"/>
        <w:numPr>
          <w:ilvl w:val="0"/>
          <w:numId w:val="1105"/>
        </w:numPr>
      </w:pPr>
      <w:r>
        <w:rPr>
          <w:b/>
          <w:bCs/>
        </w:rPr>
        <w:t xml:space="preserve">Create</w:t>
      </w:r>
      <w:r>
        <w:t xml:space="preserve"> </w:t>
      </w:r>
      <w:r>
        <w:t xml:space="preserve">data spreadsheets</w:t>
      </w:r>
    </w:p>
    <w:p>
      <w:pPr>
        <w:pStyle w:val="Compact"/>
        <w:numPr>
          <w:ilvl w:val="0"/>
          <w:numId w:val="1105"/>
        </w:numPr>
      </w:pPr>
      <w:r>
        <w:rPr>
          <w:b/>
          <w:bCs/>
        </w:rPr>
        <w:t xml:space="preserve">Isolate</w:t>
      </w:r>
      <w:r>
        <w:t xml:space="preserve"> </w:t>
      </w:r>
      <w:r>
        <w:t xml:space="preserve">fungi for molecular extraction and analysis</w:t>
      </w:r>
    </w:p>
    <w:p>
      <w:pPr>
        <w:pStyle w:val="Compact"/>
        <w:numPr>
          <w:ilvl w:val="0"/>
          <w:numId w:val="1105"/>
        </w:numPr>
      </w:pPr>
      <w:r>
        <w:rPr>
          <w:b/>
          <w:bCs/>
        </w:rPr>
        <w:t xml:space="preserve">Create</w:t>
      </w:r>
      <w:r>
        <w:t xml:space="preserve"> </w:t>
      </w:r>
      <w:r>
        <w:t xml:space="preserve">growth curves</w:t>
      </w:r>
    </w:p>
    <w:bookmarkEnd w:id="125"/>
    <w:bookmarkStart w:id="137" w:name="instructions-1"/>
    <w:p>
      <w:pPr>
        <w:pStyle w:val="Heading3"/>
      </w:pPr>
      <w:r>
        <w:t xml:space="preserve">Instructions</w:t>
      </w:r>
    </w:p>
    <w:bookmarkStart w:id="126" w:name="materials-and-equipment-2"/>
    <w:p>
      <w:pPr>
        <w:pStyle w:val="Heading4"/>
      </w:pPr>
      <w:r>
        <w:t xml:space="preserve">Materials and Equipment</w:t>
      </w:r>
    </w:p>
    <w:p>
      <w:pPr>
        <w:pStyle w:val="Compact"/>
        <w:numPr>
          <w:ilvl w:val="0"/>
          <w:numId w:val="1106"/>
        </w:numPr>
      </w:pPr>
      <w:r>
        <w:t xml:space="preserve">Fungal endophyte sample plates</w:t>
      </w:r>
    </w:p>
    <w:p>
      <w:pPr>
        <w:pStyle w:val="Compact"/>
        <w:numPr>
          <w:ilvl w:val="0"/>
          <w:numId w:val="1107"/>
        </w:numPr>
      </w:pPr>
      <w:r>
        <w:t xml:space="preserve">PDA plates (60x15 mm)</w:t>
      </w:r>
    </w:p>
    <w:p>
      <w:pPr>
        <w:pStyle w:val="Compact"/>
        <w:numPr>
          <w:ilvl w:val="0"/>
          <w:numId w:val="1108"/>
        </w:numPr>
      </w:pPr>
      <w:r>
        <w:t xml:space="preserve">70% ethanol</w:t>
      </w:r>
    </w:p>
    <w:p>
      <w:pPr>
        <w:pStyle w:val="Compact"/>
        <w:numPr>
          <w:ilvl w:val="0"/>
          <w:numId w:val="1109"/>
        </w:numPr>
      </w:pPr>
      <w:r>
        <w:t xml:space="preserve">Kimwipes and paper towels</w:t>
      </w:r>
    </w:p>
    <w:p>
      <w:pPr>
        <w:pStyle w:val="Compact"/>
        <w:numPr>
          <w:ilvl w:val="0"/>
          <w:numId w:val="1110"/>
        </w:numPr>
      </w:pPr>
      <w:r>
        <w:t xml:space="preserve">Parafilm</w:t>
      </w:r>
    </w:p>
    <w:p>
      <w:pPr>
        <w:pStyle w:val="Compact"/>
        <w:numPr>
          <w:ilvl w:val="0"/>
          <w:numId w:val="1111"/>
        </w:numPr>
      </w:pPr>
      <w:r>
        <w:t xml:space="preserve">Fine-tip Sharpie</w:t>
      </w:r>
    </w:p>
    <w:p>
      <w:pPr>
        <w:pStyle w:val="Compact"/>
        <w:numPr>
          <w:ilvl w:val="0"/>
          <w:numId w:val="1112"/>
        </w:numPr>
      </w:pPr>
      <w:r>
        <w:t xml:space="preserve">Ethanol for sterilization</w:t>
      </w:r>
    </w:p>
    <w:p>
      <w:pPr>
        <w:pStyle w:val="Compact"/>
        <w:numPr>
          <w:ilvl w:val="0"/>
          <w:numId w:val="1113"/>
        </w:numPr>
      </w:pPr>
      <w:r>
        <w:t xml:space="preserve">Beaker or autoclavable container for ethanol</w:t>
      </w:r>
    </w:p>
    <w:p>
      <w:pPr>
        <w:pStyle w:val="Compact"/>
        <w:numPr>
          <w:ilvl w:val="0"/>
          <w:numId w:val="1114"/>
        </w:numPr>
      </w:pPr>
      <w:r>
        <w:t xml:space="preserve">Scalpel</w:t>
      </w:r>
    </w:p>
    <w:p>
      <w:pPr>
        <w:pStyle w:val="Compact"/>
        <w:numPr>
          <w:ilvl w:val="0"/>
          <w:numId w:val="1115"/>
        </w:numPr>
      </w:pPr>
      <w:r>
        <w:t xml:space="preserve">Ruler</w:t>
      </w:r>
    </w:p>
    <w:p>
      <w:pPr>
        <w:pStyle w:val="Compact"/>
        <w:numPr>
          <w:ilvl w:val="0"/>
          <w:numId w:val="1116"/>
        </w:numPr>
      </w:pPr>
      <w:r>
        <w:t xml:space="preserve">Forceps</w:t>
      </w:r>
    </w:p>
    <w:p>
      <w:pPr>
        <w:pStyle w:val="Compact"/>
        <w:numPr>
          <w:ilvl w:val="0"/>
          <w:numId w:val="1117"/>
        </w:numPr>
      </w:pPr>
      <w:r>
        <w:t xml:space="preserve">Autclave</w:t>
      </w:r>
    </w:p>
    <w:bookmarkEnd w:id="126"/>
    <w:bookmarkStart w:id="131" w:name="X2a686204ef2636cfa94f5241192951a8a671134"/>
    <w:p>
      <w:pPr>
        <w:pStyle w:val="Heading4"/>
      </w:pPr>
      <w:r>
        <w:t xml:space="preserve">Part I - Subculturing Fungal Endophytes into Fungal Isolates</w:t>
      </w:r>
    </w:p>
    <w:p>
      <w:pPr>
        <w:pStyle w:val="FirstParagraph"/>
      </w:pPr>
      <w:r>
        <w:t xml:space="preserve">Fungal cultures usually emerge as white fuzz from your leaf discs, however, the hyphae might be pigmented, such as a brown or greenish color.</w:t>
      </w:r>
      <w:r>
        <w:t xml:space="preserve"> </w:t>
      </w:r>
      <w:hyperlink w:anchor="fig-fungalhyphae">
        <w:r>
          <w:rPr>
            <w:rStyle w:val="Hyperlink"/>
          </w:rPr>
          <w:t xml:space="preserve">Figure 5</w:t>
        </w:r>
      </w:hyperlink>
      <w:r>
        <w:t xml:space="preserve"> </w:t>
      </w:r>
      <w:r>
        <w:t xml:space="preserve">depicts the fungal hyphae in brown and blue emerging from the green leaf tissue. The fungi are utilizing the nutrients available in the leaf tissue for growth as water agar does not contain nutrients. To promote the growth necessary for downstream analyses, it is essential to transfer the fungi to a growth medium that contains nutrients. For our exercise we are using Potato Dextrose Agar (PDA) as nutrient media. These are smaller Petri dishes and the media has a yellowish tint (compared to the larger Petri dishes containing the clear, or whitish, water agar from your initial isolation). This transfer step also allows for the separation of each fungal isolate to ensure pure cultures.</w:t>
      </w:r>
    </w:p>
    <w:tbl>
      <w:tblPr>
        <w:tblStyle w:val="Table"/>
        <w:tblW w:type="pct" w:w="5000"/>
        <w:tblLayout w:type="fixed"/>
        <w:tblLook w:firstRow="0" w:lastRow="0" w:firstColumn="0" w:lastColumn="0" w:noHBand="0" w:noVBand="0" w:val="0000"/>
      </w:tblPr>
      <w:tblGrid>
        <w:gridCol w:w="7920"/>
      </w:tblGrid>
      <w:tr>
        <w:tc>
          <w:tcPr/>
          <w:bookmarkStart w:id="130" w:name="fig-fungalhyphae"/>
          <w:p>
            <w:pPr>
              <w:pStyle w:val="Compact"/>
              <w:jc w:val="center"/>
            </w:pPr>
            <w:r>
              <w:drawing>
                <wp:inline>
                  <wp:extent cx="5334000" cy="3733799"/>
                  <wp:effectExtent b="0" l="0" r="0" t="0"/>
                  <wp:docPr descr="" title="" id="128" name="Picture"/>
                  <a:graphic>
                    <a:graphicData uri="http://schemas.openxmlformats.org/drawingml/2006/picture">
                      <pic:pic>
                        <pic:nvPicPr>
                          <pic:cNvPr descr="images/FungalHyphae.png" id="129" name="Picture"/>
                          <pic:cNvPicPr>
                            <a:picLocks noChangeArrowheads="1" noChangeAspect="1"/>
                          </pic:cNvPicPr>
                        </pic:nvPicPr>
                        <pic:blipFill>
                          <a:blip r:embed="rId127"/>
                          <a:stretch>
                            <a:fillRect/>
                          </a:stretch>
                        </pic:blipFill>
                        <pic:spPr bwMode="auto">
                          <a:xfrm>
                            <a:off x="0" y="0"/>
                            <a:ext cx="5334000" cy="3733799"/>
                          </a:xfrm>
                          <a:prstGeom prst="rect">
                            <a:avLst/>
                          </a:prstGeom>
                          <a:noFill/>
                          <a:ln w="9525">
                            <a:noFill/>
                            <a:headEnd/>
                            <a:tailEnd/>
                          </a:ln>
                        </pic:spPr>
                      </pic:pic>
                    </a:graphicData>
                  </a:graphic>
                </wp:inline>
              </w:drawing>
            </w:r>
          </w:p>
          <w:p>
            <w:pPr>
              <w:jc w:val="center"/>
            </w:pPr>
            <w:pPr>
              <w:jc w:val="left"/>
              <w:spacing w:before="200"/>
              <w:pStyle w:val="ImageCaption"/>
            </w:pPr>
            <w:r>
              <w:t xml:space="preserve">Figure 5: Fungal Hyphae Emerging from Green Leaf Tissue. Leaves have different shapes and sizes. Leaf pathologies and diseases can be identified by inspection of leaves. Figure created with BioRender.com.</w:t>
            </w:r>
          </w:p>
          <w:bookmarkEnd w:id="130"/>
        </w:tc>
      </w:tr>
    </w:tbl>
    <w:p>
      <w:pPr>
        <w:pStyle w:val="BodyText"/>
      </w:pPr>
      <w:r>
        <w:t xml:space="preserve">Fungal growth from the leaf cuttings may occur over the span of a few weeks, so you may have to transfer several times. Your fungal cultures will be most successful if you transfer them within a few days (1-3) from emergence or detection.</w:t>
      </w:r>
    </w:p>
    <w:p>
      <w:pPr>
        <w:pStyle w:val="Compact"/>
        <w:numPr>
          <w:ilvl w:val="0"/>
          <w:numId w:val="1118"/>
        </w:numPr>
      </w:pPr>
      <w:r>
        <w:rPr>
          <w:b/>
          <w:bCs/>
        </w:rPr>
        <w:t xml:space="preserve">Practice Sterile Technique.</w:t>
      </w:r>
      <w:r>
        <w:t xml:space="preserve"> </w:t>
      </w:r>
      <w:r>
        <w:t xml:space="preserve">Wear gloves. Clean work surface with disinfectant. If available, wipe surfaces with 70% ethanol. Choose a working location with the least amount of airflow to prevent contamination. Decrease the potential of airborne contaminants falling onto your workspace or into your Petri dishes.</w:t>
      </w:r>
    </w:p>
    <w:p>
      <w:pPr>
        <w:pStyle w:val="Compact"/>
        <w:numPr>
          <w:ilvl w:val="0"/>
          <w:numId w:val="1118"/>
        </w:numPr>
      </w:pPr>
      <w:r>
        <w:rPr>
          <w:b/>
          <w:bCs/>
        </w:rPr>
        <w:t xml:space="preserve">Label a PDA Petri dish with the sample number and date for each isolate</w:t>
      </w:r>
      <w:r>
        <w:t xml:space="preserve"> </w:t>
      </w:r>
      <w:r>
        <w:t xml:space="preserve">(described in Module 1.1 - Metadata). Always label along the bottom edge. This ensures the label stays with the fungus, even if the top lid falls off. Label the edge of the plate because you don’t want to obscure light transmission through the plate. Also, mark lines on the bottom of the plate to record the growth rate. Be sure to transfer only one fungal isolate to each PDA Petri dish.</w:t>
      </w:r>
    </w:p>
    <w:p>
      <w:pPr>
        <w:pStyle w:val="Compact"/>
        <w:numPr>
          <w:ilvl w:val="0"/>
          <w:numId w:val="1118"/>
        </w:numPr>
      </w:pPr>
      <w:r>
        <w:t xml:space="preserve">Use a sterilized scalpel, forceps, and agar punch.</w:t>
      </w:r>
    </w:p>
    <w:p>
      <w:pPr>
        <w:pStyle w:val="Compact"/>
        <w:numPr>
          <w:ilvl w:val="0"/>
          <w:numId w:val="1118"/>
        </w:numPr>
      </w:pPr>
      <w:r>
        <w:t xml:space="preserve">Make a</w:t>
      </w:r>
      <w:r>
        <w:t xml:space="preserve"> </w:t>
      </w:r>
      <w:r>
        <w:t xml:space="preserve">“plug”</w:t>
      </w:r>
      <w:r>
        <w:t xml:space="preserve">. Cut a small chunk of water agar containing hyphae of target isolate using a sterilized scalpel or agar punch. Transfer this plug of agar and hyphae to the PDA plate. Ideally, you will have the least amount of agar transferred to the new Petri dish.</w:t>
      </w:r>
    </w:p>
    <w:p>
      <w:pPr>
        <w:pStyle w:val="Compact"/>
        <w:numPr>
          <w:ilvl w:val="1"/>
          <w:numId w:val="1119"/>
        </w:numPr>
      </w:pPr>
      <w:r>
        <w:t xml:space="preserve">Work quickly and cleanly and consider your technique to prevent contamination. Remove Parafilm from the water agar plate.</w:t>
      </w:r>
    </w:p>
    <w:p>
      <w:pPr>
        <w:pStyle w:val="Compact"/>
        <w:numPr>
          <w:ilvl w:val="1"/>
          <w:numId w:val="1119"/>
        </w:numPr>
      </w:pPr>
      <w:r>
        <w:t xml:space="preserve">Tilt or lift the lid of the water agar petri dish as little as possible, try to keep the lid covering or hovering over the plate to prevent airborne contaminants.</w:t>
      </w:r>
    </w:p>
    <w:p>
      <w:pPr>
        <w:pStyle w:val="Compact"/>
        <w:numPr>
          <w:ilvl w:val="1"/>
          <w:numId w:val="1119"/>
        </w:numPr>
      </w:pPr>
      <w:r>
        <w:t xml:space="preserve">Using a sterile scalpel remove the chunk of agar from the target fungal isolate.</w:t>
      </w:r>
    </w:p>
    <w:p>
      <w:pPr>
        <w:pStyle w:val="Compact"/>
        <w:numPr>
          <w:ilvl w:val="1"/>
          <w:numId w:val="1119"/>
        </w:numPr>
      </w:pPr>
      <w:r>
        <w:t xml:space="preserve">Replace the lid of the water agar.</w:t>
      </w:r>
    </w:p>
    <w:p>
      <w:pPr>
        <w:pStyle w:val="Compact"/>
        <w:numPr>
          <w:ilvl w:val="1"/>
          <w:numId w:val="1119"/>
        </w:numPr>
      </w:pPr>
      <w:r>
        <w:t xml:space="preserve">Open the PDA Petri dish lid by slightly tilting the lid, or lifting the lid straight up. Place the agar chunk into the middle (or as mid-plate as possible) of the PDA petri dish. The agar will likely stick to the scalpel, so do your best to remove the chunk without contamination.</w:t>
      </w:r>
    </w:p>
    <w:p>
      <w:pPr>
        <w:pStyle w:val="Compact"/>
        <w:numPr>
          <w:ilvl w:val="1"/>
          <w:numId w:val="1119"/>
        </w:numPr>
      </w:pPr>
      <w:r>
        <w:t xml:space="preserve">Close the lid of the PDA Petri dish lid as quickly as possible. Seal with parafilm.</w:t>
      </w:r>
    </w:p>
    <w:bookmarkEnd w:id="131"/>
    <w:bookmarkStart w:id="136" w:name="part-ii-measuring-growth-rates"/>
    <w:p>
      <w:pPr>
        <w:pStyle w:val="Heading4"/>
      </w:pPr>
      <w:r>
        <w:t xml:space="preserve">Part II – Measuring Growth Rates</w:t>
      </w:r>
    </w:p>
    <w:p>
      <w:pPr>
        <w:pStyle w:val="Compact"/>
        <w:numPr>
          <w:ilvl w:val="0"/>
          <w:numId w:val="1120"/>
        </w:numPr>
      </w:pPr>
      <w:r>
        <w:t xml:space="preserve">Design a data sheet to record growth as indicated in</w:t>
      </w:r>
      <w:r>
        <w:t xml:space="preserve"> </w:t>
      </w:r>
      <w:hyperlink w:anchor="fig-measuregrowth">
        <w:r>
          <w:rPr>
            <w:rStyle w:val="Hyperlink"/>
          </w:rPr>
          <w:t xml:space="preserve">Figure 6</w:t>
        </w:r>
      </w:hyperlink>
      <w:r>
        <w:t xml:space="preserve">.</w:t>
      </w:r>
    </w:p>
    <w:p>
      <w:pPr>
        <w:pStyle w:val="Compact"/>
        <w:numPr>
          <w:ilvl w:val="0"/>
          <w:numId w:val="1120"/>
        </w:numPr>
      </w:pPr>
      <w:r>
        <w:t xml:space="preserve">On the bottom of the plate, trace the edge of your fungal culture using a fine-tip Sharpie or marker.</w:t>
      </w:r>
    </w:p>
    <w:tbl>
      <w:tblPr>
        <w:tblStyle w:val="Table"/>
        <w:tblW w:type="pct" w:w="5000"/>
        <w:tblLayout w:type="fixed"/>
        <w:tblLook w:firstRow="0" w:lastRow="0" w:firstColumn="0" w:lastColumn="0" w:noHBand="0" w:noVBand="0" w:val="0000"/>
      </w:tblPr>
      <w:tblGrid>
        <w:gridCol w:w="7920"/>
      </w:tblGrid>
      <w:tr>
        <w:tc>
          <w:tcPr/>
          <w:bookmarkStart w:id="135" w:name="fig-measuregrowth"/>
          <w:p>
            <w:pPr>
              <w:pStyle w:val="Compact"/>
              <w:jc w:val="center"/>
            </w:pPr>
            <w:r>
              <w:drawing>
                <wp:inline>
                  <wp:extent cx="5334000" cy="3733799"/>
                  <wp:effectExtent b="0" l="0" r="0" t="0"/>
                  <wp:docPr descr="" title="" id="133" name="Picture"/>
                  <a:graphic>
                    <a:graphicData uri="http://schemas.openxmlformats.org/drawingml/2006/picture">
                      <pic:pic>
                        <pic:nvPicPr>
                          <pic:cNvPr descr="images/MeasureGrowthPDA.png" id="134" name="Picture"/>
                          <pic:cNvPicPr>
                            <a:picLocks noChangeArrowheads="1" noChangeAspect="1"/>
                          </pic:cNvPicPr>
                        </pic:nvPicPr>
                        <pic:blipFill>
                          <a:blip r:embed="rId132"/>
                          <a:stretch>
                            <a:fillRect/>
                          </a:stretch>
                        </pic:blipFill>
                        <pic:spPr bwMode="auto">
                          <a:xfrm>
                            <a:off x="0" y="0"/>
                            <a:ext cx="5334000" cy="3733799"/>
                          </a:xfrm>
                          <a:prstGeom prst="rect">
                            <a:avLst/>
                          </a:prstGeom>
                          <a:noFill/>
                          <a:ln w="9525">
                            <a:noFill/>
                            <a:headEnd/>
                            <a:tailEnd/>
                          </a:ln>
                        </pic:spPr>
                      </pic:pic>
                    </a:graphicData>
                  </a:graphic>
                </wp:inline>
              </w:drawing>
            </w:r>
          </w:p>
          <w:p>
            <w:pPr>
              <w:jc w:val="center"/>
            </w:pPr>
            <w:pPr>
              <w:jc w:val="left"/>
              <w:spacing w:before="200"/>
              <w:pStyle w:val="ImageCaption"/>
            </w:pPr>
            <w:r>
              <w:t xml:space="preserve">Figure 6: Measure Growth on PDA Plates. Divide the plate into eight segments using a ruler and marker. Then measure the growth at each segment starting at the end of the water agar plug and ending at the edge of the growth. Image the plate from top and bottom. Record measurements and images in your lab notebook. Figure created with BioRender.com.</w:t>
            </w:r>
          </w:p>
          <w:bookmarkEnd w:id="135"/>
        </w:tc>
      </w:tr>
    </w:tbl>
    <w:p>
      <w:pPr>
        <w:pStyle w:val="Compact"/>
        <w:numPr>
          <w:ilvl w:val="0"/>
          <w:numId w:val="1121"/>
        </w:numPr>
      </w:pPr>
      <w:r>
        <w:t xml:space="preserve">Measure, in mm, new growth at each of the eight edges along the lines (Figures 3 and 4)</w:t>
      </w:r>
    </w:p>
    <w:p>
      <w:pPr>
        <w:pStyle w:val="Compact"/>
        <w:numPr>
          <w:ilvl w:val="0"/>
          <w:numId w:val="1121"/>
        </w:numPr>
      </w:pPr>
      <w:r>
        <w:t xml:space="preserve">Average the eight measurements to get the average growth (Table 1).</w:t>
      </w:r>
    </w:p>
    <w:p>
      <w:pPr>
        <w:pStyle w:val="FirstParagraph"/>
      </w:pPr>
      <w:r>
        <w:rPr>
          <w:b/>
          <w:bCs/>
        </w:rPr>
        <w:t xml:space="preserve">Table 1: Daily Growth Average</w:t>
      </w:r>
    </w:p>
    <w:p>
      <w:pPr>
        <w:pStyle w:val="TableCaption"/>
      </w:pPr>
      <w:r>
        <w:t xml:space="preserve">Table 1. Daily Growth Average</w:t>
      </w:r>
    </w:p>
    <w:tbl>
      <w:tblPr>
        <w:tblStyle w:val="Table"/>
        <w:tblW w:type="auto" w:w="0"/>
        <w:tblLook w:firstRow="1" w:lastRow="0" w:firstColumn="0" w:lastColumn="0" w:noHBand="0" w:noVBand="0" w:val="0020"/>
        <w:tblCaption w:val="Table 1. Daily Growth Average"/>
      </w:tblPr>
      <w:tblGrid>
        <w:gridCol w:w="3960"/>
        <w:gridCol w:w="3960"/>
      </w:tblGrid>
      <w:tr>
        <w:trPr>
          <w:tblHeader w:val="on"/>
        </w:trPr>
        <w:tc>
          <w:tcPr/>
          <w:p>
            <w:pPr>
              <w:pStyle w:val="Compact"/>
            </w:pPr>
            <w:r>
              <w:t xml:space="preserve">Measurement</w:t>
            </w:r>
          </w:p>
        </w:tc>
        <w:tc>
          <w:tcPr/>
          <w:p>
            <w:pPr>
              <w:pStyle w:val="Compact"/>
            </w:pPr>
            <w:r>
              <w:t xml:space="preserve">Value</w:t>
            </w:r>
          </w:p>
        </w:tc>
      </w:tr>
      <w:tr>
        <w:tc>
          <w:tcPr/>
          <w:p>
            <w:pPr>
              <w:pStyle w:val="Compact"/>
            </w:pPr>
            <w:r>
              <w:t xml:space="preserve">1</w:t>
            </w:r>
          </w:p>
        </w:tc>
        <w:tc>
          <w:tcPr/>
          <w:p>
            <w:pPr>
              <w:pStyle w:val="Compact"/>
            </w:pPr>
            <w:r>
              <w:t xml:space="preserve">3 mm</w:t>
            </w:r>
          </w:p>
        </w:tc>
      </w:tr>
      <w:tr>
        <w:tc>
          <w:tcPr/>
          <w:p>
            <w:pPr>
              <w:pStyle w:val="Compact"/>
            </w:pPr>
            <w:r>
              <w:t xml:space="preserve">2</w:t>
            </w:r>
          </w:p>
        </w:tc>
        <w:tc>
          <w:tcPr/>
          <w:p>
            <w:pPr>
              <w:pStyle w:val="Compact"/>
            </w:pPr>
            <w:r>
              <w:t xml:space="preserve">2.5 mm</w:t>
            </w:r>
          </w:p>
        </w:tc>
      </w:tr>
      <w:tr>
        <w:tc>
          <w:tcPr/>
          <w:p>
            <w:pPr>
              <w:pStyle w:val="Compact"/>
            </w:pPr>
            <w:r>
              <w:t xml:space="preserve">3</w:t>
            </w:r>
          </w:p>
        </w:tc>
        <w:tc>
          <w:tcPr/>
          <w:p>
            <w:pPr>
              <w:pStyle w:val="Compact"/>
            </w:pPr>
            <w:r>
              <w:t xml:space="preserve">2.7 mm</w:t>
            </w:r>
          </w:p>
        </w:tc>
      </w:tr>
      <w:tr>
        <w:tc>
          <w:tcPr/>
          <w:p>
            <w:pPr>
              <w:pStyle w:val="Compact"/>
            </w:pPr>
            <w:r>
              <w:t xml:space="preserve">4</w:t>
            </w:r>
          </w:p>
        </w:tc>
        <w:tc>
          <w:tcPr/>
          <w:p>
            <w:pPr>
              <w:pStyle w:val="Compact"/>
            </w:pPr>
            <w:r>
              <w:t xml:space="preserve">1.8 mm</w:t>
            </w:r>
          </w:p>
        </w:tc>
      </w:tr>
      <w:tr>
        <w:tc>
          <w:tcPr/>
          <w:p>
            <w:pPr>
              <w:pStyle w:val="Compact"/>
            </w:pPr>
            <w:r>
              <w:t xml:space="preserve">5</w:t>
            </w:r>
          </w:p>
        </w:tc>
        <w:tc>
          <w:tcPr/>
          <w:p>
            <w:pPr>
              <w:pStyle w:val="Compact"/>
            </w:pPr>
            <w:r>
              <w:t xml:space="preserve">3.1 mm</w:t>
            </w:r>
          </w:p>
        </w:tc>
      </w:tr>
      <w:tr>
        <w:tc>
          <w:tcPr/>
          <w:p>
            <w:pPr>
              <w:pStyle w:val="Compact"/>
            </w:pPr>
            <w:r>
              <w:t xml:space="preserve">6</w:t>
            </w:r>
          </w:p>
        </w:tc>
        <w:tc>
          <w:tcPr/>
          <w:p>
            <w:pPr>
              <w:pStyle w:val="Compact"/>
            </w:pPr>
            <w:r>
              <w:t xml:space="preserve">2.2 mm</w:t>
            </w:r>
          </w:p>
        </w:tc>
      </w:tr>
      <w:tr>
        <w:tc>
          <w:tcPr/>
          <w:p>
            <w:pPr>
              <w:pStyle w:val="Compact"/>
            </w:pPr>
            <w:r>
              <w:t xml:space="preserve">7</w:t>
            </w:r>
          </w:p>
        </w:tc>
        <w:tc>
          <w:tcPr/>
          <w:p>
            <w:pPr>
              <w:pStyle w:val="Compact"/>
            </w:pPr>
            <w:r>
              <w:t xml:space="preserve">2.6 mm</w:t>
            </w:r>
          </w:p>
        </w:tc>
      </w:tr>
      <w:tr>
        <w:tc>
          <w:tcPr/>
          <w:p>
            <w:pPr>
              <w:pStyle w:val="Compact"/>
            </w:pPr>
            <w:r>
              <w:t xml:space="preserve">8</w:t>
            </w:r>
          </w:p>
        </w:tc>
        <w:tc>
          <w:tcPr/>
          <w:p>
            <w:pPr>
              <w:pStyle w:val="Compact"/>
            </w:pPr>
            <w:r>
              <w:t xml:space="preserve">2.1 mm</w:t>
            </w:r>
          </w:p>
        </w:tc>
      </w:tr>
      <w:tr>
        <w:tc>
          <w:tcPr/>
          <w:p>
            <w:pPr>
              <w:pStyle w:val="Compact"/>
            </w:pPr>
            <w:r>
              <w:t xml:space="preserve">Average</w:t>
            </w:r>
          </w:p>
        </w:tc>
        <w:tc>
          <w:tcPr/>
          <w:p>
            <w:pPr>
              <w:pStyle w:val="Compact"/>
            </w:pPr>
            <w:r>
              <w:t xml:space="preserve">2.5 mm</w:t>
            </w:r>
          </w:p>
        </w:tc>
      </w:tr>
    </w:tbl>
    <w:p>
      <w:pPr>
        <w:pStyle w:val="Compact"/>
        <w:numPr>
          <w:ilvl w:val="0"/>
          <w:numId w:val="1122"/>
        </w:numPr>
      </w:pPr>
      <w:r>
        <w:t xml:space="preserve">Continue to measure average growth in mm 7 days from plating.</w:t>
      </w:r>
    </w:p>
    <w:p>
      <w:pPr>
        <w:pStyle w:val="Compact"/>
        <w:numPr>
          <w:ilvl w:val="0"/>
          <w:numId w:val="1122"/>
        </w:numPr>
      </w:pPr>
      <w:r>
        <w:t xml:space="preserve">Calculate the average growth rate (distance/time).</w:t>
      </w:r>
    </w:p>
    <w:p>
      <w:pPr>
        <w:pStyle w:val="Compact"/>
        <w:numPr>
          <w:ilvl w:val="0"/>
          <w:numId w:val="1122"/>
        </w:numPr>
      </w:pPr>
      <w:r>
        <w:t xml:space="preserve">Plot a graph of your fungal isolate(s) growth rate.</w:t>
      </w:r>
    </w:p>
    <w:p>
      <w:pPr>
        <w:pStyle w:val="Compact"/>
        <w:numPr>
          <w:ilvl w:val="0"/>
          <w:numId w:val="1122"/>
        </w:numPr>
      </w:pPr>
      <w:r>
        <w:t xml:space="preserve">Submit images and your data sheet and a graph of growth rates in your lab blog post for this project. Please take images to add to your lab notebook.</w:t>
      </w:r>
    </w:p>
    <w:bookmarkEnd w:id="136"/>
    <w:bookmarkEnd w:id="137"/>
    <w:bookmarkEnd w:id="138"/>
    <w:bookmarkEnd w:id="139"/>
    <w:bookmarkStart w:id="175" w:name="module-3-phenotypic-assays"/>
    <w:p>
      <w:pPr>
        <w:pStyle w:val="Heading1"/>
      </w:pPr>
      <w:r>
        <w:t xml:space="preserve">Module 3: Phenotypic Assays</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140" name="Picture"/>
                  <a:graphic>
                    <a:graphicData uri="http://schemas.openxmlformats.org/drawingml/2006/picture">
                      <pic:pic>
                        <pic:nvPicPr>
                          <pic:cNvPr descr="/opt/quarto/share/formats/docx/tip.png" id="141" name="Picture"/>
                          <pic:cNvPicPr>
                            <a:picLocks noChangeArrowheads="1" noChangeAspect="1"/>
                          </pic:cNvPicPr>
                        </pic:nvPicPr>
                        <pic:blipFill>
                          <a:blip r:embed="rId1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 Open Slides</w:t>
            </w:r>
          </w:p>
        </w:tc>
      </w:tr>
      <w:tr>
        <w:trPr>
          <w:cantSplit/>
        </w:trPr>
        <w:tc>
          <w:tcPr>
            <w:tcMar>
              <w:top w:w="108" w:type="dxa"/>
              <w:bottom w:w="108" w:type="dxa"/>
            </w:tcMar>
          </w:tcPr>
          <w:p>
            <w:pPr>
              <w:pStyle w:val="BodyText"/>
            </w:pPr>
            <w:pPr>
              <w:spacing w:before="16" w:after="16"/>
            </w:pPr>
            <w:hyperlink r:id="rId18">
              <w:r>
                <w:rPr>
                  <w:rStyle w:val="Hyperlink"/>
                </w:rPr>
                <w:t xml:space="preserve">Open Module 3 Slides</w:t>
              </w:r>
            </w:hyperlink>
          </w:p>
          <w:p/>
        </w:tc>
      </w:tr>
    </w:tbl>
    <w:bookmarkStart w:id="146" w:name="module-3.1-phenotypic-assays"/>
    <w:p>
      <w:pPr>
        <w:pStyle w:val="Heading2"/>
      </w:pPr>
      <w:r>
        <w:t xml:space="preserve">Module 3.1 – Phenotypic Assays</w:t>
      </w:r>
    </w:p>
    <w:bookmarkStart w:id="145" w:name="X7ceddf16062824a3bde6cd0475f549d1fd9a5ed"/>
    <w:p>
      <w:pPr>
        <w:pStyle w:val="Heading3"/>
      </w:pPr>
      <w:r>
        <w:t xml:space="preserve">Instructor Laboratory Preparation Instructions</w:t>
      </w:r>
    </w:p>
    <w:bookmarkStart w:id="144" w:name="materials-and-equipment-3"/>
    <w:p>
      <w:pPr>
        <w:pStyle w:val="Heading4"/>
      </w:pPr>
      <w:r>
        <w:t xml:space="preserve">Materials and Equipment</w:t>
      </w:r>
    </w:p>
    <w:p>
      <w:pPr>
        <w:pStyle w:val="Compact"/>
        <w:numPr>
          <w:ilvl w:val="0"/>
          <w:numId w:val="1123"/>
        </w:numPr>
      </w:pPr>
      <w:r>
        <w:t xml:space="preserve">60x15 mm Petri dishes</w:t>
      </w:r>
    </w:p>
    <w:p>
      <w:pPr>
        <w:pStyle w:val="Compact"/>
        <w:numPr>
          <w:ilvl w:val="0"/>
          <w:numId w:val="1124"/>
        </w:numPr>
      </w:pPr>
      <w:r>
        <w:t xml:space="preserve">Bacteriological agar</w:t>
      </w:r>
    </w:p>
    <w:p>
      <w:pPr>
        <w:pStyle w:val="Compact"/>
        <w:numPr>
          <w:ilvl w:val="0"/>
          <w:numId w:val="1125"/>
        </w:numPr>
      </w:pPr>
      <w:r>
        <w:t xml:space="preserve">Potato Dextrose Agar (PDA)</w:t>
      </w:r>
    </w:p>
    <w:p>
      <w:pPr>
        <w:pStyle w:val="Compact"/>
        <w:numPr>
          <w:ilvl w:val="0"/>
          <w:numId w:val="1126"/>
        </w:numPr>
      </w:pPr>
      <w:r>
        <w:t xml:space="preserve">Streptomycin (50 mg/ml) [optional, but recommended to prevent bacterial contamination]</w:t>
      </w:r>
    </w:p>
    <w:p>
      <w:pPr>
        <w:pStyle w:val="Compact"/>
        <w:numPr>
          <w:ilvl w:val="0"/>
          <w:numId w:val="1127"/>
        </w:numPr>
      </w:pPr>
      <w:r>
        <w:t xml:space="preserve">Zinc sulfate</w:t>
      </w:r>
    </w:p>
    <w:p>
      <w:pPr>
        <w:pStyle w:val="Compact"/>
        <w:numPr>
          <w:ilvl w:val="0"/>
          <w:numId w:val="1128"/>
        </w:numPr>
      </w:pPr>
      <w:r>
        <w:t xml:space="preserve">Cellophane discs (rinsed and autoclaved individually)</w:t>
      </w:r>
    </w:p>
    <w:p>
      <w:pPr>
        <w:pStyle w:val="Compact"/>
        <w:numPr>
          <w:ilvl w:val="0"/>
          <w:numId w:val="1129"/>
        </w:numPr>
      </w:pPr>
      <w:r>
        <w:t xml:space="preserve">Forceps</w:t>
      </w:r>
    </w:p>
    <w:p>
      <w:pPr>
        <w:pStyle w:val="Compact"/>
        <w:numPr>
          <w:ilvl w:val="0"/>
          <w:numId w:val="1130"/>
        </w:numPr>
      </w:pPr>
      <w:r>
        <w:t xml:space="preserve">Scalpel (sterilized or disposable)</w:t>
      </w:r>
    </w:p>
    <w:p>
      <w:pPr>
        <w:pStyle w:val="Compact"/>
        <w:numPr>
          <w:ilvl w:val="0"/>
          <w:numId w:val="1131"/>
        </w:numPr>
      </w:pPr>
      <w:r>
        <w:t xml:space="preserve">Ethanol jar</w:t>
      </w:r>
    </w:p>
    <w:p>
      <w:pPr>
        <w:pStyle w:val="Compact"/>
        <w:numPr>
          <w:ilvl w:val="0"/>
          <w:numId w:val="1132"/>
        </w:numPr>
      </w:pPr>
      <w:r>
        <w:t xml:space="preserve">Parafilm</w:t>
      </w:r>
    </w:p>
    <w:p>
      <w:pPr>
        <w:pStyle w:val="Compact"/>
        <w:numPr>
          <w:ilvl w:val="0"/>
          <w:numId w:val="1133"/>
        </w:numPr>
      </w:pPr>
      <w:r>
        <w:t xml:space="preserve">Marker for labeling plates</w:t>
      </w:r>
    </w:p>
    <w:p>
      <w:pPr>
        <w:pStyle w:val="Compact"/>
        <w:numPr>
          <w:ilvl w:val="0"/>
          <w:numId w:val="1134"/>
        </w:numPr>
      </w:pPr>
      <w:r>
        <w:t xml:space="preserve">70% ethanol for sterilization</w:t>
      </w:r>
    </w:p>
    <w:p>
      <w:pPr>
        <w:pStyle w:val="Compact"/>
        <w:numPr>
          <w:ilvl w:val="0"/>
          <w:numId w:val="1135"/>
        </w:numPr>
      </w:pPr>
      <w:r>
        <w:t xml:space="preserve">Ruler for measuring growth (mm ruler)</w:t>
      </w:r>
    </w:p>
    <w:p>
      <w:pPr>
        <w:pStyle w:val="Compact"/>
        <w:numPr>
          <w:ilvl w:val="0"/>
          <w:numId w:val="1136"/>
        </w:numPr>
      </w:pPr>
      <w:r>
        <w:t xml:space="preserve">Incubators set to 4 °C, room temperature (~20 °C), and 28 °C</w:t>
      </w:r>
    </w:p>
    <w:p>
      <w:pPr>
        <w:pStyle w:val="Compact"/>
        <w:numPr>
          <w:ilvl w:val="0"/>
          <w:numId w:val="1137"/>
        </w:numPr>
      </w:pPr>
      <w:r>
        <w:t xml:space="preserve">Refrigerator for storing plates at ~4 °C</w:t>
      </w:r>
    </w:p>
    <w:p>
      <w:pPr>
        <w:pStyle w:val="Compact"/>
        <w:numPr>
          <w:ilvl w:val="0"/>
          <w:numId w:val="1138"/>
        </w:numPr>
      </w:pPr>
      <w:r>
        <w:t xml:space="preserve">Autoclave</w:t>
      </w:r>
    </w:p>
    <w:p>
      <w:pPr>
        <w:pStyle w:val="Compact"/>
        <w:numPr>
          <w:ilvl w:val="0"/>
          <w:numId w:val="1139"/>
        </w:numPr>
      </w:pPr>
      <w:r>
        <w:t xml:space="preserve">Laminar flow hood (if available)</w:t>
      </w:r>
    </w:p>
    <w:p>
      <w:pPr>
        <w:pStyle w:val="FirstParagraph"/>
      </w:pPr>
      <w:r>
        <w:rPr>
          <w:b/>
          <w:bCs/>
        </w:rPr>
        <w:t xml:space="preserve">Lab Prep and Sterility</w:t>
      </w:r>
      <w:r>
        <w:t xml:space="preserve"> </w:t>
      </w:r>
      <w:r>
        <w:t xml:space="preserve">We will be working at the bench and without Bunsen burners.</w:t>
      </w:r>
      <w:r>
        <w:t xml:space="preserve"> </w:t>
      </w:r>
      <w:r>
        <w:rPr>
          <w:b/>
          <w:bCs/>
        </w:rPr>
        <w:t xml:space="preserve">Be very careful and do not leave plates open for long periods.</w:t>
      </w:r>
      <w:r>
        <w:t xml:space="preserve"> </w:t>
      </w:r>
      <w:r>
        <w:t xml:space="preserve">First, clean your work area with bleach, and/or ethanol. We will use clean benches and laminar flow hoods when available, but this is a good alternative for those without access to these resources.</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BodyText"/>
            </w:pPr>
            <w:pPr>
              <w:spacing w:before="0" w:after="0"/>
              <w:textAlignment w:val="center"/>
            </w:pPr>
            <w:r>
              <w:drawing>
                <wp:inline>
                  <wp:extent cx="152400" cy="152400"/>
                  <wp:effectExtent b="0" l="0" r="0" t="0"/>
                  <wp:docPr descr="" title="" id="142" name="Picture"/>
                  <a:graphic>
                    <a:graphicData uri="http://schemas.openxmlformats.org/drawingml/2006/picture">
                      <pic:pic>
                        <pic:nvPicPr>
                          <pic:cNvPr descr="/opt/quarto/share/formats/docx/warning.png" id="143" name="Picture"/>
                          <pic:cNvPicPr>
                            <a:picLocks noChangeArrowheads="1" noChangeAspect="1"/>
                          </pic:cNvPicPr>
                        </pic:nvPicPr>
                        <pic:blipFill>
                          <a:blip r:embed="rId4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after="16"/>
            </w:pPr>
            <w:r>
              <w:t xml:space="preserve">We are working with</w:t>
            </w:r>
            <w:r>
              <w:t xml:space="preserve"> </w:t>
            </w:r>
            <w:r>
              <w:rPr>
                <w:i/>
                <w:iCs/>
              </w:rPr>
              <w:t xml:space="preserve">unknown</w:t>
            </w:r>
            <w:r>
              <w:t xml:space="preserve"> </w:t>
            </w:r>
            <w:r>
              <w:t xml:space="preserve">fungi, which are generally not harmful to humans, but can cause allergic reactions in some individuals. Always practice good sterile technique and handle all materials with care. If you have any concerns about allergies or sensitivities, please consult with your instructor before beginning the lab.</w:t>
            </w:r>
            <w:r>
              <w:t xml:space="preserve"> </w:t>
            </w:r>
            <w:r>
              <w:rPr>
                <w:b/>
                <w:bCs/>
              </w:rPr>
              <w:t xml:space="preserve">Work carefully and do not leave plates open for long periods of time, and seal them properly.</w:t>
            </w:r>
          </w:p>
          <w:p/>
        </w:tc>
      </w:tr>
    </w:tbl>
    <w:p>
      <w:pPr>
        <w:pStyle w:val="BodyText"/>
      </w:pPr>
      <w:r>
        <w:rPr>
          <w:b/>
          <w:bCs/>
        </w:rPr>
        <w:t xml:space="preserve">Potato Dextrose Agar (PDA) with Zn Plates for Zn Stress Assay:</w:t>
      </w:r>
      <w:r>
        <w:t xml:space="preserve"> </w:t>
      </w:r>
      <w:r>
        <w:t xml:space="preserve">Suspend 39 grams Potato Dextrose Agar in 1000 ml (1 L) distilled water (or follow the directions on the bottle label). Add the appropriate amount of Zn sulfate to obtain concentrations of 1 mM Zn and 10 mM Zn in the media bottle. Heat to boiling to dissolve the medium completely (in most cases, this step can be skipped as autoclaving will dissolve media). Sterilize by autoclaving at 15 lbs pressure (121°C) for 15 minutes.</w:t>
      </w:r>
    </w:p>
    <w:p>
      <w:pPr>
        <w:pStyle w:val="BodyText"/>
      </w:pPr>
      <w:r>
        <w:rPr>
          <w:b/>
          <w:bCs/>
        </w:rPr>
        <w:t xml:space="preserve">(PDA) Plates for Temperature Assay:</w:t>
      </w:r>
      <w:r>
        <w:t xml:space="preserve"> </w:t>
      </w:r>
      <w:r>
        <w:t xml:space="preserve">Suspend 39 grams Potato Dextrose Agar in 1000 ml (1 L) distilled water (or follow the directions on bottle label). Heat to boiling to dissolve the medium completely (in most cases, this step can be skipped as autoclaving will dissolve media). Sterilize by autoclaving at 15 lbs pressure (121°C) for 15 minutes.</w:t>
      </w:r>
    </w:p>
    <w:p>
      <w:pPr>
        <w:pStyle w:val="BodyText"/>
      </w:pPr>
      <w:r>
        <w:t xml:space="preserve">When the media is cool enough to handle with autoclave gloves, pour 60x15 mm plates in a sterile environment. Do not let it cool too long before pouring as the media will solidify. Each 60x15 mm plate holds approximately 8 mL of media. If plates will be used immediately smaller amounts of media can be poured into plates. If plates will be stored, use larger amounts. Store plates in original Petri dish sleeve in refrigerator (~4 °C) until use.</w:t>
      </w:r>
    </w:p>
    <w:p>
      <w:pPr>
        <w:pStyle w:val="BodyText"/>
      </w:pPr>
      <w:r>
        <w:t xml:space="preserve">Working in your sterile environment, place one cellophane disc onto cooled PDA agar in 60x15mm plates. Use sterile forceps to transfer each cellophane disc onto the PDA plate. If you can’t easily remove single discs, try the</w:t>
      </w:r>
      <w:r>
        <w:t xml:space="preserve"> </w:t>
      </w:r>
      <w:r>
        <w:t xml:space="preserve">“slide”</w:t>
      </w:r>
      <w:r>
        <w:t xml:space="preserve"> </w:t>
      </w:r>
      <w:r>
        <w:t xml:space="preserve">technique. Dip your forceps into the container with the discs until you touch a disc. Using the forceps as a probe (not pinched) slide the disc to the side of the container and up the side of the container. Often, you’ll pull out one disc. Sometimes more than one disc will slide up, but it’s usually easy to see the individual discs at this point. You can then use your forceps to pull out one disc. If you grasp one disc with your forceps, you can swirl it in the water in the container to dislodge any other discs that might be attached. Open the lid of the Petri dish and lay the cellophane onto the solid agar.</w:t>
      </w:r>
    </w:p>
    <w:bookmarkEnd w:id="144"/>
    <w:bookmarkEnd w:id="145"/>
    <w:bookmarkEnd w:id="146"/>
    <w:bookmarkStart w:id="174" w:name="module-3.2-phenotypic-assays"/>
    <w:p>
      <w:pPr>
        <w:pStyle w:val="Heading2"/>
      </w:pPr>
      <w:r>
        <w:t xml:space="preserve">Module 3.2 – Phenotypic Assays</w:t>
      </w:r>
    </w:p>
    <w:bookmarkStart w:id="147" w:name="purpose-2"/>
    <w:p>
      <w:pPr>
        <w:pStyle w:val="Heading3"/>
      </w:pPr>
      <w:r>
        <w:t xml:space="preserve">Purpose</w:t>
      </w:r>
    </w:p>
    <w:p>
      <w:pPr>
        <w:pStyle w:val="FirstParagraph"/>
      </w:pPr>
      <w:r>
        <w:t xml:space="preserve">This lab will introduce you to sterile technique, culturing fungi, isolating cultures, and documenting fungal growth. We will be investigating how fungal isolates react to environmental stressors, including zinc (Zn) and temperature. We will also be characterizing the morphology of fungal cultures and creating data spreadsheets to record growth rates. Finally, we will be isolating fungi for molecular extraction and analysis in the next module.</w:t>
      </w:r>
    </w:p>
    <w:bookmarkEnd w:id="147"/>
    <w:bookmarkStart w:id="148" w:name="learning-goals-2"/>
    <w:p>
      <w:pPr>
        <w:pStyle w:val="Heading3"/>
      </w:pPr>
      <w:r>
        <w:t xml:space="preserve">Learning Goals</w:t>
      </w:r>
    </w:p>
    <w:p>
      <w:pPr>
        <w:pStyle w:val="Compact"/>
        <w:numPr>
          <w:ilvl w:val="0"/>
          <w:numId w:val="1140"/>
        </w:numPr>
      </w:pPr>
      <w:r>
        <w:t xml:space="preserve">Determine how fungal isolates react to environmental stressors</w:t>
      </w:r>
    </w:p>
    <w:p>
      <w:pPr>
        <w:pStyle w:val="Compact"/>
        <w:numPr>
          <w:ilvl w:val="0"/>
          <w:numId w:val="1140"/>
        </w:numPr>
      </w:pPr>
      <w:r>
        <w:t xml:space="preserve">Practice sterile technique</w:t>
      </w:r>
    </w:p>
    <w:p>
      <w:pPr>
        <w:pStyle w:val="Compact"/>
        <w:numPr>
          <w:ilvl w:val="0"/>
          <w:numId w:val="1140"/>
        </w:numPr>
      </w:pPr>
      <w:r>
        <w:t xml:space="preserve">Culture and isolate fungi</w:t>
      </w:r>
    </w:p>
    <w:p>
      <w:pPr>
        <w:pStyle w:val="Compact"/>
        <w:numPr>
          <w:ilvl w:val="0"/>
          <w:numId w:val="1140"/>
        </w:numPr>
      </w:pPr>
      <w:r>
        <w:t xml:space="preserve">Investigate fungal endophytes</w:t>
      </w:r>
    </w:p>
    <w:p>
      <w:pPr>
        <w:pStyle w:val="Compact"/>
        <w:numPr>
          <w:ilvl w:val="0"/>
          <w:numId w:val="1140"/>
        </w:numPr>
      </w:pPr>
      <w:r>
        <w:t xml:space="preserve">Characterize morphology of fungal cultures</w:t>
      </w:r>
    </w:p>
    <w:p>
      <w:pPr>
        <w:pStyle w:val="Compact"/>
        <w:numPr>
          <w:ilvl w:val="0"/>
          <w:numId w:val="1140"/>
        </w:numPr>
      </w:pPr>
      <w:r>
        <w:t xml:space="preserve">Collect image data to document fungal growth and morphology</w:t>
      </w:r>
    </w:p>
    <w:p>
      <w:pPr>
        <w:pStyle w:val="Compact"/>
        <w:numPr>
          <w:ilvl w:val="0"/>
          <w:numId w:val="1140"/>
        </w:numPr>
      </w:pPr>
      <w:r>
        <w:t xml:space="preserve">Isolate fungi for molecular extraction and analysis</w:t>
      </w:r>
    </w:p>
    <w:p>
      <w:pPr>
        <w:pStyle w:val="Compact"/>
        <w:numPr>
          <w:ilvl w:val="0"/>
          <w:numId w:val="1140"/>
        </w:numPr>
      </w:pPr>
      <w:r>
        <w:t xml:space="preserve">Record data to create growth curves and determine growth rates</w:t>
      </w:r>
    </w:p>
    <w:bookmarkEnd w:id="148"/>
    <w:bookmarkStart w:id="171" w:name="instructions-2"/>
    <w:p>
      <w:pPr>
        <w:pStyle w:val="Heading3"/>
      </w:pPr>
      <w:r>
        <w:t xml:space="preserve">Instructions</w:t>
      </w:r>
    </w:p>
    <w:bookmarkStart w:id="153" w:name="materials-and-equipment-4"/>
    <w:p>
      <w:pPr>
        <w:pStyle w:val="Heading4"/>
      </w:pPr>
      <w:r>
        <w:t xml:space="preserve">Materials and Equipment</w:t>
      </w:r>
    </w:p>
    <w:p>
      <w:pPr>
        <w:pStyle w:val="Compact"/>
        <w:numPr>
          <w:ilvl w:val="0"/>
          <w:numId w:val="1141"/>
        </w:numPr>
      </w:pPr>
      <w:r>
        <w:t xml:space="preserve">Student fungal isolates</w:t>
      </w:r>
    </w:p>
    <w:p>
      <w:pPr>
        <w:pStyle w:val="Compact"/>
        <w:numPr>
          <w:ilvl w:val="0"/>
          <w:numId w:val="1142"/>
        </w:numPr>
      </w:pPr>
      <w:r>
        <w:t xml:space="preserve">PDA with antibiotics (3 per student)</w:t>
      </w:r>
    </w:p>
    <w:p>
      <w:pPr>
        <w:pStyle w:val="Compact"/>
        <w:numPr>
          <w:ilvl w:val="0"/>
          <w:numId w:val="1143"/>
        </w:numPr>
      </w:pPr>
      <w:r>
        <w:t xml:space="preserve">PDA with antibiotics and Zn (3 per student)</w:t>
      </w:r>
    </w:p>
    <w:p>
      <w:pPr>
        <w:pStyle w:val="Compact"/>
        <w:numPr>
          <w:ilvl w:val="0"/>
          <w:numId w:val="1144"/>
        </w:numPr>
      </w:pPr>
      <w:r>
        <w:t xml:space="preserve">Fine tip Sharpie or marker</w:t>
      </w:r>
    </w:p>
    <w:p>
      <w:pPr>
        <w:pStyle w:val="Compact"/>
        <w:numPr>
          <w:ilvl w:val="0"/>
          <w:numId w:val="1145"/>
        </w:numPr>
      </w:pPr>
      <w:r>
        <w:t xml:space="preserve">Agar cutting tool and whole punch</w:t>
      </w:r>
    </w:p>
    <w:p>
      <w:pPr>
        <w:pStyle w:val="Compact"/>
        <w:numPr>
          <w:ilvl w:val="0"/>
          <w:numId w:val="1146"/>
        </w:numPr>
      </w:pPr>
      <w:r>
        <w:t xml:space="preserve">Ethanol jar for sterilization</w:t>
      </w:r>
    </w:p>
    <w:p>
      <w:pPr>
        <w:pStyle w:val="Compact"/>
        <w:numPr>
          <w:ilvl w:val="0"/>
          <w:numId w:val="1147"/>
        </w:numPr>
      </w:pPr>
      <w:r>
        <w:t xml:space="preserve">Incubators set to 4 °C, room temperature (~20 °C), and 28 °C</w:t>
      </w:r>
    </w:p>
    <w:p>
      <w:pPr>
        <w:pStyle w:val="FirstParagraph"/>
      </w:pPr>
      <w:r>
        <w:rPr>
          <w:b/>
          <w:bCs/>
        </w:rPr>
        <w:t xml:space="preserve">Procedures</w:t>
      </w:r>
    </w:p>
    <w:p>
      <w:pPr>
        <w:pStyle w:val="Compact"/>
        <w:numPr>
          <w:ilvl w:val="0"/>
          <w:numId w:val="1148"/>
        </w:numPr>
      </w:pPr>
      <w:r>
        <w:t xml:space="preserve">Observe your fungal cultures and determine if they are pure cultures. Record your observations and take images of your cultures as noted</w:t>
      </w:r>
      <w:r>
        <w:t xml:space="preserve"> </w:t>
      </w:r>
      <w:hyperlink w:anchor="fig-continuemeasuregrowthpda">
        <w:r>
          <w:rPr>
            <w:rStyle w:val="Hyperlink"/>
          </w:rPr>
          <w:t xml:space="preserve">Figure 7</w:t>
        </w:r>
      </w:hyperlink>
      <w:r>
        <w:t xml:space="preserve">. If you have a pure culture, you can use it to set up the Zn stress assay and temperature assay. If you do not have a pure culture, you will need to isolate your fungus by subculturing it onto new plates. To do this, use a sterile scalpel or agar cutting tool to cut out a small piece of the fungal growth (approximately 0.5 cm²) from the edge of the colony (where growth is most active). Place this piece in the center of a new PDA plate with antibiotics and incubate it at room temperature. You may need to repeat this process several times to obtain a pure culture. Once you have a pure culture, you can use it to set up the Zn stress assay and temperature assay.</w:t>
      </w:r>
    </w:p>
    <w:tbl>
      <w:tblPr>
        <w:tblStyle w:val="Table"/>
        <w:tblW w:type="pct" w:w="5000"/>
        <w:tblLayout w:type="fixed"/>
        <w:tblLook w:firstRow="0" w:lastRow="0" w:firstColumn="0" w:lastColumn="0" w:noHBand="0" w:noVBand="0" w:val="0000"/>
      </w:tblPr>
      <w:tblGrid>
        <w:gridCol w:w="7920"/>
      </w:tblGrid>
      <w:tr>
        <w:tc>
          <w:tcPr/>
          <w:bookmarkStart w:id="152" w:name="fig-continuemeasuregrowthpda"/>
          <w:p>
            <w:pPr>
              <w:pStyle w:val="Compact"/>
              <w:jc w:val="center"/>
            </w:pPr>
            <w:r>
              <w:drawing>
                <wp:inline>
                  <wp:extent cx="5334000" cy="3733799"/>
                  <wp:effectExtent b="0" l="0" r="0" t="0"/>
                  <wp:docPr descr="" title="" id="150" name="Picture"/>
                  <a:graphic>
                    <a:graphicData uri="http://schemas.openxmlformats.org/drawingml/2006/picture">
                      <pic:pic>
                        <pic:nvPicPr>
                          <pic:cNvPr descr="images/ContinueMeasuringGrowthPDA.png" id="151" name="Picture"/>
                          <pic:cNvPicPr>
                            <a:picLocks noChangeArrowheads="1" noChangeAspect="1"/>
                          </pic:cNvPicPr>
                        </pic:nvPicPr>
                        <pic:blipFill>
                          <a:blip r:embed="rId149"/>
                          <a:stretch>
                            <a:fillRect/>
                          </a:stretch>
                        </pic:blipFill>
                        <pic:spPr bwMode="auto">
                          <a:xfrm>
                            <a:off x="0" y="0"/>
                            <a:ext cx="5334000" cy="3733799"/>
                          </a:xfrm>
                          <a:prstGeom prst="rect">
                            <a:avLst/>
                          </a:prstGeom>
                          <a:noFill/>
                          <a:ln w="9525">
                            <a:noFill/>
                            <a:headEnd/>
                            <a:tailEnd/>
                          </a:ln>
                        </pic:spPr>
                      </pic:pic>
                    </a:graphicData>
                  </a:graphic>
                </wp:inline>
              </w:drawing>
            </w:r>
          </w:p>
          <w:p>
            <w:pPr>
              <w:jc w:val="center"/>
            </w:pPr>
            <w:pPr>
              <w:jc w:val="left"/>
              <w:spacing w:before="200"/>
              <w:pStyle w:val="ImageCaption"/>
            </w:pPr>
            <w:r>
              <w:t xml:space="preserve">Figure 7: Measure Growth on Your PDA Plates. Measure new growth at each segment starting at the end of the water agar plug and ending at the edge of the growth. Image the plate from top and bottom. Record measurements and images in your lab notebook. Figure created with BioRender.com.</w:t>
            </w:r>
          </w:p>
          <w:bookmarkEnd w:id="152"/>
        </w:tc>
      </w:tr>
    </w:tbl>
    <w:p>
      <w:pPr>
        <w:pStyle w:val="Compact"/>
        <w:numPr>
          <w:ilvl w:val="0"/>
          <w:numId w:val="1149"/>
        </w:numPr>
      </w:pPr>
      <w:r>
        <w:t xml:space="preserve">We will use these cultures to set up stress tests (Zn assay and temperature assay) and for molecular identification.</w:t>
      </w:r>
    </w:p>
    <w:bookmarkEnd w:id="153"/>
    <w:bookmarkStart w:id="154" w:name="part-i-zn-stress-assay"/>
    <w:p>
      <w:pPr>
        <w:pStyle w:val="Heading4"/>
      </w:pPr>
      <w:r>
        <w:t xml:space="preserve">Part I: Zn Stress Assay</w:t>
      </w:r>
    </w:p>
    <w:p>
      <w:pPr>
        <w:pStyle w:val="FirstParagraph"/>
      </w:pPr>
      <w:r>
        <w:t xml:space="preserve">In this lab, we will be investigating the tolerance and growth response of foliar fungal endophytes to varying concentrations of zinc (Zn). Zinc is an essential trace element for many biological processes, but in elevated concentrations, it can become toxic to fungi and other microorganisms. To understand how these fungi cope with different levels of Zn, we will isolate fungal endophytes from plant leaves and subject them to media containing 0 mM, 1 mM, and 10 mM of Zn. By measuring their growth rates over several weeks, we aim to determine the impact of Zn on their growth and survival.</w:t>
      </w:r>
    </w:p>
    <w:p>
      <w:pPr>
        <w:pStyle w:val="BodyText"/>
      </w:pPr>
      <w:r>
        <w:t xml:space="preserve">Testing foliar fungal endophytes for</w:t>
      </w:r>
      <w:r>
        <w:t xml:space="preserve"> </w:t>
      </w:r>
      <w:r>
        <w:rPr>
          <w:b/>
          <w:bCs/>
        </w:rPr>
        <w:t xml:space="preserve">Zn tolerance</w:t>
      </w:r>
      <w:r>
        <w:t xml:space="preserve"> </w:t>
      </w:r>
      <w:r>
        <w:t xml:space="preserve">is particularly relevant as these fungi play crucial roles in plant health and ecosystem functioning. Endophytes can enhance plant growth, provide resistance to pathogens, and contribute to nutrient cycling. Understanding their tolerance to heavy metals like Zn is important for ecological studies, especially in areas affected by pollution or where plants are used in phytoremediation efforts. By assessing their ability to thrive in environments with varying Zn concentrations, we can gain insights into their resilience and potential applications in sustainable agriculture and environmental management.</w:t>
      </w:r>
    </w:p>
    <w:bookmarkEnd w:id="154"/>
    <w:bookmarkStart w:id="155" w:name="objectives"/>
    <w:p>
      <w:pPr>
        <w:pStyle w:val="Heading4"/>
      </w:pPr>
      <w:r>
        <w:t xml:space="preserve">Objectives</w:t>
      </w:r>
    </w:p>
    <w:p>
      <w:pPr>
        <w:pStyle w:val="Compact"/>
        <w:numPr>
          <w:ilvl w:val="0"/>
          <w:numId w:val="1150"/>
        </w:numPr>
      </w:pPr>
      <w:r>
        <w:t xml:space="preserve">Determine if the fungal isolates are tolerant of Zn.</w:t>
      </w:r>
    </w:p>
    <w:p>
      <w:pPr>
        <w:pStyle w:val="Compact"/>
        <w:numPr>
          <w:ilvl w:val="0"/>
          <w:numId w:val="1150"/>
        </w:numPr>
      </w:pPr>
      <w:r>
        <w:t xml:space="preserve">Measure how different concentrations of Zn influence fungal growth rates.</w:t>
      </w:r>
    </w:p>
    <w:bookmarkEnd w:id="155"/>
    <w:bookmarkStart w:id="160" w:name="materials-and-equipment-5"/>
    <w:p>
      <w:pPr>
        <w:pStyle w:val="Heading4"/>
      </w:pPr>
      <w:r>
        <w:t xml:space="preserve">Materials and Equipment</w:t>
      </w:r>
    </w:p>
    <w:p>
      <w:pPr>
        <w:pStyle w:val="Compact"/>
        <w:numPr>
          <w:ilvl w:val="0"/>
          <w:numId w:val="1151"/>
        </w:numPr>
      </w:pPr>
      <w:r>
        <w:t xml:space="preserve">Pure fungal cultures</w:t>
      </w:r>
    </w:p>
    <w:p>
      <w:pPr>
        <w:pStyle w:val="Compact"/>
        <w:numPr>
          <w:ilvl w:val="0"/>
          <w:numId w:val="1152"/>
        </w:numPr>
      </w:pPr>
      <w:r>
        <w:t xml:space="preserve">PDA 0 mM Zn + antibiotics</w:t>
      </w:r>
    </w:p>
    <w:p>
      <w:pPr>
        <w:pStyle w:val="Compact"/>
        <w:numPr>
          <w:ilvl w:val="0"/>
          <w:numId w:val="1153"/>
        </w:numPr>
      </w:pPr>
      <w:r>
        <w:t xml:space="preserve">PDA 1 mM Zn + antibiotics</w:t>
      </w:r>
    </w:p>
    <w:p>
      <w:pPr>
        <w:pStyle w:val="Compact"/>
        <w:numPr>
          <w:ilvl w:val="0"/>
          <w:numId w:val="1154"/>
        </w:numPr>
      </w:pPr>
      <w:r>
        <w:t xml:space="preserve">PDA 10 mM Zn + antibiotics</w:t>
      </w:r>
    </w:p>
    <w:p>
      <w:pPr>
        <w:pStyle w:val="Compact"/>
        <w:numPr>
          <w:ilvl w:val="0"/>
          <w:numId w:val="1155"/>
        </w:numPr>
      </w:pPr>
      <w:r>
        <w:t xml:space="preserve">Fine tip Sharpie or marker</w:t>
      </w:r>
    </w:p>
    <w:p>
      <w:pPr>
        <w:pStyle w:val="Compact"/>
        <w:numPr>
          <w:ilvl w:val="0"/>
          <w:numId w:val="1156"/>
        </w:numPr>
      </w:pPr>
      <w:r>
        <w:t xml:space="preserve">Agar cutting tool or whole punch</w:t>
      </w:r>
    </w:p>
    <w:p>
      <w:pPr>
        <w:pStyle w:val="Compact"/>
        <w:numPr>
          <w:ilvl w:val="0"/>
          <w:numId w:val="1157"/>
        </w:numPr>
      </w:pPr>
      <w:r>
        <w:t xml:space="preserve">Ethanol jar for sterilization</w:t>
      </w:r>
    </w:p>
    <w:p>
      <w:pPr>
        <w:pStyle w:val="Compact"/>
        <w:numPr>
          <w:ilvl w:val="0"/>
          <w:numId w:val="1158"/>
        </w:numPr>
      </w:pPr>
      <w:r>
        <w:t xml:space="preserve">Parafilm</w:t>
      </w:r>
    </w:p>
    <w:p>
      <w:pPr>
        <w:pStyle w:val="Compact"/>
        <w:numPr>
          <w:ilvl w:val="0"/>
          <w:numId w:val="1159"/>
        </w:numPr>
      </w:pPr>
      <w:r>
        <w:t xml:space="preserve">Incubators set to 28 °C or room temperature (~20 °C)</w:t>
      </w:r>
    </w:p>
    <w:p>
      <w:pPr>
        <w:pStyle w:val="FirstParagraph"/>
      </w:pPr>
      <w:r>
        <w:rPr>
          <w:b/>
          <w:bCs/>
        </w:rPr>
        <w:t xml:space="preserve">Procedure:</w:t>
      </w:r>
    </w:p>
    <w:p>
      <w:pPr>
        <w:pStyle w:val="Compact"/>
        <w:numPr>
          <w:ilvl w:val="0"/>
          <w:numId w:val="1160"/>
        </w:numPr>
      </w:pPr>
      <w:r>
        <w:t xml:space="preserve">Label your plates with identifying information</w:t>
      </w:r>
    </w:p>
    <w:p>
      <w:pPr>
        <w:pStyle w:val="Compact"/>
        <w:numPr>
          <w:ilvl w:val="0"/>
          <w:numId w:val="1160"/>
        </w:numPr>
      </w:pPr>
      <w:r>
        <w:t xml:space="preserve">On the bottom of each plate, draw four lines that intersect in the center of the plate</w:t>
      </w:r>
    </w:p>
    <w:p>
      <w:pPr>
        <w:pStyle w:val="Compact"/>
        <w:numPr>
          <w:ilvl w:val="0"/>
          <w:numId w:val="1160"/>
        </w:numPr>
      </w:pPr>
      <w:r>
        <w:t xml:space="preserve">Punch (agar punch or p1000 tip)and extract three equally sized pieces of growth from the edge of your pure culture and place one in the center of each of the zinc plates. Refer to</w:t>
      </w:r>
      <w:r>
        <w:t xml:space="preserve"> </w:t>
      </w:r>
      <w:hyperlink w:anchor="fig-ZincToleranceAssay">
        <w:r>
          <w:rPr>
            <w:rStyle w:val="Hyperlink"/>
          </w:rPr>
          <w:t xml:space="preserve">Figure 8</w:t>
        </w:r>
      </w:hyperlink>
      <w:r>
        <w:t xml:space="preserve"> </w:t>
      </w:r>
      <w:r>
        <w:t xml:space="preserve">for an example of how to set up your plates.</w:t>
      </w:r>
    </w:p>
    <w:tbl>
      <w:tblPr>
        <w:tblStyle w:val="Table"/>
        <w:tblW w:type="pct" w:w="5000"/>
        <w:tblLayout w:type="fixed"/>
        <w:tblLook w:firstRow="0" w:lastRow="0" w:firstColumn="0" w:lastColumn="0" w:noHBand="0" w:noVBand="0" w:val="0000"/>
      </w:tblPr>
      <w:tblGrid>
        <w:gridCol w:w="7920"/>
      </w:tblGrid>
      <w:tr>
        <w:tc>
          <w:tcPr/>
          <w:bookmarkStart w:id="159" w:name="fig-ZincToleranceAssay"/>
          <w:p>
            <w:pPr>
              <w:pStyle w:val="Compact"/>
              <w:jc w:val="center"/>
            </w:pPr>
            <w:r>
              <w:drawing>
                <wp:inline>
                  <wp:extent cx="5334000" cy="3733799"/>
                  <wp:effectExtent b="0" l="0" r="0" t="0"/>
                  <wp:docPr descr="" title="" id="157" name="Picture"/>
                  <a:graphic>
                    <a:graphicData uri="http://schemas.openxmlformats.org/drawingml/2006/picture">
                      <pic:pic>
                        <pic:nvPicPr>
                          <pic:cNvPr descr="images/ZnStressAssay.png" id="158" name="Picture"/>
                          <pic:cNvPicPr>
                            <a:picLocks noChangeArrowheads="1" noChangeAspect="1"/>
                          </pic:cNvPicPr>
                        </pic:nvPicPr>
                        <pic:blipFill>
                          <a:blip r:embed="rId156"/>
                          <a:stretch>
                            <a:fillRect/>
                          </a:stretch>
                        </pic:blipFill>
                        <pic:spPr bwMode="auto">
                          <a:xfrm>
                            <a:off x="0" y="0"/>
                            <a:ext cx="5334000" cy="3733799"/>
                          </a:xfrm>
                          <a:prstGeom prst="rect">
                            <a:avLst/>
                          </a:prstGeom>
                          <a:noFill/>
                          <a:ln w="9525">
                            <a:noFill/>
                            <a:headEnd/>
                            <a:tailEnd/>
                          </a:ln>
                        </pic:spPr>
                      </pic:pic>
                    </a:graphicData>
                  </a:graphic>
                </wp:inline>
              </w:drawing>
            </w:r>
          </w:p>
          <w:p>
            <w:pPr>
              <w:jc w:val="center"/>
            </w:pPr>
            <w:pPr>
              <w:jc w:val="left"/>
              <w:spacing w:before="200"/>
              <w:pStyle w:val="ImageCaption"/>
            </w:pPr>
            <w:r>
              <w:t xml:space="preserve">Figure 8: Transfer Fungal Growth for Zinc Stress Assay. Label three PDA plates with identifying information and the concentration of zinc. Use a sterile tip or agar punch to extract three equally sized pieces of growth from your pure culture (PDA plate for growth assay). Transfer the pieces to the zinc plates and position in the center of the plate Repeat the procedure for a second pure culture. Figure created with BioRender.com.</w:t>
            </w:r>
          </w:p>
          <w:bookmarkEnd w:id="159"/>
        </w:tc>
      </w:tr>
    </w:tbl>
    <w:p>
      <w:pPr>
        <w:pStyle w:val="Compact"/>
        <w:numPr>
          <w:ilvl w:val="0"/>
          <w:numId w:val="1161"/>
        </w:numPr>
      </w:pPr>
      <w:r>
        <w:t xml:space="preserve">Close and Parafilm your plates</w:t>
      </w:r>
    </w:p>
    <w:p>
      <w:pPr>
        <w:pStyle w:val="Compact"/>
        <w:numPr>
          <w:ilvl w:val="0"/>
          <w:numId w:val="1161"/>
        </w:numPr>
      </w:pPr>
      <w:r>
        <w:t xml:space="preserve">Carefully, flip the plates over and trace the cube using a fine tip Sharpie</w:t>
      </w:r>
    </w:p>
    <w:p>
      <w:pPr>
        <w:pStyle w:val="Compact"/>
        <w:numPr>
          <w:ilvl w:val="0"/>
          <w:numId w:val="1161"/>
        </w:numPr>
      </w:pPr>
      <w:r>
        <w:t xml:space="preserve">Place the plate (unflipped) at room temperature in the dark and observe growth over the next days.</w:t>
      </w:r>
    </w:p>
    <w:p>
      <w:pPr>
        <w:pStyle w:val="Compact"/>
        <w:numPr>
          <w:ilvl w:val="0"/>
          <w:numId w:val="1161"/>
        </w:numPr>
      </w:pPr>
      <w:r>
        <w:t xml:space="preserve">Repeat the procedure for a second pure culture if you have one available. This will allow you to compare the growth responses of different isolates to Zn stress.</w:t>
      </w:r>
    </w:p>
    <w:bookmarkEnd w:id="160"/>
    <w:bookmarkStart w:id="161" w:name="part-ii-fungal-microscopy"/>
    <w:p>
      <w:pPr>
        <w:pStyle w:val="Heading4"/>
      </w:pPr>
      <w:r>
        <w:t xml:space="preserve">Part II: Fungal Microscopy</w:t>
      </w:r>
    </w:p>
    <w:p>
      <w:pPr>
        <w:pStyle w:val="FirstParagraph"/>
      </w:pPr>
      <w:r>
        <w:t xml:space="preserve">In this lab session, we will perform microscopic examinations of the fungal cultures to analyze their</w:t>
      </w:r>
      <w:r>
        <w:t xml:space="preserve"> </w:t>
      </w:r>
      <w:r>
        <w:rPr>
          <w:b/>
          <w:bCs/>
        </w:rPr>
        <w:t xml:space="preserve">morphology and cellular characteristics</w:t>
      </w:r>
      <w:r>
        <w:t xml:space="preserve">.</w:t>
      </w:r>
    </w:p>
    <w:p>
      <w:pPr>
        <w:pStyle w:val="BodyText"/>
      </w:pPr>
      <w:r>
        <w:t xml:space="preserve">We will prepare slides of our fungal isolates and use a compound microscope to observe their structures. This will allow us to identify key features such as hyphal structure, spore formation, and other morphological traits that can help in the identification and characterization of the fungi. By comparing these microscopic observations with known fungal characteristics, we can gain insights into the diversity and taxonomy of our isolates.</w:t>
      </w:r>
    </w:p>
    <w:bookmarkEnd w:id="161"/>
    <w:bookmarkStart w:id="162" w:name="objectives-1"/>
    <w:p>
      <w:pPr>
        <w:pStyle w:val="Heading4"/>
      </w:pPr>
      <w:r>
        <w:t xml:space="preserve">Objectives</w:t>
      </w:r>
    </w:p>
    <w:p>
      <w:pPr>
        <w:pStyle w:val="Compact"/>
        <w:numPr>
          <w:ilvl w:val="0"/>
          <w:numId w:val="1162"/>
        </w:numPr>
      </w:pPr>
      <w:r>
        <w:t xml:space="preserve">Prepare slides of fungal cultures for microscopic examination.</w:t>
      </w:r>
    </w:p>
    <w:p>
      <w:pPr>
        <w:pStyle w:val="Compact"/>
        <w:numPr>
          <w:ilvl w:val="0"/>
          <w:numId w:val="1162"/>
        </w:numPr>
      </w:pPr>
      <w:r>
        <w:t xml:space="preserve">Document and analyze the morphological characteristics of the fungal isolates under the microscope.</w:t>
      </w:r>
    </w:p>
    <w:bookmarkEnd w:id="162"/>
    <w:bookmarkStart w:id="170" w:name="materials-and-equipment-6"/>
    <w:p>
      <w:pPr>
        <w:pStyle w:val="Heading4"/>
      </w:pPr>
      <w:r>
        <w:t xml:space="preserve">Materials and Equipment</w:t>
      </w:r>
    </w:p>
    <w:p>
      <w:pPr>
        <w:pStyle w:val="Compact"/>
        <w:numPr>
          <w:ilvl w:val="0"/>
          <w:numId w:val="1163"/>
        </w:numPr>
      </w:pPr>
      <w:r>
        <w:t xml:space="preserve">Pure fungal cultures</w:t>
      </w:r>
    </w:p>
    <w:p>
      <w:pPr>
        <w:pStyle w:val="Compact"/>
        <w:numPr>
          <w:ilvl w:val="0"/>
          <w:numId w:val="1164"/>
        </w:numPr>
      </w:pPr>
      <w:r>
        <w:t xml:space="preserve">Microscope slides and cover slips</w:t>
      </w:r>
    </w:p>
    <w:p>
      <w:pPr>
        <w:pStyle w:val="Compact"/>
        <w:numPr>
          <w:ilvl w:val="0"/>
          <w:numId w:val="1165"/>
        </w:numPr>
      </w:pPr>
      <w:r>
        <w:t xml:space="preserve">Staining reagents (e.g., lactophenol cotton blue)</w:t>
      </w:r>
    </w:p>
    <w:p>
      <w:pPr>
        <w:pStyle w:val="Compact"/>
        <w:numPr>
          <w:ilvl w:val="0"/>
          <w:numId w:val="1166"/>
        </w:numPr>
      </w:pPr>
      <w:r>
        <w:t xml:space="preserve">Hardy Diagnostics BlueMount, Permanent Fungal Stain, Lactophenol Cotton Blue with PVA (Cat.#Z137)</w:t>
      </w:r>
    </w:p>
    <w:p>
      <w:pPr>
        <w:pStyle w:val="Compact"/>
        <w:numPr>
          <w:ilvl w:val="0"/>
          <w:numId w:val="1167"/>
        </w:numPr>
      </w:pPr>
      <w:r>
        <w:t xml:space="preserve">Compound microscope with appropriate magnification</w:t>
      </w:r>
    </w:p>
    <w:p>
      <w:pPr>
        <w:pStyle w:val="Compact"/>
        <w:numPr>
          <w:ilvl w:val="0"/>
          <w:numId w:val="1168"/>
        </w:numPr>
      </w:pPr>
      <w:r>
        <w:t xml:space="preserve">Fine tip Sharpie or marker</w:t>
      </w:r>
    </w:p>
    <w:p>
      <w:pPr>
        <w:pStyle w:val="Compact"/>
        <w:numPr>
          <w:ilvl w:val="0"/>
          <w:numId w:val="1169"/>
        </w:numPr>
      </w:pPr>
      <w:r>
        <w:t xml:space="preserve">Agar cutting tool and whole punch</w:t>
      </w:r>
    </w:p>
    <w:p>
      <w:pPr>
        <w:pStyle w:val="Compact"/>
        <w:numPr>
          <w:ilvl w:val="0"/>
          <w:numId w:val="1170"/>
        </w:numPr>
      </w:pPr>
      <w:r>
        <w:t xml:space="preserve">Ethanol jar</w:t>
      </w:r>
    </w:p>
    <w:p>
      <w:pPr>
        <w:pStyle w:val="Compact"/>
        <w:numPr>
          <w:ilvl w:val="0"/>
          <w:numId w:val="1171"/>
        </w:numPr>
      </w:pPr>
      <w:r>
        <w:t xml:space="preserve">Parafilm</w:t>
      </w:r>
    </w:p>
    <w:p>
      <w:pPr>
        <w:pStyle w:val="Compact"/>
        <w:numPr>
          <w:ilvl w:val="0"/>
          <w:numId w:val="1172"/>
        </w:numPr>
      </w:pPr>
      <w:r>
        <w:t xml:space="preserve">Sterile tip or forceps for handling fungal samples</w:t>
      </w:r>
    </w:p>
    <w:p>
      <w:pPr>
        <w:pStyle w:val="FirstParagraph"/>
      </w:pPr>
      <w:r>
        <w:rPr>
          <w:b/>
          <w:bCs/>
        </w:rPr>
        <w:t xml:space="preserve">Procedure:</w:t>
      </w:r>
      <w:r>
        <w:t xml:space="preserve"> </w:t>
      </w:r>
      <w:r>
        <w:t xml:space="preserve">Adapted from Hardy Diagnostics Fungal Stain Protocol: BlueMount™, Permanent Fungal Stain, Lactophenol Cotton Blue with PVA, Hardy Diagnostics</w:t>
      </w:r>
      <w:r>
        <w:t xml:space="preserve"> </w:t>
      </w:r>
      <w:hyperlink r:id="rId163">
        <w:r>
          <w:rPr>
            <w:rStyle w:val="Hyperlink"/>
          </w:rPr>
          <w:t xml:space="preserve">BlueMount Permanent Fungal Stain</w:t>
        </w:r>
      </w:hyperlink>
      <w:r>
        <w:t xml:space="preserve">.</w:t>
      </w:r>
    </w:p>
    <w:p>
      <w:pPr>
        <w:pStyle w:val="Compact"/>
        <w:numPr>
          <w:ilvl w:val="0"/>
          <w:numId w:val="1173"/>
        </w:numPr>
      </w:pPr>
      <w:r>
        <w:t xml:space="preserve">Place one drop of BlueMount™ in the center of a clean slide.</w:t>
      </w:r>
    </w:p>
    <w:p>
      <w:pPr>
        <w:pStyle w:val="Compact"/>
        <w:numPr>
          <w:ilvl w:val="0"/>
          <w:numId w:val="1173"/>
        </w:numPr>
      </w:pPr>
      <w:r>
        <w:t xml:space="preserve">Remove a fragment of the fungus colony 2-3 mm from the colony edge using an innoculating loop or p1000 tip.</w:t>
      </w:r>
    </w:p>
    <w:p>
      <w:pPr>
        <w:pStyle w:val="Compact"/>
        <w:numPr>
          <w:ilvl w:val="0"/>
          <w:numId w:val="1173"/>
        </w:numPr>
      </w:pPr>
      <w:r>
        <w:t xml:space="preserve">Place the fragment in the drop of stain and tease gently as indicated in</w:t>
      </w:r>
      <w:r>
        <w:t xml:space="preserve"> </w:t>
      </w:r>
      <w:hyperlink w:anchor="fig-FungalMicroscopy">
        <w:r>
          <w:rPr>
            <w:rStyle w:val="Hyperlink"/>
          </w:rPr>
          <w:t xml:space="preserve">Figure 9</w:t>
        </w:r>
      </w:hyperlink>
      <w:r>
        <w:t xml:space="preserve">. The stain will help to highlight the fungal structures for better visualization under the microscope. Be careful not to dislodge the conidia from the conidiophores while teasing the sample.</w:t>
      </w:r>
    </w:p>
    <w:p>
      <w:pPr>
        <w:pStyle w:val="Compact"/>
        <w:numPr>
          <w:ilvl w:val="0"/>
          <w:numId w:val="1173"/>
        </w:numPr>
      </w:pPr>
      <w:r>
        <w:t xml:space="preserve">Place the fragment in the drop of stain and tease gently.</w:t>
      </w:r>
    </w:p>
    <w:p>
      <w:pPr>
        <w:pStyle w:val="Compact"/>
        <w:numPr>
          <w:ilvl w:val="0"/>
          <w:numId w:val="1173"/>
        </w:numPr>
      </w:pPr>
      <w:r>
        <w:t xml:space="preserve">Apply a coverslip.</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164" name="Picture"/>
                  <a:graphic>
                    <a:graphicData uri="http://schemas.openxmlformats.org/drawingml/2006/picture">
                      <pic:pic>
                        <pic:nvPicPr>
                          <pic:cNvPr descr="/opt/quarto/share/formats/docx/warning.png" id="165" name="Picture"/>
                          <pic:cNvPicPr>
                            <a:picLocks noChangeArrowheads="1" noChangeAspect="1"/>
                          </pic:cNvPicPr>
                        </pic:nvPicPr>
                        <pic:blipFill>
                          <a:blip r:embed="rId4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after="16"/>
            </w:pPr>
            <w:r>
              <w:t xml:space="preserve">Do not push down or tap the cover slip as this may dislodge the conidia from the conidiophores.</w:t>
            </w:r>
          </w:p>
          <w:p/>
        </w:tc>
      </w:tr>
    </w:tbl>
    <w:p>
      <w:pPr>
        <w:pStyle w:val="Compact"/>
        <w:numPr>
          <w:ilvl w:val="0"/>
          <w:numId w:val="1174"/>
        </w:numPr>
      </w:pPr>
      <w:r>
        <w:t xml:space="preserve">Examine the preparation under low and high, dry magnification for the presence of characteristic mycelia and fruiting structures. Consult appropriate references for diagnostic features of fungi isolated in clinical and non-clinical specimens.</w:t>
      </w:r>
    </w:p>
    <w:p>
      <w:pPr>
        <w:pStyle w:val="Compact"/>
        <w:numPr>
          <w:ilvl w:val="0"/>
          <w:numId w:val="1174"/>
        </w:numPr>
      </w:pPr>
      <w:r>
        <w:t xml:space="preserve">Document your observations by drawing the structures you see and taking notes on their characteristics (e.g., shape, size, color, arrangement).</w:t>
      </w:r>
    </w:p>
    <w:p>
      <w:pPr>
        <w:pStyle w:val="Compact"/>
        <w:numPr>
          <w:ilvl w:val="0"/>
          <w:numId w:val="1174"/>
        </w:numPr>
      </w:pPr>
      <w:r>
        <w:t xml:space="preserve">Compare your observations with known fungal characteristics to help identify and classify your isolates.</w:t>
      </w:r>
    </w:p>
    <w:tbl>
      <w:tblPr>
        <w:tblStyle w:val="Table"/>
        <w:tblW w:type="pct" w:w="5000"/>
        <w:tblLayout w:type="fixed"/>
        <w:tblLook w:firstRow="0" w:lastRow="0" w:firstColumn="0" w:lastColumn="0" w:noHBand="0" w:noVBand="0" w:val="0000"/>
      </w:tblPr>
      <w:tblGrid>
        <w:gridCol w:w="7920"/>
      </w:tblGrid>
      <w:tr>
        <w:tc>
          <w:tcPr/>
          <w:bookmarkStart w:id="169" w:name="fig-FungalMicroscopy"/>
          <w:p>
            <w:pPr>
              <w:pStyle w:val="Compact"/>
              <w:jc w:val="center"/>
            </w:pPr>
            <w:r>
              <w:drawing>
                <wp:inline>
                  <wp:extent cx="5334000" cy="3733799"/>
                  <wp:effectExtent b="0" l="0" r="0" t="0"/>
                  <wp:docPr descr="" title="" id="167" name="Picture"/>
                  <a:graphic>
                    <a:graphicData uri="http://schemas.openxmlformats.org/drawingml/2006/picture">
                      <pic:pic>
                        <pic:nvPicPr>
                          <pic:cNvPr descr="images/FungalMicroscopy.png" id="168" name="Picture"/>
                          <pic:cNvPicPr>
                            <a:picLocks noChangeArrowheads="1" noChangeAspect="1"/>
                          </pic:cNvPicPr>
                        </pic:nvPicPr>
                        <pic:blipFill>
                          <a:blip r:embed="rId166"/>
                          <a:stretch>
                            <a:fillRect/>
                          </a:stretch>
                        </pic:blipFill>
                        <pic:spPr bwMode="auto">
                          <a:xfrm>
                            <a:off x="0" y="0"/>
                            <a:ext cx="5334000" cy="3733799"/>
                          </a:xfrm>
                          <a:prstGeom prst="rect">
                            <a:avLst/>
                          </a:prstGeom>
                          <a:noFill/>
                          <a:ln w="9525">
                            <a:noFill/>
                            <a:headEnd/>
                            <a:tailEnd/>
                          </a:ln>
                        </pic:spPr>
                      </pic:pic>
                    </a:graphicData>
                  </a:graphic>
                </wp:inline>
              </w:drawing>
            </w:r>
          </w:p>
          <w:p>
            <w:pPr>
              <w:jc w:val="center"/>
            </w:pPr>
            <w:pPr>
              <w:jc w:val="left"/>
              <w:spacing w:before="200"/>
              <w:pStyle w:val="ImageCaption"/>
            </w:pPr>
            <w:r>
              <w:t xml:space="preserve">Figure 9: Fungal Microscopy. Use a sterile tip or needle to transfer fungal growth 2-3 mm from the edge to a clean slide with a drop of BlueMount™ in the center. Gently apply a coverslip. Figure created with BioRender.com.</w:t>
            </w:r>
          </w:p>
          <w:bookmarkEnd w:id="169"/>
        </w:tc>
      </w:tr>
    </w:tbl>
    <w:bookmarkEnd w:id="170"/>
    <w:bookmarkEnd w:id="171"/>
    <w:bookmarkStart w:id="172" w:name="part-iii-temperature-assays"/>
    <w:p>
      <w:pPr>
        <w:pStyle w:val="Heading3"/>
      </w:pPr>
      <w:r>
        <w:t xml:space="preserve">Part III: Temperature Assays</w:t>
      </w:r>
    </w:p>
    <w:p>
      <w:pPr>
        <w:pStyle w:val="FirstParagraph"/>
      </w:pPr>
      <w:r>
        <w:t xml:space="preserve">In this lab, we will explore the effects of temperature on the growth and survival of foliar fungal endophytes. Temperature is a critical environmental factor that influences fungal physiology and ecological dynamics. To investigate how these fungi respond to different thermal conditions, we will isolate fungal endophytes from plant leaves and cultivate them at three distinct temperatures: 4°C, room temperature (approximately 20°C), and 28°C. By measuring their growth rates over several weeks, we will better understand their tolerance to different temperatures.</w:t>
      </w:r>
    </w:p>
    <w:p>
      <w:pPr>
        <w:pStyle w:val="BodyText"/>
      </w:pPr>
      <w:r>
        <w:rPr>
          <w:b/>
          <w:bCs/>
        </w:rPr>
        <w:t xml:space="preserve">Objectives:</w:t>
      </w:r>
    </w:p>
    <w:p>
      <w:pPr>
        <w:pStyle w:val="Compact"/>
        <w:numPr>
          <w:ilvl w:val="0"/>
          <w:numId w:val="1175"/>
        </w:numPr>
      </w:pPr>
      <w:r>
        <w:t xml:space="preserve">Determine optimal growth temperature.</w:t>
      </w:r>
    </w:p>
    <w:p>
      <w:pPr>
        <w:pStyle w:val="Compact"/>
        <w:numPr>
          <w:ilvl w:val="0"/>
          <w:numId w:val="1175"/>
        </w:numPr>
      </w:pPr>
      <w:r>
        <w:t xml:space="preserve">Measure how different temperatures influence fungal growth rates.</w:t>
      </w:r>
    </w:p>
    <w:p>
      <w:pPr>
        <w:pStyle w:val="FirstParagraph"/>
      </w:pPr>
      <w:r>
        <w:rPr>
          <w:b/>
          <w:bCs/>
        </w:rPr>
        <w:t xml:space="preserve">Materials:</w:t>
      </w:r>
    </w:p>
    <w:p>
      <w:pPr>
        <w:pStyle w:val="Compact"/>
        <w:numPr>
          <w:ilvl w:val="0"/>
          <w:numId w:val="1176"/>
        </w:numPr>
      </w:pPr>
      <w:r>
        <w:t xml:space="preserve">Pure cultures (2 per student)</w:t>
      </w:r>
    </w:p>
    <w:p>
      <w:pPr>
        <w:pStyle w:val="Compact"/>
        <w:numPr>
          <w:ilvl w:val="0"/>
          <w:numId w:val="1177"/>
        </w:numPr>
      </w:pPr>
      <w:r>
        <w:t xml:space="preserve">PDA with antibiotics (6 per student)</w:t>
      </w:r>
    </w:p>
    <w:p>
      <w:pPr>
        <w:pStyle w:val="Compact"/>
        <w:numPr>
          <w:ilvl w:val="0"/>
          <w:numId w:val="1178"/>
        </w:numPr>
      </w:pPr>
      <w:r>
        <w:t xml:space="preserve">Fine tip Sharpie or marker</w:t>
      </w:r>
    </w:p>
    <w:p>
      <w:pPr>
        <w:pStyle w:val="Compact"/>
        <w:numPr>
          <w:ilvl w:val="0"/>
          <w:numId w:val="1179"/>
        </w:numPr>
      </w:pPr>
      <w:r>
        <w:t xml:space="preserve">Culture cutting tool</w:t>
      </w:r>
    </w:p>
    <w:p>
      <w:pPr>
        <w:pStyle w:val="Compact"/>
        <w:numPr>
          <w:ilvl w:val="0"/>
          <w:numId w:val="1180"/>
        </w:numPr>
      </w:pPr>
      <w:r>
        <w:t xml:space="preserve">Ethanol jar</w:t>
      </w:r>
    </w:p>
    <w:p>
      <w:pPr>
        <w:pStyle w:val="FirstParagraph"/>
      </w:pPr>
      <w:r>
        <w:rPr>
          <w:b/>
          <w:bCs/>
        </w:rPr>
        <w:t xml:space="preserve">Procedure:</w:t>
      </w:r>
    </w:p>
    <w:p>
      <w:pPr>
        <w:pStyle w:val="Compact"/>
        <w:numPr>
          <w:ilvl w:val="0"/>
          <w:numId w:val="1181"/>
        </w:numPr>
      </w:pPr>
      <w:r>
        <w:t xml:space="preserve">Label your plates with identifying information and growth temperatures (two per temperature)</w:t>
      </w:r>
    </w:p>
    <w:p>
      <w:pPr>
        <w:pStyle w:val="Compact"/>
        <w:numPr>
          <w:ilvl w:val="0"/>
          <w:numId w:val="1181"/>
        </w:numPr>
      </w:pPr>
      <w:r>
        <w:t xml:space="preserve">On the bottom of each plate, draw four lines that intersect in the center of the plate.</w:t>
      </w:r>
    </w:p>
    <w:p>
      <w:pPr>
        <w:pStyle w:val="Compact"/>
        <w:numPr>
          <w:ilvl w:val="0"/>
          <w:numId w:val="1181"/>
        </w:numPr>
      </w:pPr>
      <w:r>
        <w:t xml:space="preserve">Cut out three 0.5 cm chunks from the edge of your pure culture and place one in the center of each of the temperature plates</w:t>
      </w:r>
    </w:p>
    <w:p>
      <w:pPr>
        <w:pStyle w:val="Compact"/>
        <w:numPr>
          <w:ilvl w:val="0"/>
          <w:numId w:val="1181"/>
        </w:numPr>
      </w:pPr>
      <w:r>
        <w:t xml:space="preserve">Close and parafilm your plates</w:t>
      </w:r>
    </w:p>
    <w:p>
      <w:pPr>
        <w:pStyle w:val="Compact"/>
        <w:numPr>
          <w:ilvl w:val="0"/>
          <w:numId w:val="1181"/>
        </w:numPr>
      </w:pPr>
      <w:r>
        <w:t xml:space="preserve">Carefully, flip the plates over and trace the cube using a fine-tip marker</w:t>
      </w:r>
    </w:p>
    <w:p>
      <w:pPr>
        <w:pStyle w:val="Compact"/>
        <w:numPr>
          <w:ilvl w:val="0"/>
          <w:numId w:val="1181"/>
        </w:numPr>
      </w:pPr>
      <w:r>
        <w:t xml:space="preserve">Bring your plates to the front of the class and place them (unflipped) in the correct box for incubation</w:t>
      </w:r>
    </w:p>
    <w:bookmarkEnd w:id="172"/>
    <w:bookmarkStart w:id="173" w:name="measuring-fungal-growth"/>
    <w:p>
      <w:pPr>
        <w:pStyle w:val="Heading3"/>
      </w:pPr>
      <w:r>
        <w:t xml:space="preserve">Measuring Fungal Growth</w:t>
      </w:r>
    </w:p>
    <w:p>
      <w:pPr>
        <w:pStyle w:val="FirstParagraph"/>
      </w:pPr>
      <w:r>
        <w:rPr>
          <w:b/>
          <w:bCs/>
        </w:rPr>
        <w:t xml:space="preserve">Objectives:</w:t>
      </w:r>
    </w:p>
    <w:p>
      <w:pPr>
        <w:pStyle w:val="Compact"/>
        <w:numPr>
          <w:ilvl w:val="0"/>
          <w:numId w:val="1182"/>
        </w:numPr>
      </w:pPr>
      <w:r>
        <w:t xml:space="preserve">Measure growth for Zn stress assay as indicated in</w:t>
      </w:r>
      <w:r>
        <w:t xml:space="preserve"> </w:t>
      </w:r>
      <w:hyperlink w:anchor="fig-ZincToleranceAssay">
        <w:r>
          <w:rPr>
            <w:rStyle w:val="Hyperlink"/>
          </w:rPr>
          <w:t xml:space="preserve">Figure 8</w:t>
        </w:r>
      </w:hyperlink>
    </w:p>
    <w:p>
      <w:pPr>
        <w:pStyle w:val="Compact"/>
        <w:numPr>
          <w:ilvl w:val="0"/>
          <w:numId w:val="1182"/>
        </w:numPr>
      </w:pPr>
      <w:r>
        <w:t xml:space="preserve">Measure growth for temperature assay</w:t>
      </w:r>
    </w:p>
    <w:p>
      <w:pPr>
        <w:pStyle w:val="FirstParagraph"/>
      </w:pPr>
      <w:r>
        <w:rPr>
          <w:b/>
          <w:bCs/>
        </w:rPr>
        <w:t xml:space="preserve">Materials:</w:t>
      </w:r>
    </w:p>
    <w:p>
      <w:pPr>
        <w:pStyle w:val="Compact"/>
        <w:numPr>
          <w:ilvl w:val="0"/>
          <w:numId w:val="1183"/>
        </w:numPr>
      </w:pPr>
      <w:r>
        <w:t xml:space="preserve">Fine tip Sharpie</w:t>
      </w:r>
    </w:p>
    <w:p>
      <w:pPr>
        <w:pStyle w:val="Compact"/>
        <w:numPr>
          <w:ilvl w:val="0"/>
          <w:numId w:val="1184"/>
        </w:numPr>
      </w:pPr>
      <w:r>
        <w:t xml:space="preserve">Three Zn culture plates</w:t>
      </w:r>
    </w:p>
    <w:p>
      <w:pPr>
        <w:pStyle w:val="Compact"/>
        <w:numPr>
          <w:ilvl w:val="0"/>
          <w:numId w:val="1185"/>
        </w:numPr>
      </w:pPr>
      <w:r>
        <w:t xml:space="preserve">Three temperature culture plates</w:t>
      </w:r>
    </w:p>
    <w:p>
      <w:pPr>
        <w:pStyle w:val="Compact"/>
        <w:numPr>
          <w:ilvl w:val="0"/>
          <w:numId w:val="1186"/>
        </w:numPr>
      </w:pPr>
      <w:r>
        <w:t xml:space="preserve">Ruler to measure growth in mm (mm ruler)</w:t>
      </w:r>
    </w:p>
    <w:p>
      <w:pPr>
        <w:pStyle w:val="FirstParagraph"/>
      </w:pPr>
      <w:r>
        <w:rPr>
          <w:b/>
          <w:bCs/>
        </w:rPr>
        <w:t xml:space="preserve">Procedure:</w:t>
      </w:r>
    </w:p>
    <w:p>
      <w:pPr>
        <w:pStyle w:val="Compact"/>
        <w:numPr>
          <w:ilvl w:val="0"/>
          <w:numId w:val="1187"/>
        </w:numPr>
      </w:pPr>
      <w:r>
        <w:t xml:space="preserve">On the bottom of the plate, trace the edge of your fungal culture</w:t>
      </w:r>
    </w:p>
    <w:p>
      <w:pPr>
        <w:pStyle w:val="Compact"/>
        <w:numPr>
          <w:ilvl w:val="0"/>
          <w:numId w:val="1187"/>
        </w:numPr>
      </w:pPr>
      <w:r>
        <w:t xml:space="preserve">Measure, in mm, new growth at each of the four edges along the lines</w:t>
      </w:r>
    </w:p>
    <w:p>
      <w:pPr>
        <w:pStyle w:val="Compact"/>
        <w:numPr>
          <w:ilvl w:val="0"/>
          <w:numId w:val="1187"/>
        </w:numPr>
      </w:pPr>
      <w:r>
        <w:t xml:space="preserve">Average the eight measurements to get the average growth and determine the average growth rate (distance/time)</w:t>
      </w:r>
    </w:p>
    <w:bookmarkEnd w:id="173"/>
    <w:bookmarkEnd w:id="174"/>
    <w:bookmarkEnd w:id="175"/>
    <w:bookmarkStart w:id="203" w:name="module-4-dna-sequencing"/>
    <w:p>
      <w:pPr>
        <w:pStyle w:val="Heading1"/>
      </w:pPr>
      <w:r>
        <w:t xml:space="preserve">Module 4: DNA Sequencing</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176" name="Picture"/>
                  <a:graphic>
                    <a:graphicData uri="http://schemas.openxmlformats.org/drawingml/2006/picture">
                      <pic:pic>
                        <pic:nvPicPr>
                          <pic:cNvPr descr="/opt/quarto/share/formats/docx/tip.png" id="177" name="Picture"/>
                          <pic:cNvPicPr>
                            <a:picLocks noChangeArrowheads="1" noChangeAspect="1"/>
                          </pic:cNvPicPr>
                        </pic:nvPicPr>
                        <pic:blipFill>
                          <a:blip r:embed="rId1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 Open Slides</w:t>
            </w:r>
          </w:p>
        </w:tc>
      </w:tr>
      <w:tr>
        <w:trPr>
          <w:cantSplit/>
        </w:trPr>
        <w:tc>
          <w:tcPr>
            <w:tcMar>
              <w:top w:w="108" w:type="dxa"/>
              <w:bottom w:w="108" w:type="dxa"/>
            </w:tcMar>
          </w:tcPr>
          <w:p>
            <w:pPr>
              <w:pStyle w:val="BodyText"/>
            </w:pPr>
            <w:pPr>
              <w:spacing w:before="16" w:after="16"/>
            </w:pPr>
            <w:hyperlink r:id="rId19">
              <w:r>
                <w:rPr>
                  <w:rStyle w:val="Hyperlink"/>
                </w:rPr>
                <w:t xml:space="preserve">Open Module 4 Slides</w:t>
              </w:r>
            </w:hyperlink>
          </w:p>
          <w:p/>
        </w:tc>
      </w:tr>
    </w:tbl>
    <w:bookmarkStart w:id="180" w:name="X1f9141d941555e98bd81ab73b3543cfd3247ac1"/>
    <w:p>
      <w:pPr>
        <w:pStyle w:val="Heading2"/>
      </w:pPr>
      <w:r>
        <w:t xml:space="preserve">Module 4.1 – DNA Sequencing and Species Identification Instructor Resources</w:t>
      </w:r>
    </w:p>
    <w:bookmarkStart w:id="179" w:name="Xf2d43db359788ca93a2d8fe43440f1f2685953f"/>
    <w:p>
      <w:pPr>
        <w:pStyle w:val="Heading3"/>
      </w:pPr>
      <w:r>
        <w:t xml:space="preserve">Instructor Laboratory Preparation Instructions</w:t>
      </w:r>
    </w:p>
    <w:bookmarkStart w:id="178" w:name="materials-1"/>
    <w:p>
      <w:pPr>
        <w:pStyle w:val="Heading4"/>
      </w:pPr>
      <w:r>
        <w:t xml:space="preserve">Materials</w:t>
      </w:r>
    </w:p>
    <w:p>
      <w:pPr>
        <w:pStyle w:val="FirstParagraph"/>
      </w:pPr>
      <w:r>
        <w:t xml:space="preserve">This list may vary depending on your preferred extraction, amplification, and sequencing protocols.</w:t>
      </w:r>
    </w:p>
    <w:p>
      <w:pPr>
        <w:pStyle w:val="Compact"/>
        <w:numPr>
          <w:ilvl w:val="0"/>
          <w:numId w:val="1188"/>
        </w:numPr>
      </w:pPr>
      <w:r>
        <w:t xml:space="preserve">☐ Gloves</w:t>
      </w:r>
    </w:p>
    <w:p>
      <w:pPr>
        <w:pStyle w:val="Compact"/>
        <w:numPr>
          <w:ilvl w:val="0"/>
          <w:numId w:val="1188"/>
        </w:numPr>
      </w:pPr>
      <w:r>
        <w:t xml:space="preserve">☐ Sharpie</w:t>
      </w:r>
    </w:p>
    <w:p>
      <w:pPr>
        <w:pStyle w:val="Compact"/>
        <w:numPr>
          <w:ilvl w:val="0"/>
          <w:numId w:val="1188"/>
        </w:numPr>
      </w:pPr>
      <w:r>
        <w:t xml:space="preserve">☐ Thermal cycler</w:t>
      </w:r>
    </w:p>
    <w:p>
      <w:pPr>
        <w:pStyle w:val="Compact"/>
        <w:numPr>
          <w:ilvl w:val="0"/>
          <w:numId w:val="1188"/>
        </w:numPr>
      </w:pPr>
      <w:r>
        <w:t xml:space="preserve">☐ Vortex</w:t>
      </w:r>
    </w:p>
    <w:p>
      <w:pPr>
        <w:pStyle w:val="Compact"/>
        <w:numPr>
          <w:ilvl w:val="0"/>
          <w:numId w:val="1188"/>
        </w:numPr>
      </w:pPr>
      <w:r>
        <w:t xml:space="preserve">☐ Centrifuge for PCR and microfuge tubes</w:t>
      </w:r>
    </w:p>
    <w:p>
      <w:pPr>
        <w:pStyle w:val="Compact"/>
        <w:numPr>
          <w:ilvl w:val="0"/>
          <w:numId w:val="1188"/>
        </w:numPr>
      </w:pPr>
      <w:r>
        <w:t xml:space="preserve">☐ Heat block/thermomixer for 1.5-2.0 ml microfuge tubes</w:t>
      </w:r>
    </w:p>
    <w:p>
      <w:pPr>
        <w:pStyle w:val="Compact"/>
        <w:numPr>
          <w:ilvl w:val="0"/>
          <w:numId w:val="1188"/>
        </w:numPr>
      </w:pPr>
      <w:r>
        <w:t xml:space="preserve">☐ 1.5mL microcentrifuge tubes (Eppendorf DNA LoBind)</w:t>
      </w:r>
    </w:p>
    <w:p>
      <w:pPr>
        <w:pStyle w:val="Compact"/>
        <w:numPr>
          <w:ilvl w:val="0"/>
          <w:numId w:val="1188"/>
        </w:numPr>
      </w:pPr>
      <w:r>
        <w:t xml:space="preserve">☐ 0.2 mL PCR tubes</w:t>
      </w:r>
    </w:p>
    <w:p>
      <w:pPr>
        <w:pStyle w:val="Compact"/>
        <w:numPr>
          <w:ilvl w:val="0"/>
          <w:numId w:val="1188"/>
        </w:numPr>
      </w:pPr>
      <w:r>
        <w:t xml:space="preserve">☐ Microfuge and PCR tube racks</w:t>
      </w:r>
    </w:p>
    <w:p>
      <w:pPr>
        <w:pStyle w:val="Compact"/>
        <w:numPr>
          <w:ilvl w:val="0"/>
          <w:numId w:val="1188"/>
        </w:numPr>
      </w:pPr>
      <w:r>
        <w:t xml:space="preserve">☐ Labeling tape</w:t>
      </w:r>
    </w:p>
    <w:p>
      <w:pPr>
        <w:pStyle w:val="Compact"/>
        <w:numPr>
          <w:ilvl w:val="0"/>
          <w:numId w:val="1188"/>
        </w:numPr>
      </w:pPr>
      <w:r>
        <w:t xml:space="preserve">☐ Monarch® Spin gDNA Extraction Kit (New England BioLabs,T3010S)</w:t>
      </w:r>
    </w:p>
    <w:p>
      <w:pPr>
        <w:pStyle w:val="Compact"/>
        <w:numPr>
          <w:ilvl w:val="0"/>
          <w:numId w:val="1188"/>
        </w:numPr>
      </w:pPr>
      <w:r>
        <w:t xml:space="preserve">☐ MetaPolyzyme, DNA free (Millipore Sigma, MAC4LDF-5X1VL)</w:t>
      </w:r>
    </w:p>
    <w:p>
      <w:pPr>
        <w:pStyle w:val="Compact"/>
        <w:numPr>
          <w:ilvl w:val="0"/>
          <w:numId w:val="1188"/>
        </w:numPr>
      </w:pPr>
      <w:r>
        <w:t xml:space="preserve">☐ TE Buffer</w:t>
      </w:r>
    </w:p>
    <w:p>
      <w:pPr>
        <w:pStyle w:val="Compact"/>
        <w:numPr>
          <w:ilvl w:val="0"/>
          <w:numId w:val="1188"/>
        </w:numPr>
      </w:pPr>
      <w:r>
        <w:t xml:space="preserve">☐ CTAB solution (100 ml, Promega, MC1411)</w:t>
      </w:r>
    </w:p>
    <w:p>
      <w:pPr>
        <w:pStyle w:val="Compact"/>
        <w:numPr>
          <w:ilvl w:val="0"/>
          <w:numId w:val="1188"/>
        </w:numPr>
      </w:pPr>
      <w:r>
        <w:t xml:space="preserve">☐ Parafilm</w:t>
      </w:r>
    </w:p>
    <w:p>
      <w:pPr>
        <w:pStyle w:val="Compact"/>
        <w:numPr>
          <w:ilvl w:val="0"/>
          <w:numId w:val="1188"/>
        </w:numPr>
      </w:pPr>
      <w:r>
        <w:t xml:space="preserve">☐ 70% ETOH</w:t>
      </w:r>
    </w:p>
    <w:p>
      <w:pPr>
        <w:pStyle w:val="Compact"/>
        <w:numPr>
          <w:ilvl w:val="0"/>
          <w:numId w:val="1188"/>
        </w:numPr>
      </w:pPr>
      <w:r>
        <w:t xml:space="preserve">☐ 1-10, 20-200, and 100-1000 µL micropipettors</w:t>
      </w:r>
    </w:p>
    <w:p>
      <w:pPr>
        <w:pStyle w:val="Compact"/>
        <w:numPr>
          <w:ilvl w:val="0"/>
          <w:numId w:val="1188"/>
        </w:numPr>
      </w:pPr>
      <w:r>
        <w:t xml:space="preserve">☐ 1-10, 20-200, and 100-1000 µL micropipette tips (preferably filtered)</w:t>
      </w:r>
    </w:p>
    <w:p>
      <w:pPr>
        <w:pStyle w:val="Compact"/>
        <w:numPr>
          <w:ilvl w:val="0"/>
          <w:numId w:val="1188"/>
        </w:numPr>
      </w:pPr>
      <w:r>
        <w:t xml:space="preserve">☐ Kimwipes</w:t>
      </w:r>
    </w:p>
    <w:p>
      <w:pPr>
        <w:pStyle w:val="Compact"/>
        <w:numPr>
          <w:ilvl w:val="0"/>
          <w:numId w:val="1188"/>
        </w:numPr>
      </w:pPr>
      <w:r>
        <w:t xml:space="preserve">☐ PCR primers (ITS1f, ITS4, 5.8SR, fITS7) ordered from Integrated DNA Technologies (IDT) or similar supplier normalized to 100 µM in TE buffer. The following primers are commonly used for fungal DNA barcoding:</w:t>
      </w:r>
    </w:p>
    <w:p>
      <w:pPr>
        <w:pStyle w:val="Compact"/>
        <w:numPr>
          <w:ilvl w:val="1"/>
          <w:numId w:val="1189"/>
        </w:numPr>
      </w:pPr>
      <w:r>
        <w:t xml:space="preserve">ITS1f: 5’-CTTGGTCATTTAGAGGAAGTAA-3’</w:t>
      </w:r>
    </w:p>
    <w:p>
      <w:pPr>
        <w:pStyle w:val="Compact"/>
        <w:numPr>
          <w:ilvl w:val="1"/>
          <w:numId w:val="1189"/>
        </w:numPr>
      </w:pPr>
      <w:r>
        <w:t xml:space="preserve">ITS4: 5’-TCCTCCGCTTATTGATATGC-3’</w:t>
      </w:r>
    </w:p>
    <w:p>
      <w:pPr>
        <w:pStyle w:val="Compact"/>
        <w:numPr>
          <w:ilvl w:val="1"/>
          <w:numId w:val="1189"/>
        </w:numPr>
      </w:pPr>
      <w:r>
        <w:t xml:space="preserve">5.8SR: 5’-CGCTGCGTTCTTCATCG-3’</w:t>
      </w:r>
    </w:p>
    <w:p>
      <w:pPr>
        <w:pStyle w:val="Compact"/>
        <w:numPr>
          <w:ilvl w:val="1"/>
          <w:numId w:val="1189"/>
        </w:numPr>
      </w:pPr>
      <w:r>
        <w:t xml:space="preserve">fITS7: 5’-GTGARTCATCGAATCTTTG-3’</w:t>
      </w:r>
    </w:p>
    <w:p>
      <w:pPr>
        <w:pStyle w:val="Compact"/>
        <w:numPr>
          <w:ilvl w:val="0"/>
          <w:numId w:val="1188"/>
        </w:numPr>
      </w:pPr>
      <w:r>
        <w:t xml:space="preserve">☐ Q5® Hot Start High-Fidelity 2X Master Mix - 100 reactions(New England BioLabs, M0494S)</w:t>
      </w:r>
    </w:p>
    <w:p>
      <w:pPr>
        <w:pStyle w:val="Compact"/>
        <w:numPr>
          <w:ilvl w:val="0"/>
          <w:numId w:val="1188"/>
        </w:numPr>
      </w:pPr>
      <w:r>
        <w:t xml:space="preserve">☐ PCR water (New England BioLabs, B1500S)</w:t>
      </w:r>
    </w:p>
    <w:p>
      <w:pPr>
        <w:pStyle w:val="Compact"/>
        <w:numPr>
          <w:ilvl w:val="0"/>
          <w:numId w:val="1188"/>
        </w:numPr>
      </w:pPr>
      <w:r>
        <w:t xml:space="preserve">☐ Exo-CIP Rapid PCR Cleanup Kit - 100 reactions (New England BioLabs, E1050S)</w:t>
      </w:r>
    </w:p>
    <w:p>
      <w:pPr>
        <w:pStyle w:val="Compact"/>
        <w:numPr>
          <w:ilvl w:val="0"/>
          <w:numId w:val="1188"/>
        </w:numPr>
      </w:pPr>
      <w:r>
        <w:t xml:space="preserve">☐ E-Gel system with 1.2% agarose gels (ThermoFisher, G4010010) or similar gel electrophoresis system</w:t>
      </w:r>
    </w:p>
    <w:p>
      <w:pPr>
        <w:pStyle w:val="Compact"/>
        <w:numPr>
          <w:ilvl w:val="0"/>
          <w:numId w:val="1188"/>
        </w:numPr>
      </w:pPr>
      <w:r>
        <w:t xml:space="preserve">☐ E-Gel™ Sizing DNA Ladder (ThermoFisher, 10488100)</w:t>
      </w:r>
    </w:p>
    <w:p>
      <w:pPr>
        <w:pStyle w:val="Compact"/>
        <w:numPr>
          <w:ilvl w:val="0"/>
          <w:numId w:val="1188"/>
        </w:numPr>
      </w:pPr>
      <w:r>
        <w:t xml:space="preserve">☐ DNA quantification system (for example, Qubit Fluorometer with dsDNA HS Assay Kit, ThermoFisher, Q32851)</w:t>
      </w:r>
    </w:p>
    <w:p>
      <w:pPr>
        <w:pStyle w:val="Compact"/>
        <w:numPr>
          <w:ilvl w:val="0"/>
          <w:numId w:val="1188"/>
        </w:numPr>
      </w:pPr>
      <w:r>
        <w:t xml:space="preserve">☐ Access to Sanger sequencing services (for example, Genewiz, Eurofins, Eton, or similar provider).</w:t>
      </w:r>
    </w:p>
    <w:p>
      <w:pPr>
        <w:pStyle w:val="Compact"/>
        <w:numPr>
          <w:ilvl w:val="0"/>
          <w:numId w:val="1188"/>
        </w:numPr>
      </w:pPr>
      <w:r>
        <w:t xml:space="preserve">☐ Rapid Barcoding Kit v14 (Oxford Nanopore Technologies), SQK-RBK114.24 or similar kit for long-read sequencing (optional)</w:t>
      </w:r>
    </w:p>
    <w:p>
      <w:pPr>
        <w:pStyle w:val="Compact"/>
        <w:numPr>
          <w:ilvl w:val="0"/>
          <w:numId w:val="1188"/>
        </w:numPr>
      </w:pPr>
      <w:r>
        <w:t xml:space="preserve">☐ MinION sequencing device</w:t>
      </w:r>
    </w:p>
    <w:p>
      <w:pPr>
        <w:pStyle w:val="Compact"/>
        <w:numPr>
          <w:ilvl w:val="0"/>
          <w:numId w:val="1188"/>
        </w:numPr>
      </w:pPr>
      <w:r>
        <w:t xml:space="preserve">☐ MinION flow cells (R10.4.1 or similar, Oxford Nanopore Technologies, FLO-MIN114)</w:t>
      </w:r>
    </w:p>
    <w:p>
      <w:pPr>
        <w:pStyle w:val="Compact"/>
        <w:numPr>
          <w:ilvl w:val="0"/>
          <w:numId w:val="1188"/>
        </w:numPr>
      </w:pPr>
      <w:r>
        <w:t xml:space="preserve">☐ Ultrapure BSA 50mg/ml (ThermoFisher, AM2616) for long-read sequencing</w:t>
      </w:r>
    </w:p>
    <w:p>
      <w:pPr>
        <w:pStyle w:val="Compact"/>
        <w:numPr>
          <w:ilvl w:val="0"/>
          <w:numId w:val="1188"/>
        </w:numPr>
      </w:pPr>
      <w:r>
        <w:t xml:space="preserve">☐ 1.5mL microcentrifuge tubes (Eppendorf DNA LoBind) for long-read sequencing</w:t>
      </w:r>
    </w:p>
    <w:p>
      <w:pPr>
        <w:pStyle w:val="Compact"/>
        <w:numPr>
          <w:ilvl w:val="0"/>
          <w:numId w:val="1188"/>
        </w:numPr>
      </w:pPr>
      <w:r>
        <w:t xml:space="preserve">0.2 mL PCR tubes for long-read sequencing</w:t>
      </w:r>
    </w:p>
    <w:p>
      <w:pPr>
        <w:pStyle w:val="Compact"/>
        <w:numPr>
          <w:ilvl w:val="0"/>
          <w:numId w:val="1188"/>
        </w:numPr>
      </w:pPr>
      <w:r>
        <w:t xml:space="preserve">Magnetic rack for 1.5ml microcentrifuge tubes (for example, ThermoFisher DynaMag-2, 12321D) for long-read sequencing</w:t>
      </w:r>
    </w:p>
    <w:p>
      <w:pPr>
        <w:pStyle w:val="Compact"/>
        <w:numPr>
          <w:ilvl w:val="0"/>
          <w:numId w:val="1188"/>
        </w:numPr>
      </w:pPr>
      <w:r>
        <w:t xml:space="preserve">Nuclease-free water and 100% ethanol to prepare 80% ethanol for long-read sequencing</w:t>
      </w:r>
    </w:p>
    <w:p>
      <w:pPr>
        <w:pStyle w:val="FirstParagraph"/>
      </w:pPr>
      <w:r>
        <w:rPr>
          <w:b/>
          <w:bCs/>
        </w:rPr>
        <w:t xml:space="preserve">Diluting and prepping PCR primers</w:t>
      </w:r>
      <w:r>
        <w:t xml:space="preserve"> </w:t>
      </w:r>
      <w:r>
        <w:t xml:space="preserve">1. To dilute the vial to a stock concentration of 100 picomols/microliter first read the number of µmols present in the tube.</w:t>
      </w:r>
      <w:r>
        <w:t xml:space="preserve"> </w:t>
      </w:r>
      <w:r>
        <w:t xml:space="preserve">a. Using this number, divide by 10, and add that many µL of PCR pure water to the tubes. This will give you a concentration of 100 pmol/µL</w:t>
      </w:r>
      <w:r>
        <w:t xml:space="preserve"> </w:t>
      </w:r>
      <w:r>
        <w:t xml:space="preserve">2. To make PCR ready primers we need to dilute the concentration to 10 pmol/µL.</w:t>
      </w:r>
      <w:r>
        <w:t xml:space="preserve"> </w:t>
      </w:r>
      <w:r>
        <w:t xml:space="preserve">a. Add 180 µL PCR pure water to a 1.5 mL microcentrifuge tube.</w:t>
      </w:r>
      <w:r>
        <w:t xml:space="preserve"> </w:t>
      </w:r>
      <w:r>
        <w:t xml:space="preserve">b. Label the tube according to the primer being added.</w:t>
      </w:r>
      <w:r>
        <w:t xml:space="preserve"> </w:t>
      </w:r>
      <w:r>
        <w:t xml:space="preserve">c. Add 20 µL of the 100 pmol/µL concentration primer.</w:t>
      </w:r>
    </w:p>
    <w:bookmarkEnd w:id="178"/>
    <w:bookmarkEnd w:id="179"/>
    <w:bookmarkEnd w:id="180"/>
    <w:bookmarkStart w:id="202" w:name="X84ab9f30f319591ed283388a48344a8ca0af377"/>
    <w:p>
      <w:pPr>
        <w:pStyle w:val="Heading2"/>
      </w:pPr>
      <w:r>
        <w:t xml:space="preserve">Module 4.2 – DNA Sequencing and Species Identification</w:t>
      </w:r>
    </w:p>
    <w:bookmarkStart w:id="181" w:name="purpose-3"/>
    <w:p>
      <w:pPr>
        <w:pStyle w:val="Heading3"/>
      </w:pPr>
      <w:r>
        <w:t xml:space="preserve">Purpose</w:t>
      </w:r>
    </w:p>
    <w:p>
      <w:pPr>
        <w:pStyle w:val="FirstParagraph"/>
      </w:pPr>
      <w:r>
        <w:t xml:space="preserve">The purpose of this module is to molecularly identify fungal isolates using the Internal Transcribed Spacer</w:t>
      </w:r>
      <w:r>
        <w:t xml:space="preserve"> </w:t>
      </w:r>
      <w:r>
        <w:rPr>
          <w:b/>
          <w:bCs/>
        </w:rPr>
        <w:t xml:space="preserve">(ITS)</w:t>
      </w:r>
      <w:r>
        <w:t xml:space="preserve"> </w:t>
      </w:r>
      <w:r>
        <w:t xml:space="preserve">rDNA region, also known as the fungal barcode. You will extract genomic DNA (gDNA) from your isolates, amplify the ITS rDNA using polymerase chain reaction (PCR), clean PCR product, Sanger sequence PCR product, and use DNA sequence to obtain a name for your isolate.</w:t>
      </w:r>
    </w:p>
    <w:bookmarkEnd w:id="181"/>
    <w:bookmarkStart w:id="182" w:name="learning-goals-3"/>
    <w:p>
      <w:pPr>
        <w:pStyle w:val="Heading3"/>
      </w:pPr>
      <w:r>
        <w:t xml:space="preserve">Learning Goals</w:t>
      </w:r>
    </w:p>
    <w:p>
      <w:pPr>
        <w:pStyle w:val="Compact"/>
        <w:numPr>
          <w:ilvl w:val="0"/>
          <w:numId w:val="1190"/>
        </w:numPr>
      </w:pPr>
      <w:r>
        <w:t xml:space="preserve">Practice extracting fungal DNA</w:t>
      </w:r>
    </w:p>
    <w:p>
      <w:pPr>
        <w:pStyle w:val="Compact"/>
        <w:numPr>
          <w:ilvl w:val="0"/>
          <w:numId w:val="1190"/>
        </w:numPr>
      </w:pPr>
      <w:r>
        <w:t xml:space="preserve">Successfully PCR amplify fungal ITS</w:t>
      </w:r>
    </w:p>
    <w:p>
      <w:pPr>
        <w:pStyle w:val="Compact"/>
        <w:numPr>
          <w:ilvl w:val="0"/>
          <w:numId w:val="1190"/>
        </w:numPr>
      </w:pPr>
      <w:r>
        <w:t xml:space="preserve">Learn to BLAST ITS sequence to identify fungal isolates</w:t>
      </w:r>
    </w:p>
    <w:bookmarkEnd w:id="182"/>
    <w:bookmarkStart w:id="186" w:name="part-i-dna-extraction"/>
    <w:p>
      <w:pPr>
        <w:pStyle w:val="Heading3"/>
      </w:pPr>
      <w:r>
        <w:t xml:space="preserve">Part I: DNA Extraction</w:t>
      </w:r>
    </w:p>
    <w:bookmarkStart w:id="183" w:name="introduction-3"/>
    <w:p>
      <w:pPr>
        <w:pStyle w:val="Heading4"/>
      </w:pPr>
      <w:r>
        <w:t xml:space="preserve">Introduction</w:t>
      </w:r>
    </w:p>
    <w:p>
      <w:pPr>
        <w:pStyle w:val="FirstParagraph"/>
      </w:pPr>
      <w:r>
        <w:t xml:space="preserve">Identification of fungal cultures requires knowledge and techniques beyond the scope of this course. Luckily, we can use DNA sequencing of the fungal barcode region (ITS rDNA region) to obtain an identification for our isolates. To do this, you must (1) extract gDNA from a pure culture of your fungal isolate; (2) specifically amplify (make millions of copies) a portion of the ITS rDNA region using polymerase chain reaction (PCR); (3) sequence the PCR product using Sanger sequencing; and (4) submit your sequences for comparison against an online gene database (NCBI’s GenBank).</w:t>
      </w:r>
    </w:p>
    <w:p>
      <w:pPr>
        <w:pStyle w:val="BodyText"/>
      </w:pPr>
      <w:r>
        <w:t xml:space="preserve">In this part of the module, you will extract DNA from your fungal isolates. There are many ways to isolate DNA from fungi. Here we will use a very simple kit that uses an alkaline (pH 9.5-10) extraction solution at high heat to disrupt cells and release gDNA.</w:t>
      </w:r>
    </w:p>
    <w:bookmarkEnd w:id="183"/>
    <w:bookmarkStart w:id="184" w:name="materials-2"/>
    <w:p>
      <w:pPr>
        <w:pStyle w:val="Heading4"/>
      </w:pPr>
      <w:r>
        <w:t xml:space="preserve">Materials</w:t>
      </w:r>
    </w:p>
    <w:p>
      <w:pPr>
        <w:pStyle w:val="Compact"/>
        <w:numPr>
          <w:ilvl w:val="0"/>
          <w:numId w:val="1191"/>
        </w:numPr>
      </w:pPr>
      <w:r>
        <w:t xml:space="preserve">☐ Fungal isolates</w:t>
      </w:r>
    </w:p>
    <w:p>
      <w:pPr>
        <w:pStyle w:val="Compact"/>
        <w:numPr>
          <w:ilvl w:val="0"/>
          <w:numId w:val="1191"/>
        </w:numPr>
      </w:pPr>
      <w:r>
        <w:t xml:space="preserve">[ ]0.2 mL PCR tubes</w:t>
      </w:r>
    </w:p>
    <w:p>
      <w:pPr>
        <w:pStyle w:val="Compact"/>
        <w:numPr>
          <w:ilvl w:val="0"/>
          <w:numId w:val="1191"/>
        </w:numPr>
      </w:pPr>
      <w:r>
        <w:t xml:space="preserve">[ ]P20 micropipette with tips</w:t>
      </w:r>
    </w:p>
    <w:p>
      <w:pPr>
        <w:pStyle w:val="Compact"/>
        <w:numPr>
          <w:ilvl w:val="0"/>
          <w:numId w:val="1191"/>
        </w:numPr>
      </w:pPr>
      <w:r>
        <w:t xml:space="preserve">[ ]DNA extraction kit (New England BioLabs, Monarch® Spin gDNA Extraction Kit, T3010S)</w:t>
      </w:r>
    </w:p>
    <w:p>
      <w:pPr>
        <w:pStyle w:val="Compact"/>
        <w:numPr>
          <w:ilvl w:val="0"/>
          <w:numId w:val="1191"/>
        </w:numPr>
      </w:pPr>
      <w:r>
        <w:t xml:space="preserve">[ ]DNA quantification system (for example, Qubit Fluorometer with dsDNA HS Assay Kit, ThermoFisher, Q32851)</w:t>
      </w:r>
    </w:p>
    <w:p>
      <w:pPr>
        <w:pStyle w:val="Compact"/>
        <w:numPr>
          <w:ilvl w:val="0"/>
          <w:numId w:val="1191"/>
        </w:numPr>
      </w:pPr>
      <w:r>
        <w:t xml:space="preserve">[ ]Ethanol jar</w:t>
      </w:r>
    </w:p>
    <w:p>
      <w:pPr>
        <w:pStyle w:val="Compact"/>
        <w:numPr>
          <w:ilvl w:val="0"/>
          <w:numId w:val="1191"/>
        </w:numPr>
      </w:pPr>
      <w:r>
        <w:t xml:space="preserve">[ ]Loop, pick, and forceps</w:t>
      </w:r>
    </w:p>
    <w:bookmarkEnd w:id="184"/>
    <w:bookmarkStart w:id="185" w:name="procedures"/>
    <w:p>
      <w:pPr>
        <w:pStyle w:val="Heading4"/>
      </w:pPr>
      <w:r>
        <w:t xml:space="preserve">Procedures</w:t>
      </w:r>
    </w:p>
    <w:p>
      <w:pPr>
        <w:pStyle w:val="Compact"/>
        <w:numPr>
          <w:ilvl w:val="0"/>
          <w:numId w:val="1192"/>
        </w:numPr>
      </w:pPr>
      <w:r>
        <w:t xml:space="preserve">Using the micropipette, aliquot 20 µL of ES into 0.2 mL snap-cap PCR tubes. We will run DNA extraction in duplicates, so fill two PCR tubes per culture.</w:t>
      </w:r>
      <w:r>
        <w:t xml:space="preserve"> </w:t>
      </w:r>
      <w:r>
        <w:t xml:space="preserve">NOTE: Label your tubes before adding ES. Label on both the cap and side of the tubes, so you can identify the samples as yours and can differentiate to which culture they belong.</w:t>
      </w:r>
    </w:p>
    <w:p>
      <w:pPr>
        <w:pStyle w:val="Compact"/>
        <w:numPr>
          <w:ilvl w:val="0"/>
          <w:numId w:val="1192"/>
        </w:numPr>
      </w:pPr>
      <w:r>
        <w:t xml:space="preserve">Place the tissue sample into the ES. Submerge and smash the sample against the tube wall if possible.</w:t>
      </w:r>
      <w:r>
        <w:t xml:space="preserve"> </w:t>
      </w:r>
      <w:r>
        <w:t xml:space="preserve">NOTE: be careful not to add any agar to the ES as this will impact the pH of the solution and the extraction of gDNA.</w:t>
      </w:r>
    </w:p>
    <w:p>
      <w:pPr>
        <w:pStyle w:val="Compact"/>
        <w:numPr>
          <w:ilvl w:val="0"/>
          <w:numId w:val="1192"/>
        </w:numPr>
      </w:pPr>
      <w:r>
        <w:t xml:space="preserve">Close the snap-caps and incubate at 65 °C for 10 minutes followed by 95 °C for 10 minutes.</w:t>
      </w:r>
    </w:p>
    <w:p>
      <w:pPr>
        <w:pStyle w:val="Compact"/>
        <w:numPr>
          <w:ilvl w:val="0"/>
          <w:numId w:val="1192"/>
        </w:numPr>
      </w:pPr>
      <w:r>
        <w:t xml:space="preserve">Using the micropipette, aliquot an equal volume of DS (20 µL) to your extracts. Ensure that you can still read the labels and store in the freezer until next week. We will use these extractions to amplify the fungal ITS rDNA region using PCR.</w:t>
      </w:r>
    </w:p>
    <w:bookmarkEnd w:id="185"/>
    <w:bookmarkEnd w:id="186"/>
    <w:bookmarkStart w:id="191" w:name="part-ii-polymerase-chain-reaction-pcr"/>
    <w:p>
      <w:pPr>
        <w:pStyle w:val="Heading3"/>
      </w:pPr>
      <w:r>
        <w:t xml:space="preserve">Part II: Polymerase Chain Reaction (PCR)</w:t>
      </w:r>
    </w:p>
    <w:bookmarkStart w:id="187" w:name="introduction-to-pcr"/>
    <w:p>
      <w:pPr>
        <w:pStyle w:val="Heading4"/>
      </w:pPr>
      <w:r>
        <w:t xml:space="preserve">Introduction to PCR</w:t>
      </w:r>
    </w:p>
    <w:p>
      <w:pPr>
        <w:pStyle w:val="FirstParagraph"/>
      </w:pPr>
      <w:r>
        <w:t xml:space="preserve">The polymerase chain reaction (PCR), developed in the mid-1980s, amplifies a specific DNA region by creating millions or billions of copies by</w:t>
      </w:r>
      <w:r>
        <w:t xml:space="preserve"> </w:t>
      </w:r>
      <w:r>
        <w:t xml:space="preserve">‘in vitro DNA replication’</w:t>
      </w:r>
      <w:r>
        <w:t xml:space="preserve">. It uses a thermostable form of bacterial DNA polymerase, the enzyme that copies DNA, isolated from Thermus aquaticum, a thermophilic bacterium isolated from a Yellowstone hot spring. This enzyme,</w:t>
      </w:r>
      <w:r>
        <w:t xml:space="preserve"> </w:t>
      </w:r>
      <w:r>
        <w:t xml:space="preserve">‘Taq polymerase’</w:t>
      </w:r>
      <w:r>
        <w:t xml:space="preserve">, is active at 72 °C and can withstand brief heating to 95 °C. Thus, the PCR reaction is an example of how environmental microbes have benefited biotechnology and revolutionized biology.</w:t>
      </w:r>
    </w:p>
    <w:p>
      <w:pPr>
        <w:pStyle w:val="BodyText"/>
      </w:pPr>
      <w:r>
        <w:t xml:space="preserve">The PCR reaction consists of mixing your template DNA with two primers: short sequences of DNA that are complementary to the ends of the region you want to amplify. The forward primer binds to one strand at the beginning of the region, and the reverse primer binds to the complementary strand at the end of the region. Primers are designed using computer databases of gene sequences, and synthesized chemically. In addition to the primers, Taq polymerase (or a synthetic polymerase enzyme), and your DNA, the PCR reaction also needs a buffer containing MgCl2 and dNTPs (the four bases of DNA). The reaction is run on a machine called a thermal cycler, which automatically heats the reaction first to 95 °C to melt the double-stranded DNA (break H-bonds between strands), then to about 53 °C to allow the primers to anneal to the template DNA, and finally to 72 °C to allow the polymerase to add dNTPs and extend the product. Typically, scientists run 25-35 cycles of this reaction, producing 225 - 235 copies of the target region.</w:t>
      </w:r>
    </w:p>
    <w:p>
      <w:pPr>
        <w:pStyle w:val="BodyText"/>
      </w:pPr>
      <w:r>
        <w:t xml:space="preserve">Figure 1: rDNA region containing the variable regions ITS-1 and ITS-2. Our forward primer (ITS-1F) will target a portion of the SSU and our reverse primer (ITS4) will target a portion of the LSU. Thereby, amplifying both variable regions and the 5.8S subunit.</w:t>
      </w:r>
    </w:p>
    <w:bookmarkEnd w:id="187"/>
    <w:bookmarkStart w:id="188" w:name="materials-3"/>
    <w:p>
      <w:pPr>
        <w:pStyle w:val="Heading4"/>
      </w:pPr>
      <w:r>
        <w:t xml:space="preserve">Materials</w:t>
      </w:r>
    </w:p>
    <w:p>
      <w:pPr>
        <w:pStyle w:val="Compact"/>
        <w:numPr>
          <w:ilvl w:val="0"/>
          <w:numId w:val="1193"/>
        </w:numPr>
      </w:pPr>
      <w:r>
        <w:t xml:space="preserve">DNA extraction kit</w:t>
      </w:r>
    </w:p>
    <w:p>
      <w:pPr>
        <w:pStyle w:val="Compact"/>
        <w:numPr>
          <w:ilvl w:val="0"/>
          <w:numId w:val="1194"/>
        </w:numPr>
      </w:pPr>
      <w:r>
        <w:t xml:space="preserve">Control DNA sample</w:t>
      </w:r>
    </w:p>
    <w:p>
      <w:pPr>
        <w:pStyle w:val="Compact"/>
        <w:numPr>
          <w:ilvl w:val="0"/>
          <w:numId w:val="1195"/>
        </w:numPr>
      </w:pPr>
      <w:r>
        <w:t xml:space="preserve">0.2 mL PCR tubes</w:t>
      </w:r>
    </w:p>
    <w:p>
      <w:pPr>
        <w:pStyle w:val="Compact"/>
        <w:numPr>
          <w:ilvl w:val="0"/>
          <w:numId w:val="1196"/>
        </w:numPr>
      </w:pPr>
      <w:r>
        <w:t xml:space="preserve">P10 micropipette with tips</w:t>
      </w:r>
    </w:p>
    <w:p>
      <w:pPr>
        <w:pStyle w:val="Compact"/>
        <w:numPr>
          <w:ilvl w:val="0"/>
          <w:numId w:val="1197"/>
        </w:numPr>
      </w:pPr>
      <w:r>
        <w:t xml:space="preserve">P20 micropipette with tips</w:t>
      </w:r>
    </w:p>
    <w:p>
      <w:pPr>
        <w:pStyle w:val="Compact"/>
        <w:numPr>
          <w:ilvl w:val="0"/>
          <w:numId w:val="1198"/>
        </w:numPr>
      </w:pPr>
      <w:r>
        <w:t xml:space="preserve">P200 micropipette with tips</w:t>
      </w:r>
    </w:p>
    <w:p>
      <w:pPr>
        <w:pStyle w:val="Compact"/>
        <w:numPr>
          <w:ilvl w:val="0"/>
          <w:numId w:val="1199"/>
        </w:numPr>
      </w:pPr>
      <w:r>
        <w:t xml:space="preserve">P1000 micropipette with tips</w:t>
      </w:r>
    </w:p>
    <w:p>
      <w:pPr>
        <w:pStyle w:val="Compact"/>
        <w:numPr>
          <w:ilvl w:val="0"/>
          <w:numId w:val="1200"/>
        </w:numPr>
      </w:pPr>
      <w:r>
        <w:t xml:space="preserve">Master mix containing buffer (MgCl2, dNTPs, primers, polymerase enzyme)</w:t>
      </w:r>
    </w:p>
    <w:p>
      <w:pPr>
        <w:pStyle w:val="Compact"/>
        <w:numPr>
          <w:ilvl w:val="0"/>
          <w:numId w:val="1201"/>
        </w:numPr>
      </w:pPr>
      <w:r>
        <w:t xml:space="preserve">PCR tube centrifuge</w:t>
      </w:r>
    </w:p>
    <w:p>
      <w:pPr>
        <w:pStyle w:val="Compact"/>
        <w:numPr>
          <w:ilvl w:val="0"/>
          <w:numId w:val="1202"/>
        </w:numPr>
      </w:pPr>
      <w:r>
        <w:t xml:space="preserve">Thermal cycler</w:t>
      </w:r>
    </w:p>
    <w:bookmarkEnd w:id="188"/>
    <w:bookmarkStart w:id="189" w:name="procedures-1"/>
    <w:p>
      <w:pPr>
        <w:pStyle w:val="Heading4"/>
      </w:pPr>
      <w:r>
        <w:t xml:space="preserve">Procedures</w:t>
      </w:r>
    </w:p>
    <w:p>
      <w:pPr>
        <w:pStyle w:val="FirstParagraph"/>
      </w:pPr>
      <w:r>
        <w:t xml:space="preserve">We will run 20 µL PCR reactions</w:t>
      </w:r>
      <w:r>
        <w:t xml:space="preserve"> </w:t>
      </w:r>
      <w:r>
        <w:t xml:space="preserve">1. Add 18 µL of PCR master mix (contains PCR buffer, polymerase enzyme, dNTPs, and primers) to one PCR tube per sample. You can use the same pipette tip to aliquot master mix to PCR tubes.</w:t>
      </w:r>
      <w:r>
        <w:t xml:space="preserve"> </w:t>
      </w:r>
      <w:r>
        <w:rPr>
          <w:b/>
          <w:bCs/>
        </w:rPr>
        <w:t xml:space="preserve">Caution:</w:t>
      </w:r>
      <w:r>
        <w:t xml:space="preserve"> </w:t>
      </w:r>
      <w:r>
        <w:t xml:space="preserve">Cap all PCR tubes when not in use to avoid cross-contamination.</w:t>
      </w:r>
    </w:p>
    <w:p>
      <w:pPr>
        <w:pStyle w:val="Compact"/>
        <w:numPr>
          <w:ilvl w:val="0"/>
          <w:numId w:val="1203"/>
        </w:numPr>
      </w:pPr>
      <w:r>
        <w:t xml:space="preserve">Dilute DNA 1:10 (2 µl of DNA + 18 µL of DS)</w:t>
      </w:r>
    </w:p>
    <w:p>
      <w:pPr>
        <w:pStyle w:val="Compact"/>
        <w:numPr>
          <w:ilvl w:val="0"/>
          <w:numId w:val="1203"/>
        </w:numPr>
      </w:pPr>
      <w:r>
        <w:t xml:space="preserve">Transfer 2 µL of your 1:10 diluted DNA to one PCR tube containing master mix.</w:t>
      </w:r>
      <w:r>
        <w:t xml:space="preserve"> </w:t>
      </w:r>
      <w:r>
        <w:t xml:space="preserve">NOTE: Only one sample per tube and make sure to use a fresh tip for each sample to avoid cross-contamination.</w:t>
      </w:r>
    </w:p>
    <w:p>
      <w:pPr>
        <w:pStyle w:val="Compact"/>
        <w:numPr>
          <w:ilvl w:val="0"/>
          <w:numId w:val="1203"/>
        </w:numPr>
      </w:pPr>
      <w:r>
        <w:t xml:space="preserve">Spin down your tubes before placing them in the thermal cycler. Run the reaction and observe the temperature cycles. After the reactions are finished, we will store your PCR products at -20 °C.</w:t>
      </w:r>
    </w:p>
    <w:bookmarkEnd w:id="189"/>
    <w:bookmarkStart w:id="190" w:name="X7a9437114b66a535474c7c1f8d36e2e2fb635f1"/>
    <w:p>
      <w:pPr>
        <w:pStyle w:val="Heading4"/>
      </w:pPr>
      <w:r>
        <w:t xml:space="preserve">PCR Troubleshooting after Gel Electrophoresis</w:t>
      </w:r>
    </w:p>
    <w:p>
      <w:pPr>
        <w:pStyle w:val="Compact"/>
        <w:numPr>
          <w:ilvl w:val="0"/>
          <w:numId w:val="1204"/>
        </w:numPr>
      </w:pPr>
      <w:r>
        <w:t xml:space="preserve">No amplification on any samples: check primers, polymerase, and other reagents.</w:t>
      </w:r>
    </w:p>
    <w:p>
      <w:pPr>
        <w:pStyle w:val="Compact"/>
        <w:numPr>
          <w:ilvl w:val="0"/>
          <w:numId w:val="1204"/>
        </w:numPr>
      </w:pPr>
      <w:r>
        <w:t xml:space="preserve">Positive control OK, but samples show no amplification: Try dilutions of samples to check for inhibitors. Try a control with a primer set for common organisms to check that you can PCR something. Check the DNA amount.</w:t>
      </w:r>
    </w:p>
    <w:p>
      <w:pPr>
        <w:pStyle w:val="Compact"/>
        <w:numPr>
          <w:ilvl w:val="0"/>
          <w:numId w:val="1204"/>
        </w:numPr>
      </w:pPr>
      <w:r>
        <w:t xml:space="preserve">Weak or multiple bands, smear: Mispriming from the incorrect program. Check primer concentration: an imbalance of primers can lead to multiple bands.</w:t>
      </w:r>
    </w:p>
    <w:bookmarkEnd w:id="190"/>
    <w:bookmarkEnd w:id="191"/>
    <w:bookmarkStart w:id="196" w:name="Xa56d1bcb59fce4b4b930a83e03267d90d70e02d"/>
    <w:p>
      <w:pPr>
        <w:pStyle w:val="Heading3"/>
      </w:pPr>
      <w:r>
        <w:t xml:space="preserve">Part III: Gel Electrophoresis Introduction</w:t>
      </w:r>
    </w:p>
    <w:p>
      <w:pPr>
        <w:pStyle w:val="FirstParagraph"/>
      </w:pPr>
      <w:r>
        <w:t xml:space="preserve">Gel electrophoresis is a technique used to separate and analyze DNA based on fragment sizes and to verify the success of PCR. Gel electrophoresis separates DNA molecules based on size by applying an electrical current to either side of the gel. Since DNA is negatively charged, we load our DNA on the positive side of the gel to allow it to run toward the positive side of the gel when power is applied. The agarose gel allows the separation of DNA fragments based on size as the polysaccharide matrix acts as a sieve allowing small fragments to migrate faster and larger fragments slower.</w:t>
      </w:r>
    </w:p>
    <w:p>
      <w:pPr>
        <w:pStyle w:val="BodyText"/>
      </w:pPr>
      <w:r>
        <w:t xml:space="preserve">Today, we will use gel electrophoresis to verify the success of our PCR reaction. We are looking for PCR product bands between</w:t>
      </w:r>
    </w:p>
    <w:bookmarkStart w:id="192" w:name="X1d0f71b5e6ce6f8901c0f085ed862647f0d1b0d"/>
    <w:p>
      <w:pPr>
        <w:pStyle w:val="Heading4"/>
      </w:pPr>
      <w:r>
        <w:t xml:space="preserve">Prep 1% agarose gels for gel electrophoresis</w:t>
      </w:r>
    </w:p>
    <w:p>
      <w:pPr>
        <w:pStyle w:val="FirstParagraph"/>
      </w:pPr>
      <w:r>
        <w:t xml:space="preserve">To give enough time for the gel to cool and solidify, this task should be done in the first hour of the lab.</w:t>
      </w:r>
    </w:p>
    <w:bookmarkEnd w:id="192"/>
    <w:bookmarkStart w:id="193" w:name="materials-needed-1"/>
    <w:p>
      <w:pPr>
        <w:pStyle w:val="Heading4"/>
      </w:pPr>
      <w:r>
        <w:t xml:space="preserve">Materials Needed</w:t>
      </w:r>
    </w:p>
    <w:p>
      <w:pPr>
        <w:pStyle w:val="Compact"/>
        <w:numPr>
          <w:ilvl w:val="0"/>
          <w:numId w:val="1205"/>
        </w:numPr>
      </w:pPr>
      <w:r>
        <w:t xml:space="preserve">Agarose</w:t>
      </w:r>
    </w:p>
    <w:p>
      <w:pPr>
        <w:pStyle w:val="Compact"/>
        <w:numPr>
          <w:ilvl w:val="0"/>
          <w:numId w:val="1205"/>
        </w:numPr>
      </w:pPr>
      <w:r>
        <w:t xml:space="preserve">1X TAE (or TE, TBE, or SB) buffer to make gels and running buffer</w:t>
      </w:r>
      <w:r>
        <w:t xml:space="preserve"> </w:t>
      </w:r>
      <w:r>
        <w:t xml:space="preserve">Note: Use the same buffer for making and running the gel</w:t>
      </w:r>
    </w:p>
    <w:p>
      <w:pPr>
        <w:pStyle w:val="Compact"/>
        <w:numPr>
          <w:ilvl w:val="0"/>
          <w:numId w:val="1205"/>
        </w:numPr>
      </w:pPr>
      <w:r>
        <w:t xml:space="preserve">SYBR Safe to visualize DNA</w:t>
      </w:r>
    </w:p>
    <w:p>
      <w:pPr>
        <w:pStyle w:val="Compact"/>
        <w:numPr>
          <w:ilvl w:val="0"/>
          <w:numId w:val="1205"/>
        </w:numPr>
      </w:pPr>
      <w:r>
        <w:t xml:space="preserve">250 mL Erlenmeyer Flask</w:t>
      </w:r>
    </w:p>
    <w:p>
      <w:pPr>
        <w:pStyle w:val="Compact"/>
        <w:numPr>
          <w:ilvl w:val="0"/>
          <w:numId w:val="1205"/>
        </w:numPr>
      </w:pPr>
      <w:r>
        <w:t xml:space="preserve">P20 micropipette with tips</w:t>
      </w:r>
    </w:p>
    <w:p>
      <w:pPr>
        <w:pStyle w:val="Compact"/>
        <w:numPr>
          <w:ilvl w:val="0"/>
          <w:numId w:val="1205"/>
        </w:numPr>
      </w:pPr>
      <w:r>
        <w:t xml:space="preserve">PCR products</w:t>
      </w:r>
    </w:p>
    <w:p>
      <w:pPr>
        <w:pStyle w:val="Compact"/>
        <w:numPr>
          <w:ilvl w:val="0"/>
          <w:numId w:val="1205"/>
        </w:numPr>
      </w:pPr>
      <w:r>
        <w:t xml:space="preserve">100 bp Ladder</w:t>
      </w:r>
    </w:p>
    <w:p>
      <w:pPr>
        <w:pStyle w:val="Compact"/>
        <w:numPr>
          <w:ilvl w:val="0"/>
          <w:numId w:val="1205"/>
        </w:numPr>
      </w:pPr>
      <w:r>
        <w:t xml:space="preserve">Digital Balance</w:t>
      </w:r>
    </w:p>
    <w:p>
      <w:pPr>
        <w:pStyle w:val="Compact"/>
        <w:numPr>
          <w:ilvl w:val="0"/>
          <w:numId w:val="1205"/>
        </w:numPr>
      </w:pPr>
      <w:r>
        <w:t xml:space="preserve">Weigh Boats</w:t>
      </w:r>
    </w:p>
    <w:p>
      <w:pPr>
        <w:pStyle w:val="Compact"/>
        <w:numPr>
          <w:ilvl w:val="0"/>
          <w:numId w:val="1205"/>
        </w:numPr>
      </w:pPr>
      <w:r>
        <w:t xml:space="preserve">Gel rigs</w:t>
      </w:r>
    </w:p>
    <w:p>
      <w:pPr>
        <w:pStyle w:val="Compact"/>
        <w:numPr>
          <w:ilvl w:val="0"/>
          <w:numId w:val="1205"/>
        </w:numPr>
      </w:pPr>
      <w:r>
        <w:t xml:space="preserve">Gel comb</w:t>
      </w:r>
    </w:p>
    <w:p>
      <w:pPr>
        <w:pStyle w:val="Compact"/>
        <w:numPr>
          <w:ilvl w:val="0"/>
          <w:numId w:val="1205"/>
        </w:numPr>
      </w:pPr>
      <w:r>
        <w:t xml:space="preserve">Power source</w:t>
      </w:r>
    </w:p>
    <w:bookmarkEnd w:id="193"/>
    <w:bookmarkStart w:id="194" w:name="X27e3611931edb00682f71c58d3e85dfeecf25c4"/>
    <w:p>
      <w:pPr>
        <w:pStyle w:val="Heading4"/>
      </w:pPr>
      <w:r>
        <w:t xml:space="preserve">Gel Preparation Protocol (Prep gel at least 20 minutes prior to use)</w:t>
      </w:r>
    </w:p>
    <w:p>
      <w:pPr>
        <w:pStyle w:val="Compact"/>
        <w:numPr>
          <w:ilvl w:val="0"/>
          <w:numId w:val="1206"/>
        </w:numPr>
      </w:pPr>
      <w:r>
        <w:t xml:space="preserve">Measure 100 mL of 1x TE buffer in an Erlenmeyer flask.</w:t>
      </w:r>
    </w:p>
    <w:p>
      <w:pPr>
        <w:pStyle w:val="Compact"/>
        <w:numPr>
          <w:ilvl w:val="0"/>
          <w:numId w:val="1206"/>
        </w:numPr>
      </w:pPr>
      <w:r>
        <w:t xml:space="preserve">Add 1 gram of agarose to the buffer.</w:t>
      </w:r>
    </w:p>
    <w:p>
      <w:pPr>
        <w:pStyle w:val="Compact"/>
        <w:numPr>
          <w:ilvl w:val="0"/>
          <w:numId w:val="1206"/>
        </w:numPr>
      </w:pPr>
      <w:r>
        <w:t xml:space="preserve">Microwave for 30-second intervals.</w:t>
      </w:r>
    </w:p>
    <w:p>
      <w:pPr>
        <w:pStyle w:val="Compact"/>
        <w:numPr>
          <w:ilvl w:val="0"/>
          <w:numId w:val="1206"/>
        </w:numPr>
      </w:pPr>
      <w:r>
        <w:t xml:space="preserve">Remove and swirl after each interval. If you still see un-melted agarose, continue in 30-second intervals until completely melted. If the agarose starts to boil, stop the microwave immediately to prevent it from boiling over.</w:t>
      </w:r>
    </w:p>
    <w:p>
      <w:pPr>
        <w:pStyle w:val="Compact"/>
        <w:numPr>
          <w:ilvl w:val="0"/>
          <w:numId w:val="1206"/>
        </w:numPr>
      </w:pPr>
      <w:r>
        <w:t xml:space="preserve">Once all the agarose is melted, let sit on the counter until it cools enough to handle. Don’t let it cool too long as it will solidify.</w:t>
      </w:r>
    </w:p>
    <w:p>
      <w:pPr>
        <w:pStyle w:val="Compact"/>
        <w:numPr>
          <w:ilvl w:val="0"/>
          <w:numId w:val="1206"/>
        </w:numPr>
      </w:pPr>
      <w:r>
        <w:t xml:space="preserve">Set up the agarose mold and add a comb.</w:t>
      </w:r>
    </w:p>
    <w:p>
      <w:pPr>
        <w:pStyle w:val="Compact"/>
        <w:numPr>
          <w:ilvl w:val="0"/>
          <w:numId w:val="1206"/>
        </w:numPr>
      </w:pPr>
      <w:r>
        <w:t xml:space="preserve">Once the agarose has cooled to the touch. Pour into the mold. Make sure the agarose is approximately 1/3 to 1/2 way up the combs.</w:t>
      </w:r>
    </w:p>
    <w:p>
      <w:pPr>
        <w:pStyle w:val="Compact"/>
        <w:numPr>
          <w:ilvl w:val="0"/>
          <w:numId w:val="1206"/>
        </w:numPr>
      </w:pPr>
      <w:r>
        <w:t xml:space="preserve">If bubbles are present, use a micropipette tip to draw them to the sides of the gel.</w:t>
      </w:r>
    </w:p>
    <w:p>
      <w:pPr>
        <w:pStyle w:val="Compact"/>
        <w:numPr>
          <w:ilvl w:val="0"/>
          <w:numId w:val="1206"/>
        </w:numPr>
      </w:pPr>
      <w:r>
        <w:t xml:space="preserve">Allow approximately 20 minutes for the gel to solidify and become somewhat translucent.</w:t>
      </w:r>
    </w:p>
    <w:p>
      <w:pPr>
        <w:pStyle w:val="Compact"/>
        <w:numPr>
          <w:ilvl w:val="0"/>
          <w:numId w:val="1206"/>
        </w:numPr>
      </w:pPr>
      <w:r>
        <w:t xml:space="preserve">Gently remove the comb.</w:t>
      </w:r>
    </w:p>
    <w:p>
      <w:pPr>
        <w:pStyle w:val="Compact"/>
        <w:numPr>
          <w:ilvl w:val="0"/>
          <w:numId w:val="1206"/>
        </w:numPr>
      </w:pPr>
      <w:r>
        <w:t xml:space="preserve">Remove gel from casting mold and place in gel rig. The gel rig is oriented to</w:t>
      </w:r>
      <w:r>
        <w:t xml:space="preserve"> </w:t>
      </w:r>
      <w:r>
        <w:t xml:space="preserve">“run to red.”</w:t>
      </w:r>
      <w:r>
        <w:t xml:space="preserve"> </w:t>
      </w:r>
      <w:r>
        <w:t xml:space="preserve">Place the wells created from the comb towards the black electrode, opposite the red electrode.</w:t>
      </w:r>
    </w:p>
    <w:p>
      <w:pPr>
        <w:pStyle w:val="Compact"/>
        <w:numPr>
          <w:ilvl w:val="0"/>
          <w:numId w:val="1206"/>
        </w:numPr>
      </w:pPr>
      <w:r>
        <w:t xml:space="preserve">Gels can be wrapped in saran wrap and stored for approximately 1 week.</w:t>
      </w:r>
    </w:p>
    <w:bookmarkEnd w:id="194"/>
    <w:bookmarkStart w:id="195" w:name="gel-loading"/>
    <w:p>
      <w:pPr>
        <w:pStyle w:val="Heading4"/>
      </w:pPr>
      <w:r>
        <w:t xml:space="preserve">Gel Loading</w:t>
      </w:r>
    </w:p>
    <w:p>
      <w:pPr>
        <w:pStyle w:val="Compact"/>
        <w:numPr>
          <w:ilvl w:val="0"/>
          <w:numId w:val="1207"/>
        </w:numPr>
      </w:pPr>
      <w:r>
        <w:t xml:space="preserve">Fill the gel rig with 1X TAE (or equivalent) buffer until it covers the surface of the gel.</w:t>
      </w:r>
    </w:p>
    <w:p>
      <w:pPr>
        <w:pStyle w:val="Compact"/>
        <w:numPr>
          <w:ilvl w:val="0"/>
          <w:numId w:val="1207"/>
        </w:numPr>
      </w:pPr>
      <w:r>
        <w:t xml:space="preserve">Make a map of your samples in your gel.</w:t>
      </w:r>
    </w:p>
    <w:p>
      <w:pPr>
        <w:pStyle w:val="Compact"/>
        <w:numPr>
          <w:ilvl w:val="0"/>
          <w:numId w:val="1207"/>
        </w:numPr>
      </w:pPr>
      <w:r>
        <w:t xml:space="preserve">Load Gel</w:t>
      </w:r>
    </w:p>
    <w:p>
      <w:pPr>
        <w:pStyle w:val="Compact"/>
        <w:numPr>
          <w:ilvl w:val="1"/>
          <w:numId w:val="1208"/>
        </w:numPr>
      </w:pPr>
      <w:r>
        <w:t xml:space="preserve">PCR product without loading dye: Using a micropipettor add drops (less than 1 μL) of loading dye to the plastic side of parafilm. Add 5 μL PCR product to loading dye. Swirl with pipette tip. Draw up the product and proceed to step 4.</w:t>
      </w:r>
    </w:p>
    <w:p>
      <w:pPr>
        <w:pStyle w:val="Compact"/>
        <w:numPr>
          <w:ilvl w:val="1"/>
          <w:numId w:val="1208"/>
        </w:numPr>
      </w:pPr>
      <w:r>
        <w:t xml:space="preserve">PCR product with loading dye: Draw up 5 μL of PCR product using micropipette.</w:t>
      </w:r>
    </w:p>
    <w:p>
      <w:pPr>
        <w:pStyle w:val="Compact"/>
        <w:numPr>
          <w:ilvl w:val="0"/>
          <w:numId w:val="1207"/>
        </w:numPr>
      </w:pPr>
      <w:r>
        <w:t xml:space="preserve">Dip pipette tip into the submerged well very carefully, without piercing through the gel. Depress the pipette slowly. Too much pressure or speed will force the sample out of the well. Without releasing the plunger, draw out the pipette. If you release the plunger, you will draw your sample back into the pipette.</w:t>
      </w:r>
    </w:p>
    <w:p>
      <w:pPr>
        <w:pStyle w:val="Compact"/>
        <w:numPr>
          <w:ilvl w:val="0"/>
          <w:numId w:val="1207"/>
        </w:numPr>
      </w:pPr>
      <w:r>
        <w:t xml:space="preserve">Be sure to reserve one well per row for a standardized DNA ladder.</w:t>
      </w:r>
    </w:p>
    <w:p>
      <w:pPr>
        <w:pStyle w:val="Compact"/>
        <w:numPr>
          <w:ilvl w:val="0"/>
          <w:numId w:val="1207"/>
        </w:numPr>
      </w:pPr>
      <w:r>
        <w:t xml:space="preserve">Run at 300 volts for about 15 minutes</w:t>
      </w:r>
    </w:p>
    <w:p>
      <w:pPr>
        <w:pStyle w:val="Compact"/>
        <w:numPr>
          <w:ilvl w:val="1"/>
          <w:numId w:val="1209"/>
        </w:numPr>
      </w:pPr>
      <w:r>
        <w:t xml:space="preserve">Keep an eye on the migration of your PCR product across the gel to ensure it doesn’t run off the other end of the gel.</w:t>
      </w:r>
    </w:p>
    <w:p>
      <w:pPr>
        <w:pStyle w:val="Compact"/>
        <w:numPr>
          <w:ilvl w:val="0"/>
          <w:numId w:val="1207"/>
        </w:numPr>
      </w:pPr>
      <w:r>
        <w:t xml:space="preserve">Visualize with UV light.</w:t>
      </w:r>
    </w:p>
    <w:bookmarkEnd w:id="195"/>
    <w:bookmarkEnd w:id="196"/>
    <w:bookmarkStart w:id="197" w:name="part-iv-pcr-cleanup"/>
    <w:p>
      <w:pPr>
        <w:pStyle w:val="Heading3"/>
      </w:pPr>
      <w:r>
        <w:t xml:space="preserve">Part IV: PCR Cleanup</w:t>
      </w:r>
    </w:p>
    <w:p>
      <w:pPr>
        <w:pStyle w:val="FirstParagraph"/>
      </w:pPr>
      <w:r>
        <w:t xml:space="preserve">In order to sequence PCR products, the primers and other contaminants must be removed.</w:t>
      </w:r>
      <w:r>
        <w:t xml:space="preserve"> </w:t>
      </w:r>
      <w:r>
        <w:t xml:space="preserve">1. Remove ExoSAP-IT™ reagent from –20 °C freezer and keep on ice throughout this procedure.</w:t>
      </w:r>
      <w:r>
        <w:t xml:space="preserve"> </w:t>
      </w:r>
      <w:r>
        <w:t xml:space="preserve">2. Mix 5 µL of a post-PCR reaction product with 2 µL of ExoSAPIT™ reagent for a combined 7 µL reaction volume. When treating PCR product volumes greater than 5 µL, simply increase the amount of ExoSAP-IT™ reagent proportionally.</w:t>
      </w:r>
      <w:r>
        <w:t xml:space="preserve"> </w:t>
      </w:r>
      <w:r>
        <w:t xml:space="preserve">3. Incubate at 37 °C for 15 minutes to degrade remaining primers and nucleotides.</w:t>
      </w:r>
      <w:r>
        <w:t xml:space="preserve"> </w:t>
      </w:r>
      <w:r>
        <w:t xml:space="preserve">4. Incubate at 80 °C for 15 minutes to inactivate ExoSAP-IT™ reagent.</w:t>
      </w:r>
      <w:r>
        <w:t xml:space="preserve"> </w:t>
      </w:r>
      <w:r>
        <w:t xml:space="preserve">5. The PCR product is now ready for use in DNA sequencing. Treated PCR products may be stored at –20°C until required</w:t>
      </w:r>
    </w:p>
    <w:bookmarkEnd w:id="197"/>
    <w:bookmarkStart w:id="198" w:name="part-v-sanger-sequencing"/>
    <w:p>
      <w:pPr>
        <w:pStyle w:val="Heading3"/>
      </w:pPr>
      <w:r>
        <w:t xml:space="preserve">Part V: Sanger Sequencing</w:t>
      </w:r>
    </w:p>
    <w:p>
      <w:pPr>
        <w:pStyle w:val="FirstParagraph"/>
      </w:pPr>
      <w:r>
        <w:t xml:space="preserve">Your cleaned PCR product will be sent to an external facility for Sanger sequencing.</w:t>
      </w:r>
    </w:p>
    <w:bookmarkEnd w:id="198"/>
    <w:bookmarkStart w:id="200" w:name="X119230681215c553508703bd9b858aabc863314"/>
    <w:p>
      <w:pPr>
        <w:pStyle w:val="Heading3"/>
      </w:pPr>
      <w:r>
        <w:t xml:space="preserve">Part VI: Identifying Species using DNA Barcode</w:t>
      </w:r>
    </w:p>
    <w:bookmarkStart w:id="199" w:name="identify-your-sequence-data-using-blast"/>
    <w:p>
      <w:pPr>
        <w:pStyle w:val="Heading4"/>
      </w:pPr>
      <w:r>
        <w:t xml:space="preserve">Identify your sequence data using BLAST</w:t>
      </w:r>
    </w:p>
    <w:p>
      <w:pPr>
        <w:pStyle w:val="FirstParagraph"/>
      </w:pPr>
      <w:r>
        <w:t xml:space="preserve">To identify the sequence you’ve produced and determine if it represents the specimen you’ve sequenced and not some other contaminant, you can compare the sequence to a database of reference sequences. This is from the National Center for Biotechnology Information’s (NCBI) Genbank database.</w:t>
      </w:r>
    </w:p>
    <w:p>
      <w:pPr>
        <w:pStyle w:val="Compact"/>
        <w:numPr>
          <w:ilvl w:val="0"/>
          <w:numId w:val="1210"/>
        </w:numPr>
      </w:pPr>
      <w:r>
        <w:t xml:space="preserve">Go to NCBI: https://www.ncbi.nlm.nih.gov/.</w:t>
      </w:r>
    </w:p>
    <w:p>
      <w:pPr>
        <w:pStyle w:val="Compact"/>
        <w:numPr>
          <w:ilvl w:val="0"/>
          <w:numId w:val="1210"/>
        </w:numPr>
      </w:pPr>
      <w:r>
        <w:t xml:space="preserve">Click on</w:t>
      </w:r>
      <w:r>
        <w:t xml:space="preserve"> </w:t>
      </w:r>
      <w:r>
        <w:t xml:space="preserve">“BLAST”</w:t>
      </w:r>
      <w:r>
        <w:t xml:space="preserve"> </w:t>
      </w:r>
      <w:r>
        <w:t xml:space="preserve">in the right-hand column under</w:t>
      </w:r>
      <w:r>
        <w:t xml:space="preserve"> </w:t>
      </w:r>
      <w:r>
        <w:t xml:space="preserve">“Popular Resources”</w:t>
      </w:r>
    </w:p>
    <w:p>
      <w:pPr>
        <w:pStyle w:val="Compact"/>
        <w:numPr>
          <w:ilvl w:val="1"/>
          <w:numId w:val="1211"/>
        </w:numPr>
      </w:pPr>
      <w:r>
        <w:t xml:space="preserve">BLAST = Basic Local Alignment Search Tool</w:t>
      </w:r>
    </w:p>
    <w:p>
      <w:pPr>
        <w:pStyle w:val="Compact"/>
        <w:numPr>
          <w:ilvl w:val="0"/>
          <w:numId w:val="1210"/>
        </w:numPr>
      </w:pPr>
      <w:r>
        <w:t xml:space="preserve">Click on the Nucleotide BLAST image.</w:t>
      </w:r>
    </w:p>
    <w:p>
      <w:pPr>
        <w:pStyle w:val="Compact"/>
        <w:numPr>
          <w:ilvl w:val="1"/>
          <w:numId w:val="1212"/>
        </w:numPr>
      </w:pPr>
      <w:r>
        <w:t xml:space="preserve">There are numerous BLAST options depending on the data you are working with. The two basics are nucleotides and amino acid (=Protein) sequence BLASTS. The blastx and blastn options allow you to convert these sequences into the complementary format.</w:t>
      </w:r>
    </w:p>
    <w:p>
      <w:pPr>
        <w:pStyle w:val="Compact"/>
        <w:numPr>
          <w:ilvl w:val="0"/>
          <w:numId w:val="1210"/>
        </w:numPr>
      </w:pPr>
      <w:r>
        <w:t xml:space="preserve">Paste your sequence data into the big space under</w:t>
      </w:r>
      <w:r>
        <w:t xml:space="preserve"> </w:t>
      </w:r>
      <w:r>
        <w:t xml:space="preserve">“Enter Query Sequence”</w:t>
      </w:r>
      <w:r>
        <w:t xml:space="preserve">.</w:t>
      </w:r>
    </w:p>
    <w:p>
      <w:pPr>
        <w:pStyle w:val="Compact"/>
        <w:numPr>
          <w:ilvl w:val="1"/>
          <w:numId w:val="1213"/>
        </w:numPr>
      </w:pPr>
      <w:r>
        <w:t xml:space="preserve">Open your FASTA file and select your sequences. This is the DNA sequence from the beginning of the</w:t>
      </w:r>
      <w:r>
        <w:t xml:space="preserve"> </w:t>
      </w:r>
      <w:r>
        <w:t xml:space="preserve">“&gt;”</w:t>
      </w:r>
      <w:r>
        <w:t xml:space="preserve"> </w:t>
      </w:r>
      <w:r>
        <w:t xml:space="preserve">symbol, all the way to the end (e.g., the beginning of the next</w:t>
      </w:r>
      <w:r>
        <w:t xml:space="preserve"> </w:t>
      </w:r>
      <w:r>
        <w:t xml:space="preserve">“&gt;”</w:t>
      </w:r>
      <w:r>
        <w:t xml:space="preserve"> </w:t>
      </w:r>
      <w:r>
        <w:t xml:space="preserve">symbol).</w:t>
      </w:r>
    </w:p>
    <w:p>
      <w:pPr>
        <w:pStyle w:val="Compact"/>
        <w:numPr>
          <w:ilvl w:val="0"/>
          <w:numId w:val="1210"/>
        </w:numPr>
      </w:pPr>
      <w:r>
        <w:t xml:space="preserve">Under Choose Search Set you can keep it under</w:t>
      </w:r>
      <w:r>
        <w:t xml:space="preserve"> </w:t>
      </w:r>
      <w:r>
        <w:t xml:space="preserve">“Standard databases (nr etc.)”</w:t>
      </w:r>
      <w:r>
        <w:t xml:space="preserve">.</w:t>
      </w:r>
    </w:p>
    <w:p>
      <w:pPr>
        <w:pStyle w:val="Compact"/>
        <w:numPr>
          <w:ilvl w:val="1"/>
          <w:numId w:val="1214"/>
        </w:numPr>
      </w:pPr>
      <w:r>
        <w:t xml:space="preserve">You can come back and re-perform the BLAST using the</w:t>
      </w:r>
      <w:r>
        <w:t xml:space="preserve"> </w:t>
      </w:r>
      <w:r>
        <w:t xml:space="preserve">“rRNA/ITS databases”</w:t>
      </w:r>
      <w:r>
        <w:t xml:space="preserve">. After selecting this, choose</w:t>
      </w:r>
      <w:r>
        <w:t xml:space="preserve"> </w:t>
      </w:r>
      <w:r>
        <w:t xml:space="preserve">“Internal transcribed spacer region (ITS) from Fungi type and reference material”</w:t>
      </w:r>
      <w:r>
        <w:t xml:space="preserve">. This will be a much narrower database and set of comparisons, but the confidence in the results providing a correct ID will be</w:t>
      </w:r>
      <w:r>
        <w:t xml:space="preserve"> </w:t>
      </w:r>
      <w:r>
        <w:rPr>
          <w:i/>
          <w:iCs/>
        </w:rPr>
        <w:t xml:space="preserve">MUCH</w:t>
      </w:r>
      <w:r>
        <w:t xml:space="preserve"> </w:t>
      </w:r>
      <w:r>
        <w:t xml:space="preserve">higher.</w:t>
      </w:r>
    </w:p>
    <w:p>
      <w:pPr>
        <w:pStyle w:val="Compact"/>
        <w:numPr>
          <w:ilvl w:val="0"/>
          <w:numId w:val="1210"/>
        </w:numPr>
      </w:pPr>
      <w:r>
        <w:t xml:space="preserve">Select the</w:t>
      </w:r>
      <w:r>
        <w:t xml:space="preserve"> </w:t>
      </w:r>
      <w:r>
        <w:t xml:space="preserve">“BLAST”</w:t>
      </w:r>
      <w:r>
        <w:t xml:space="preserve"> </w:t>
      </w:r>
      <w:r>
        <w:t xml:space="preserve">button at the end.</w:t>
      </w:r>
    </w:p>
    <w:p>
      <w:pPr>
        <w:pStyle w:val="Compact"/>
        <w:numPr>
          <w:ilvl w:val="1"/>
          <w:numId w:val="1215"/>
        </w:numPr>
      </w:pPr>
      <w:r>
        <w:t xml:space="preserve">Genbank will then begin to query your sequence against sequences in the database. The top hit that comes back will be the sequence that is most like your sequence based on several stats.</w:t>
      </w:r>
    </w:p>
    <w:p>
      <w:pPr>
        <w:pStyle w:val="Compact"/>
        <w:numPr>
          <w:ilvl w:val="1"/>
          <w:numId w:val="1215"/>
        </w:numPr>
      </w:pPr>
      <w:r>
        <w:t xml:space="preserve">Percent Identity = What percent of your sequence (query sequence) is identical to the matched sequence.</w:t>
      </w:r>
    </w:p>
    <w:p>
      <w:pPr>
        <w:pStyle w:val="Compact"/>
        <w:numPr>
          <w:ilvl w:val="1"/>
          <w:numId w:val="1215"/>
        </w:numPr>
      </w:pPr>
      <w:r>
        <w:t xml:space="preserve">Query Cover = How much of the query sequence covers the matched sequence.</w:t>
      </w:r>
    </w:p>
    <w:p>
      <w:pPr>
        <w:pStyle w:val="Compact"/>
        <w:numPr>
          <w:ilvl w:val="1"/>
          <w:numId w:val="1215"/>
        </w:numPr>
      </w:pPr>
      <w:r>
        <w:t xml:space="preserve">E value = The probability that this match occurred by chance in the provided database.</w:t>
      </w:r>
    </w:p>
    <w:p>
      <w:pPr>
        <w:pStyle w:val="Compact"/>
        <w:numPr>
          <w:ilvl w:val="0"/>
          <w:numId w:val="1210"/>
        </w:numPr>
      </w:pPr>
      <w:r>
        <w:t xml:space="preserve">Review the results.</w:t>
      </w:r>
    </w:p>
    <w:p>
      <w:pPr>
        <w:pStyle w:val="Compact"/>
        <w:numPr>
          <w:ilvl w:val="1"/>
          <w:numId w:val="1216"/>
        </w:numPr>
      </w:pPr>
      <w:r>
        <w:t xml:space="preserve">What is the</w:t>
      </w:r>
      <w:r>
        <w:t xml:space="preserve"> </w:t>
      </w:r>
      <w:r>
        <w:t xml:space="preserve">“top hit”</w:t>
      </w:r>
      <w:r>
        <w:t xml:space="preserve">?</w:t>
      </w:r>
    </w:p>
    <w:p>
      <w:pPr>
        <w:pStyle w:val="Compact"/>
        <w:numPr>
          <w:ilvl w:val="1"/>
          <w:numId w:val="1216"/>
        </w:numPr>
      </w:pPr>
      <w:r>
        <w:t xml:space="preserve">How much support is provided for this hit given the current database used?</w:t>
      </w:r>
    </w:p>
    <w:p>
      <w:pPr>
        <w:pStyle w:val="Compact"/>
        <w:numPr>
          <w:ilvl w:val="1"/>
          <w:numId w:val="1216"/>
        </w:numPr>
      </w:pPr>
      <w:r>
        <w:t xml:space="preserve">What is the taxonomic ID of this result? What kind of fungi are these?</w:t>
      </w:r>
    </w:p>
    <w:p>
      <w:pPr>
        <w:pStyle w:val="Compact"/>
        <w:numPr>
          <w:ilvl w:val="1"/>
          <w:numId w:val="1216"/>
        </w:numPr>
      </w:pPr>
      <w:r>
        <w:t xml:space="preserve">You may google the names and search under Wikipedia to get a better understanding of these organisms and what is known.</w:t>
      </w:r>
    </w:p>
    <w:bookmarkEnd w:id="199"/>
    <w:bookmarkEnd w:id="200"/>
    <w:bookmarkStart w:id="201" w:name="Xcb8d6e6bb4bb243cf7eddf79d1da1ef522e8a0a"/>
    <w:p>
      <w:pPr>
        <w:pStyle w:val="Heading3"/>
      </w:pPr>
      <w:r>
        <w:t xml:space="preserve">Part VII: Data Management - Spreadsheets and iNaturalist</w:t>
      </w:r>
    </w:p>
    <w:p>
      <w:pPr>
        <w:pStyle w:val="FirstParagraph"/>
      </w:pPr>
      <w:r>
        <w:t xml:space="preserve">[Content for this part would continue from the protocols, but it’s cut off in the text]</w:t>
      </w:r>
    </w:p>
    <w:bookmarkEnd w:id="201"/>
    <w:bookmarkEnd w:id="202"/>
    <w:bookmarkEnd w:id="203"/>
    <w:bookmarkStart w:id="217" w:name="module-5-tissue-preparation"/>
    <w:p>
      <w:pPr>
        <w:pStyle w:val="Heading1"/>
      </w:pPr>
      <w:r>
        <w:t xml:space="preserve">Module 5: Tissue Preparation</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204" name="Picture"/>
                  <a:graphic>
                    <a:graphicData uri="http://schemas.openxmlformats.org/drawingml/2006/picture">
                      <pic:pic>
                        <pic:nvPicPr>
                          <pic:cNvPr descr="/opt/quarto/share/formats/docx/tip.png" id="205" name="Picture"/>
                          <pic:cNvPicPr>
                            <a:picLocks noChangeArrowheads="1" noChangeAspect="1"/>
                          </pic:cNvPicPr>
                        </pic:nvPicPr>
                        <pic:blipFill>
                          <a:blip r:embed="rId1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 Open Slides</w:t>
            </w:r>
          </w:p>
        </w:tc>
      </w:tr>
      <w:tr>
        <w:trPr>
          <w:cantSplit/>
        </w:trPr>
        <w:tc>
          <w:tcPr>
            <w:tcMar>
              <w:top w:w="108" w:type="dxa"/>
              <w:bottom w:w="108" w:type="dxa"/>
            </w:tcMar>
          </w:tcPr>
          <w:p>
            <w:pPr>
              <w:pStyle w:val="BodyText"/>
            </w:pPr>
            <w:pPr>
              <w:spacing w:before="16" w:after="16"/>
            </w:pPr>
            <w:hyperlink r:id="rId20">
              <w:r>
                <w:rPr>
                  <w:rStyle w:val="Hyperlink"/>
                </w:rPr>
                <w:t xml:space="preserve">Open Module 5 Slides</w:t>
              </w:r>
            </w:hyperlink>
          </w:p>
          <w:p/>
        </w:tc>
      </w:tr>
    </w:tbl>
    <w:bookmarkStart w:id="208" w:name="X0d17ba572a281133a22d073b368b9fbe73454ca"/>
    <w:p>
      <w:pPr>
        <w:pStyle w:val="Heading2"/>
      </w:pPr>
      <w:r>
        <w:t xml:space="preserve">Module 5.1 – Tissue Preparation for Genome Sequencing</w:t>
      </w:r>
    </w:p>
    <w:bookmarkStart w:id="207" w:name="Xaadd1af7be5342dd14d66f9d9ba06249647885a"/>
    <w:p>
      <w:pPr>
        <w:pStyle w:val="Heading3"/>
      </w:pPr>
      <w:r>
        <w:t xml:space="preserve">Instructor Laboratory Preparation Instructions</w:t>
      </w:r>
    </w:p>
    <w:bookmarkStart w:id="206" w:name="materials-and-equipment-7"/>
    <w:p>
      <w:pPr>
        <w:pStyle w:val="Heading4"/>
      </w:pPr>
      <w:r>
        <w:t xml:space="preserve">Materials and Equipment</w:t>
      </w:r>
    </w:p>
    <w:p>
      <w:pPr>
        <w:pStyle w:val="Compact"/>
        <w:numPr>
          <w:ilvl w:val="0"/>
          <w:numId w:val="1217"/>
        </w:numPr>
      </w:pPr>
      <w:r>
        <w:t xml:space="preserve">Autoclave</w:t>
      </w:r>
    </w:p>
    <w:p>
      <w:pPr>
        <w:pStyle w:val="Compact"/>
        <w:numPr>
          <w:ilvl w:val="0"/>
          <w:numId w:val="1218"/>
        </w:numPr>
      </w:pPr>
      <w:r>
        <w:t xml:space="preserve">Laminar Flow Hood (if available)</w:t>
      </w:r>
    </w:p>
    <w:p>
      <w:pPr>
        <w:pStyle w:val="Compact"/>
        <w:numPr>
          <w:ilvl w:val="0"/>
          <w:numId w:val="1219"/>
        </w:numPr>
      </w:pPr>
      <w:r>
        <w:t xml:space="preserve">Cellophane</w:t>
      </w:r>
    </w:p>
    <w:p>
      <w:pPr>
        <w:pStyle w:val="Compact"/>
        <w:numPr>
          <w:ilvl w:val="0"/>
          <w:numId w:val="1220"/>
        </w:numPr>
      </w:pPr>
      <w:r>
        <w:t xml:space="preserve">100x15mm Petri Dishes</w:t>
      </w:r>
    </w:p>
    <w:p>
      <w:pPr>
        <w:pStyle w:val="Compact"/>
        <w:numPr>
          <w:ilvl w:val="0"/>
          <w:numId w:val="1221"/>
        </w:numPr>
      </w:pPr>
      <w:r>
        <w:t xml:space="preserve">60x15mm Petri Dishes</w:t>
      </w:r>
    </w:p>
    <w:p>
      <w:pPr>
        <w:pStyle w:val="Compact"/>
        <w:numPr>
          <w:ilvl w:val="0"/>
          <w:numId w:val="1222"/>
        </w:numPr>
      </w:pPr>
      <w:r>
        <w:t xml:space="preserve">Agar, Bacteriological</w:t>
      </w:r>
    </w:p>
    <w:p>
      <w:pPr>
        <w:pStyle w:val="Compact"/>
        <w:numPr>
          <w:ilvl w:val="0"/>
          <w:numId w:val="1223"/>
        </w:numPr>
      </w:pPr>
      <w:r>
        <w:t xml:space="preserve">Potato Dextrose Agar (PDA) media</w:t>
      </w:r>
    </w:p>
    <w:p>
      <w:pPr>
        <w:pStyle w:val="Compact"/>
        <w:numPr>
          <w:ilvl w:val="0"/>
          <w:numId w:val="1224"/>
        </w:numPr>
      </w:pPr>
      <w:r>
        <w:t xml:space="preserve">Alcohol for sterilization</w:t>
      </w:r>
    </w:p>
    <w:p>
      <w:pPr>
        <w:pStyle w:val="Compact"/>
        <w:numPr>
          <w:ilvl w:val="0"/>
          <w:numId w:val="1225"/>
        </w:numPr>
      </w:pPr>
      <w:r>
        <w:t xml:space="preserve">Forceps</w:t>
      </w:r>
    </w:p>
    <w:p>
      <w:pPr>
        <w:pStyle w:val="Compact"/>
        <w:numPr>
          <w:ilvl w:val="0"/>
          <w:numId w:val="1226"/>
        </w:numPr>
      </w:pPr>
      <w:r>
        <w:t xml:space="preserve">Scalpel</w:t>
      </w:r>
    </w:p>
    <w:p>
      <w:pPr>
        <w:pStyle w:val="FirstParagraph"/>
      </w:pPr>
      <w:r>
        <w:rPr>
          <w:b/>
          <w:bCs/>
        </w:rPr>
        <w:t xml:space="preserve">Sterility:</w:t>
      </w:r>
      <w:r>
        <w:t xml:space="preserve"> </w:t>
      </w:r>
      <w:r>
        <w:t xml:space="preserve">First, clean your work area with bleach, and/or ethanol. Work carefully to maintain prevent contamination of your samples. Always sterilize your implements (forceps and scalpel) by dipping them in alcohol and allow time to air dry.</w:t>
      </w:r>
    </w:p>
    <w:p>
      <w:pPr>
        <w:pStyle w:val="BodyText"/>
      </w:pPr>
      <w:r>
        <w:rPr>
          <w:b/>
          <w:bCs/>
        </w:rPr>
        <w:t xml:space="preserve">Potato Dextrose Agar (PDA) Plates</w:t>
      </w:r>
      <w:r>
        <w:t xml:space="preserve"> </w:t>
      </w:r>
      <w:r>
        <w:t xml:space="preserve">Fungi cultured from leaves on water agar are transferred to nutrient Potato Dextrose Agar (PDA) plates. We use one 60x15 mm Petri dish for each fungal isolate.</w:t>
      </w:r>
    </w:p>
    <w:p>
      <w:pPr>
        <w:pStyle w:val="BodyText"/>
      </w:pPr>
      <w:r>
        <w:rPr>
          <w:b/>
          <w:bCs/>
        </w:rPr>
        <w:t xml:space="preserve">Potato Dextrose Agar Recipe</w:t>
      </w:r>
      <w:r>
        <w:t xml:space="preserve"> </w:t>
      </w:r>
      <w:r>
        <w:t xml:space="preserve">Suspend 39 grams Agar, Bacteriological in 1000 ml (1 L) distilled water. Heat to boiling to dissolve the medium completely (in most cases, this step can be skipped as autoclaving will dissolve media). Sterilize by autoclaving at 15 lbs pressure (121°C) for 15 minutes.</w:t>
      </w:r>
    </w:p>
    <w:p>
      <w:pPr>
        <w:pStyle w:val="BodyText"/>
      </w:pPr>
      <w:r>
        <w:t xml:space="preserve">When the media is cool enough to handle with autoclave gloves, pour 60x15mm plates in a sterile environment. Do not let it cool too long as the media will solidify. Each 60x15mm plate holds approximately 8 ml media. If plates will be used immediately smaller amounts of media can be poured into plates. If plates will be stored, use larger amounts. Store plates in the original Petri dish sleeve in the refrigerator (~4 °C) until use.</w:t>
      </w:r>
    </w:p>
    <w:p>
      <w:pPr>
        <w:pStyle w:val="BodyText"/>
      </w:pPr>
      <w:r>
        <w:rPr>
          <w:b/>
          <w:bCs/>
        </w:rPr>
        <w:t xml:space="preserve">Cellophane Plates</w:t>
      </w:r>
      <w:r>
        <w:t xml:space="preserve"> </w:t>
      </w:r>
      <w:r>
        <w:t xml:space="preserve">Fungal tissue can be harvested from cellophane plates. Cut cellophane discs slightly smaller than the Petri dish so that they lay flat on the PDA media. Using the bottom of the Petri dish as a template, draw a circle on the cellophane and the cut out discs on the inside of the line.</w:t>
      </w:r>
    </w:p>
    <w:p>
      <w:pPr>
        <w:pStyle w:val="BodyText"/>
      </w:pPr>
      <w:r>
        <w:t xml:space="preserve">Place cellophane discs into an autoclavable container with water. Place each cellophane disc individually into the water and try to stagger them in the water. This staggering step ensures that you can more easily remove the discs from the water. Cover your container with foil and sterilize by autoclaving at 15 lbs pressure (121°C) for 15 minutes.</w:t>
      </w:r>
    </w:p>
    <w:p>
      <w:pPr>
        <w:pStyle w:val="BodyText"/>
      </w:pPr>
      <w:r>
        <w:t xml:space="preserve">Working in your sterile environment, place one cellophane disc onto cooled PDA agar in 60x15mm plates. Use sterile forceps to transfer each cellophane disc onto the PDA plate. If you can’t easily remove single discs, try the</w:t>
      </w:r>
      <w:r>
        <w:t xml:space="preserve"> </w:t>
      </w:r>
      <w:r>
        <w:t xml:space="preserve">“slide”</w:t>
      </w:r>
      <w:r>
        <w:t xml:space="preserve"> </w:t>
      </w:r>
      <w:r>
        <w:t xml:space="preserve">technique. Dip your forceps into the container with the discs until you touch a disc. Using the forceps as a probe (not pinched) slide the disc to the side of the container and up the side of the container. Often, you’ll pull out one disc. Sometimes more than one disc will slide up, but it’s usually easy to see the individual discs at this point. You can then use your forceps to pull out one disc. If you grasp one disc with your forceps, you can swirl it in the water in the container to dislodge any other discs that might be attached. Open the lid of the Petri dish and lay the cellophane onto the solid agar.</w:t>
      </w:r>
    </w:p>
    <w:bookmarkEnd w:id="206"/>
    <w:bookmarkEnd w:id="207"/>
    <w:bookmarkEnd w:id="208"/>
    <w:bookmarkStart w:id="216" w:name="Xc8205bcafd44c2f0f2777871d0b670e5430cb18"/>
    <w:p>
      <w:pPr>
        <w:pStyle w:val="Heading2"/>
      </w:pPr>
      <w:r>
        <w:t xml:space="preserve">Module 5.2 – Tissue Preparation for Genome Sequencing</w:t>
      </w:r>
    </w:p>
    <w:bookmarkStart w:id="209" w:name="purpose-4"/>
    <w:p>
      <w:pPr>
        <w:pStyle w:val="Heading3"/>
      </w:pPr>
      <w:r>
        <w:t xml:space="preserve">Purpose</w:t>
      </w:r>
    </w:p>
    <w:p>
      <w:pPr>
        <w:pStyle w:val="FirstParagraph"/>
      </w:pPr>
      <w:r>
        <w:t xml:space="preserve">This protocol guides you through the culturing and harvesting of fungal tissue for molecular applications.</w:t>
      </w:r>
    </w:p>
    <w:bookmarkEnd w:id="209"/>
    <w:bookmarkStart w:id="210" w:name="introduction-4"/>
    <w:p>
      <w:pPr>
        <w:pStyle w:val="Heading3"/>
      </w:pPr>
      <w:r>
        <w:t xml:space="preserve">Introduction</w:t>
      </w:r>
    </w:p>
    <w:p>
      <w:pPr>
        <w:pStyle w:val="FirstParagraph"/>
      </w:pPr>
      <w:r>
        <w:t xml:space="preserve">The long-term goal of this endophyte isolation project is to develop a robust dataset of fungal genomes. We are piloting this project in our course to determine if whole genome extractions are possible using home laboratory techniques. If successful, the project will be expanded in several directions. Any data generated from this project will be made available on the Mycocosm Web Portal. These data can then be used by students and researchers to analyze fungal genomes. Beyond phylogenetic inferences and evolutionary reconstructions, a variety of research questions can be addressed using fungal genomic data. Genomic data can elucidate the functions of these fungi and contribute to an understanding of their biology. In addition, if this pilot project is successful, future studies will incorporate stress factors, such as salts, metals, or temperatures, to understand the morphological, physiological and genetic responses of fungi to environmental stressors.</w:t>
      </w:r>
    </w:p>
    <w:p>
      <w:pPr>
        <w:pStyle w:val="BodyText"/>
      </w:pPr>
      <w:r>
        <w:t xml:space="preserve">This pilot project is being conducted in collaboration with mycologists and mycology students across North America. In addition to Oregon State University, students from the University of Colorado, both Denver and Boulder, Denver Botanic Gardens, Colorado State University, and Duke University, are collecting tissue and isolating fungal endophytes from plant hosts. Genomic data will be generated by the Joint Genome Institute. This is the first project of its kind and the most comprehensive project investigating endophytes on a large geographic and taxonomic scale.</w:t>
      </w:r>
    </w:p>
    <w:p>
      <w:pPr>
        <w:pStyle w:val="BodyText"/>
      </w:pPr>
      <w:r>
        <w:t xml:space="preserve">To prepare your fungal tissue for full genome sequencing, you will transfer some mycelia to a Petri dish with cellophane.</w:t>
      </w:r>
    </w:p>
    <w:p>
      <w:pPr>
        <w:pStyle w:val="BodyText"/>
      </w:pPr>
      <w:r>
        <w:t xml:space="preserve">Once fungal endophytes have been cultured from host plants, these fungal cultures will be identified using ITS (the fungal barcode region) sequencing. The ITS sequence will provide some level of taxonomic placement of your isolate, perhaps even to species. This ITS identification step also allows the determination of which fungal cultures to submit for full genome sequencing.</w:t>
      </w:r>
    </w:p>
    <w:bookmarkEnd w:id="210"/>
    <w:bookmarkStart w:id="211" w:name="sub-culturing-on-cellophane"/>
    <w:p>
      <w:pPr>
        <w:pStyle w:val="Heading3"/>
      </w:pPr>
      <w:r>
        <w:t xml:space="preserve">Sub-Culturing on Cellophane</w:t>
      </w:r>
    </w:p>
    <w:p>
      <w:pPr>
        <w:pStyle w:val="Compact"/>
        <w:numPr>
          <w:ilvl w:val="0"/>
          <w:numId w:val="1227"/>
        </w:numPr>
      </w:pPr>
      <w:r>
        <w:t xml:space="preserve">Clean your workspace as described previously. Work under flames or in a laminar flow hood if available.</w:t>
      </w:r>
    </w:p>
    <w:p>
      <w:pPr>
        <w:pStyle w:val="Compact"/>
        <w:numPr>
          <w:ilvl w:val="0"/>
          <w:numId w:val="1227"/>
        </w:numPr>
      </w:pPr>
      <w:r>
        <w:t xml:space="preserve">Label your Cellophane lined Petri Dish appropriately.</w:t>
      </w:r>
    </w:p>
    <w:p>
      <w:pPr>
        <w:pStyle w:val="Compact"/>
        <w:numPr>
          <w:ilvl w:val="0"/>
          <w:numId w:val="1227"/>
        </w:numPr>
      </w:pPr>
      <w:r>
        <w:t xml:space="preserve">Sterilize implements (forceps and scalpel).</w:t>
      </w:r>
    </w:p>
    <w:p>
      <w:pPr>
        <w:pStyle w:val="Compact"/>
        <w:numPr>
          <w:ilvl w:val="0"/>
          <w:numId w:val="1227"/>
        </w:numPr>
      </w:pPr>
      <w:r>
        <w:t xml:space="preserve">Scrape mycelia from PDA plates that you have been growing. Be sure to avoid transferring any media as much as possible.</w:t>
      </w:r>
    </w:p>
    <w:p>
      <w:pPr>
        <w:pStyle w:val="Compact"/>
        <w:numPr>
          <w:ilvl w:val="1"/>
          <w:numId w:val="1228"/>
        </w:numPr>
      </w:pPr>
      <w:r>
        <w:t xml:space="preserve">Leaving the assay plate on the bench space, remove the parafilm of the inoculation plate and slightly crack open the lid using your non-dominant hand.</w:t>
      </w:r>
    </w:p>
    <w:p>
      <w:pPr>
        <w:pStyle w:val="Compact"/>
        <w:numPr>
          <w:ilvl w:val="1"/>
          <w:numId w:val="1228"/>
        </w:numPr>
      </w:pPr>
      <w:r>
        <w:t xml:space="preserve">Insert your forceps into the crack of the Petri dish and attempt to sample some mycelium.</w:t>
      </w:r>
    </w:p>
    <w:p>
      <w:pPr>
        <w:pStyle w:val="Compact"/>
        <w:numPr>
          <w:ilvl w:val="2"/>
          <w:numId w:val="1229"/>
        </w:numPr>
      </w:pPr>
      <w:r>
        <w:t xml:space="preserve">If you are unable to remove mycelia with your forceps, use your scalpel to remove mycelia with the least amount of agar possible.</w:t>
      </w:r>
    </w:p>
    <w:p>
      <w:pPr>
        <w:pStyle w:val="Compact"/>
        <w:numPr>
          <w:ilvl w:val="0"/>
          <w:numId w:val="1227"/>
        </w:numPr>
      </w:pPr>
      <w:r>
        <w:t xml:space="preserve">Transfer the mycelia to a Petri dish with cellophane.</w:t>
      </w:r>
    </w:p>
    <w:p>
      <w:pPr>
        <w:pStyle w:val="Compact"/>
        <w:numPr>
          <w:ilvl w:val="1"/>
          <w:numId w:val="1230"/>
        </w:numPr>
      </w:pPr>
      <w:r>
        <w:t xml:space="preserve">Carefully remove the chunk of agar. Replace the lid. Slide the sample plate away. Slide a cellophane plate towards you.</w:t>
      </w:r>
    </w:p>
    <w:p>
      <w:pPr>
        <w:pStyle w:val="Compact"/>
        <w:numPr>
          <w:ilvl w:val="1"/>
          <w:numId w:val="1230"/>
        </w:numPr>
      </w:pPr>
      <w:r>
        <w:t xml:space="preserve">Crack open the cellophane plate using your non-dominant hand, and carefully insert the forceps with the agar and mycelium.</w:t>
      </w:r>
    </w:p>
    <w:p>
      <w:pPr>
        <w:pStyle w:val="Compact"/>
        <w:numPr>
          <w:ilvl w:val="1"/>
          <w:numId w:val="1230"/>
        </w:numPr>
      </w:pPr>
      <w:r>
        <w:t xml:space="preserve">To deposit the agar onto the PDA agar, submerge the forceps into the agar on the plate. This should force the agar and mycelium from your forceps, onto the PDA agar.</w:t>
      </w:r>
    </w:p>
    <w:p>
      <w:pPr>
        <w:pStyle w:val="Compact"/>
        <w:numPr>
          <w:ilvl w:val="1"/>
          <w:numId w:val="1230"/>
        </w:numPr>
      </w:pPr>
      <w:r>
        <w:t xml:space="preserve">Pull your forceps straight out to leave the agar and mycelium on the plate.</w:t>
      </w:r>
    </w:p>
    <w:p>
      <w:pPr>
        <w:pStyle w:val="Compact"/>
        <w:numPr>
          <w:ilvl w:val="1"/>
          <w:numId w:val="1230"/>
        </w:numPr>
      </w:pPr>
      <w:r>
        <w:t xml:space="preserve">The mycelia will be sticky, so you might need to scrape it off using sterile implements. If you’re using forceps to transfer, use the sterilized scalpel to scrape mycelia off the forceps onto cellophane in the Petri dish.</w:t>
      </w:r>
    </w:p>
    <w:p>
      <w:pPr>
        <w:pStyle w:val="Compact"/>
        <w:numPr>
          <w:ilvl w:val="0"/>
          <w:numId w:val="1227"/>
        </w:numPr>
      </w:pPr>
      <w:r>
        <w:t xml:space="preserve">Seal Petri dish with parafilm.</w:t>
      </w:r>
    </w:p>
    <w:p>
      <w:pPr>
        <w:pStyle w:val="Compact"/>
        <w:numPr>
          <w:ilvl w:val="0"/>
          <w:numId w:val="1227"/>
        </w:numPr>
      </w:pPr>
      <w:r>
        <w:t xml:space="preserve">Allow fungi to fill the cellophane.</w:t>
      </w:r>
    </w:p>
    <w:p>
      <w:pPr>
        <w:pStyle w:val="Compact"/>
        <w:numPr>
          <w:ilvl w:val="0"/>
          <w:numId w:val="1227"/>
        </w:numPr>
      </w:pPr>
      <w:r>
        <w:t xml:space="preserve">Repeat this process with all fungal isolates that will be sent for genome sequencing.</w:t>
      </w:r>
    </w:p>
    <w:bookmarkEnd w:id="211"/>
    <w:bookmarkStart w:id="212" w:name="X10145d54968745cf30d23b42f07bebdb1cea736"/>
    <w:p>
      <w:pPr>
        <w:pStyle w:val="Heading3"/>
      </w:pPr>
      <w:r>
        <w:t xml:space="preserve">Harvesting Mycelia for Genome Sequencing Instructions</w:t>
      </w:r>
    </w:p>
    <w:p>
      <w:pPr>
        <w:pStyle w:val="FirstParagraph"/>
      </w:pPr>
      <w:r>
        <w:t xml:space="preserve">Full genome sequencing requires large amounts of tissue to be successful. The tissue grown on the cellophane plates will be harvested, dried, and sent for genome sequencing.</w:t>
      </w:r>
    </w:p>
    <w:bookmarkEnd w:id="212"/>
    <w:bookmarkStart w:id="213" w:name="student-lab-supplies"/>
    <w:p>
      <w:pPr>
        <w:pStyle w:val="Heading3"/>
      </w:pPr>
      <w:r>
        <w:t xml:space="preserve">Student Lab Supplies</w:t>
      </w:r>
    </w:p>
    <w:p>
      <w:pPr>
        <w:pStyle w:val="Compact"/>
        <w:numPr>
          <w:ilvl w:val="0"/>
          <w:numId w:val="1231"/>
        </w:numPr>
      </w:pPr>
      <w:r>
        <w:t xml:space="preserve">1.5 ml Eppendorf tubes</w:t>
      </w:r>
    </w:p>
    <w:p>
      <w:pPr>
        <w:pStyle w:val="Compact"/>
        <w:numPr>
          <w:ilvl w:val="0"/>
          <w:numId w:val="1232"/>
        </w:numPr>
      </w:pPr>
      <w:r>
        <w:t xml:space="preserve">Sharpie</w:t>
      </w:r>
    </w:p>
    <w:p>
      <w:pPr>
        <w:pStyle w:val="Compact"/>
        <w:numPr>
          <w:ilvl w:val="0"/>
          <w:numId w:val="1233"/>
        </w:numPr>
      </w:pPr>
      <w:r>
        <w:t xml:space="preserve">Scalpel</w:t>
      </w:r>
    </w:p>
    <w:p>
      <w:pPr>
        <w:pStyle w:val="Compact"/>
        <w:numPr>
          <w:ilvl w:val="0"/>
          <w:numId w:val="1234"/>
        </w:numPr>
      </w:pPr>
      <w:r>
        <w:t xml:space="preserve">Forceps</w:t>
      </w:r>
    </w:p>
    <w:p>
      <w:pPr>
        <w:pStyle w:val="Compact"/>
        <w:numPr>
          <w:ilvl w:val="0"/>
          <w:numId w:val="1235"/>
        </w:numPr>
      </w:pPr>
      <w:r>
        <w:t xml:space="preserve">Silica</w:t>
      </w:r>
    </w:p>
    <w:p>
      <w:pPr>
        <w:pStyle w:val="Compact"/>
        <w:numPr>
          <w:ilvl w:val="0"/>
          <w:numId w:val="1236"/>
        </w:numPr>
      </w:pPr>
      <w:r>
        <w:t xml:space="preserve">Probe</w:t>
      </w:r>
    </w:p>
    <w:bookmarkEnd w:id="213"/>
    <w:bookmarkStart w:id="214" w:name="overview-1"/>
    <w:p>
      <w:pPr>
        <w:pStyle w:val="Heading3"/>
      </w:pPr>
      <w:r>
        <w:t xml:space="preserve">Overview</w:t>
      </w:r>
    </w:p>
    <w:p>
      <w:pPr>
        <w:pStyle w:val="FirstParagraph"/>
      </w:pPr>
      <w:r>
        <w:t xml:space="preserve">The goal of this supplement is to prepare fungal tissue for DNA extraction and sequencing. The cellophane overlay method was implemented to obtain pure tissue conducive to clean DNA extractions (Fig. 1).</w:t>
      </w:r>
    </w:p>
    <w:p>
      <w:pPr>
        <w:pStyle w:val="BodyText"/>
      </w:pPr>
      <w:r>
        <w:t xml:space="preserve">Figure 1 - Using aseptic techniques (step 1), prepare agar plates and arrange a sterile location for transfer. Add one disk of sterile cellophane to each plate (step 2) and inoculate with the fungal isolate, avoiding the transfer of residual agar, in the center of the disk (step 3). Allow the fungus to grow on top of the cellophane in a dark incubator at 26°C(step 4). Take the initial weight of the empty Eppendorf tube. After the cellophane disk is covered, peel the tissue to remove it and place it in the empty Eppendorf tube. Place the open tube in a jar with silica gel in the bottom. Cover the jar. Allow the tissue to dry for 4-7 days (step 5). Once the tissue is dry, close the tube and take the final weight. 1-2 grams of tissue should be recovered. Store the sample in a clean place. It is now ready for in-house DNA extraction or shipping. Figure created in BioRender. Knight, C. (2025) https://BioRender.com/s61a377</w:t>
      </w:r>
    </w:p>
    <w:bookmarkEnd w:id="214"/>
    <w:bookmarkStart w:id="215" w:name="instructions-3"/>
    <w:p>
      <w:pPr>
        <w:pStyle w:val="Heading3"/>
      </w:pPr>
      <w:r>
        <w:t xml:space="preserve">Instructions</w:t>
      </w:r>
    </w:p>
    <w:p>
      <w:pPr>
        <w:pStyle w:val="Compact"/>
        <w:numPr>
          <w:ilvl w:val="0"/>
          <w:numId w:val="1237"/>
        </w:numPr>
      </w:pPr>
      <w:r>
        <w:t xml:space="preserve">You will be harvesting fungal tissue from the cellophane PDA petri dishes.</w:t>
      </w:r>
    </w:p>
    <w:p>
      <w:pPr>
        <w:pStyle w:val="Compact"/>
        <w:numPr>
          <w:ilvl w:val="0"/>
          <w:numId w:val="1237"/>
        </w:numPr>
      </w:pPr>
      <w:r>
        <w:t xml:space="preserve">Use a laminar flow hood or set up flames to create a sterile environment. Clean your sterile area.</w:t>
      </w:r>
    </w:p>
    <w:p>
      <w:pPr>
        <w:pStyle w:val="Compact"/>
        <w:numPr>
          <w:ilvl w:val="0"/>
          <w:numId w:val="1237"/>
        </w:numPr>
      </w:pPr>
      <w:r>
        <w:t xml:space="preserve">Light your flame source. Dip your harvesting implement(s) (scalpel, forceps, and/or probe) into alcohol. Flame your implements and let it cool.</w:t>
      </w:r>
    </w:p>
    <w:p>
      <w:pPr>
        <w:pStyle w:val="Compact"/>
        <w:numPr>
          <w:ilvl w:val="0"/>
          <w:numId w:val="1237"/>
        </w:numPr>
      </w:pPr>
      <w:r>
        <w:t xml:space="preserve">Once cool, open your petri dish lid, and lay this facing upward on your workspace. Remove fungal tissue by scraping from cellophane. In some cases, the entire fungal tissue will easily peel from the cellophane. In some cases, the mycelia will be stuck to the cellophane. In this case, you will need to use some combination of instruments to remove the fungi from the cellophane (Figs 2 and 3, Videos 1 and 2).</w:t>
      </w:r>
    </w:p>
    <w:p>
      <w:pPr>
        <w:pStyle w:val="Compact"/>
        <w:numPr>
          <w:ilvl w:val="0"/>
          <w:numId w:val="1237"/>
        </w:numPr>
      </w:pPr>
      <w:r>
        <w:t xml:space="preserve">Place Eppendorf tubes into a jar filled with silica. The silica will allow you to stand up the tubes in the jar. Keep the lids of the Eppendorf tubes open to allow the tissue to dry.</w:t>
      </w:r>
    </w:p>
    <w:p>
      <w:pPr>
        <w:pStyle w:val="Compact"/>
        <w:numPr>
          <w:ilvl w:val="0"/>
          <w:numId w:val="1237"/>
        </w:numPr>
      </w:pPr>
      <w:r>
        <w:t xml:space="preserve">Seal silica-filled jar with the lid. Allow the tissue to dry for 5-10 days.</w:t>
      </w:r>
    </w:p>
    <w:p>
      <w:pPr>
        <w:pStyle w:val="Compact"/>
        <w:numPr>
          <w:ilvl w:val="0"/>
          <w:numId w:val="1237"/>
        </w:numPr>
      </w:pPr>
      <w:r>
        <w:t xml:space="preserve">Once the tissue is dry, remove the Eppendorf tubes from the silica jar and close the lids.</w:t>
      </w:r>
    </w:p>
    <w:p>
      <w:pPr>
        <w:pStyle w:val="Compact"/>
        <w:numPr>
          <w:ilvl w:val="0"/>
          <w:numId w:val="1237"/>
        </w:numPr>
      </w:pPr>
      <w:r>
        <w:t xml:space="preserve">Proceed to the Sample submission module.</w:t>
      </w:r>
    </w:p>
    <w:bookmarkEnd w:id="215"/>
    <w:bookmarkEnd w:id="216"/>
    <w:bookmarkEnd w:id="217"/>
    <w:bookmarkStart w:id="226" w:name="module-6-sample-submission"/>
    <w:p>
      <w:pPr>
        <w:pStyle w:val="Heading1"/>
      </w:pPr>
      <w:r>
        <w:t xml:space="preserve">Module 6: Sample Submission</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218" name="Picture"/>
                  <a:graphic>
                    <a:graphicData uri="http://schemas.openxmlformats.org/drawingml/2006/picture">
                      <pic:pic>
                        <pic:nvPicPr>
                          <pic:cNvPr descr="/opt/quarto/share/formats/docx/tip.png" id="219" name="Picture"/>
                          <pic:cNvPicPr>
                            <a:picLocks noChangeArrowheads="1" noChangeAspect="1"/>
                          </pic:cNvPicPr>
                        </pic:nvPicPr>
                        <pic:blipFill>
                          <a:blip r:embed="rId1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 Open Slides</w:t>
            </w:r>
          </w:p>
        </w:tc>
      </w:tr>
      <w:tr>
        <w:trPr>
          <w:cantSplit/>
        </w:trPr>
        <w:tc>
          <w:tcPr>
            <w:tcMar>
              <w:top w:w="108" w:type="dxa"/>
              <w:bottom w:w="108" w:type="dxa"/>
            </w:tcMar>
          </w:tcPr>
          <w:p>
            <w:pPr>
              <w:pStyle w:val="BodyText"/>
            </w:pPr>
            <w:pPr>
              <w:spacing w:before="16" w:after="16"/>
            </w:pPr>
            <w:hyperlink r:id="rId21">
              <w:r>
                <w:rPr>
                  <w:rStyle w:val="Hyperlink"/>
                </w:rPr>
                <w:t xml:space="preserve">Open Module 6 Slides</w:t>
              </w:r>
            </w:hyperlink>
          </w:p>
          <w:p/>
        </w:tc>
      </w:tr>
    </w:tbl>
    <w:bookmarkStart w:id="225" w:name="module-6.1-myco-ed-sample-submission-sop"/>
    <w:p>
      <w:pPr>
        <w:pStyle w:val="Heading2"/>
      </w:pPr>
      <w:r>
        <w:t xml:space="preserve">Module 6.1 – Myco-Ed Sample Submission SOP</w:t>
      </w:r>
    </w:p>
    <w:bookmarkStart w:id="220" w:name="overview-2"/>
    <w:p>
      <w:pPr>
        <w:pStyle w:val="Heading3"/>
      </w:pPr>
      <w:r>
        <w:t xml:space="preserve">Overview</w:t>
      </w:r>
    </w:p>
    <w:p>
      <w:pPr>
        <w:pStyle w:val="FirstParagraph"/>
      </w:pPr>
      <w:r>
        <w:t xml:space="preserve">Use this document to submit fungal samples to Arizona Genomics Institute (AGI) for DNA extraction.</w:t>
      </w:r>
    </w:p>
    <w:bookmarkEnd w:id="220"/>
    <w:bookmarkStart w:id="221" w:name="definitions"/>
    <w:p>
      <w:pPr>
        <w:pStyle w:val="Heading3"/>
      </w:pPr>
      <w:r>
        <w:t xml:space="preserve">Definitions</w:t>
      </w:r>
    </w:p>
    <w:p>
      <w:pPr>
        <w:pStyle w:val="Compact"/>
        <w:numPr>
          <w:ilvl w:val="0"/>
          <w:numId w:val="1238"/>
        </w:numPr>
      </w:pPr>
      <w:r>
        <w:t xml:space="preserve">JGI = Joint Genomics Institute</w:t>
      </w:r>
    </w:p>
    <w:p>
      <w:pPr>
        <w:pStyle w:val="Compact"/>
        <w:numPr>
          <w:ilvl w:val="0"/>
          <w:numId w:val="1238"/>
        </w:numPr>
      </w:pPr>
      <w:r>
        <w:t xml:space="preserve">AGI = Arizona Genome Institute</w:t>
      </w:r>
    </w:p>
    <w:bookmarkEnd w:id="221"/>
    <w:bookmarkStart w:id="222" w:name="associated-documents"/>
    <w:p>
      <w:pPr>
        <w:pStyle w:val="Heading3"/>
      </w:pPr>
      <w:r>
        <w:t xml:space="preserve">Associated Documents</w:t>
      </w:r>
    </w:p>
    <w:p>
      <w:pPr>
        <w:pStyle w:val="FirstParagraph"/>
      </w:pPr>
      <w:r>
        <w:t xml:space="preserve">MycoEd Metadata Form</w:t>
      </w:r>
    </w:p>
    <w:bookmarkEnd w:id="222"/>
    <w:bookmarkStart w:id="223" w:name="process-steps"/>
    <w:p>
      <w:pPr>
        <w:pStyle w:val="Heading3"/>
      </w:pPr>
      <w:r>
        <w:t xml:space="preserve">Process Steps</w:t>
      </w:r>
    </w:p>
    <w:p>
      <w:pPr>
        <w:pStyle w:val="Compact"/>
        <w:numPr>
          <w:ilvl w:val="0"/>
          <w:numId w:val="1239"/>
        </w:numPr>
      </w:pPr>
      <w:r>
        <w:t xml:space="preserve">Create a JGI Single Sign on Account</w:t>
      </w:r>
    </w:p>
    <w:p>
      <w:pPr>
        <w:pStyle w:val="Compact"/>
        <w:numPr>
          <w:ilvl w:val="0"/>
          <w:numId w:val="1239"/>
        </w:numPr>
      </w:pPr>
      <w:r>
        <w:t xml:space="preserve">Email photos of the live tissue you intend to send AGI before collection to JTALAG@email.arizona.edu and kwbarry@lbl.gov.</w:t>
      </w:r>
    </w:p>
    <w:p>
      <w:pPr>
        <w:pStyle w:val="Compact"/>
        <w:numPr>
          <w:ilvl w:val="0"/>
          <w:numId w:val="1239"/>
        </w:numPr>
      </w:pPr>
      <w:r>
        <w:t xml:space="preserve">Make a copy of the MycoEd Metadata Form</w:t>
      </w:r>
    </w:p>
    <w:p>
      <w:pPr>
        <w:pStyle w:val="Compact"/>
        <w:numPr>
          <w:ilvl w:val="1"/>
          <w:numId w:val="1240"/>
        </w:numPr>
      </w:pPr>
      <w:r>
        <w:t xml:space="preserve">Click on MycoEd Metadata Form link</w:t>
      </w:r>
    </w:p>
    <w:p>
      <w:pPr>
        <w:pStyle w:val="Compact"/>
        <w:numPr>
          <w:ilvl w:val="1"/>
          <w:numId w:val="1240"/>
        </w:numPr>
      </w:pPr>
      <w:r>
        <w:t xml:space="preserve">Under file, select Make a Copy</w:t>
      </w:r>
    </w:p>
    <w:p>
      <w:pPr>
        <w:pStyle w:val="Compact"/>
        <w:numPr>
          <w:ilvl w:val="1"/>
          <w:numId w:val="1240"/>
        </w:numPr>
      </w:pPr>
      <w:r>
        <w:t xml:space="preserve">Rename your new copy [University][Instructor Last Name][MycoEd Metadata][Date]</w:t>
      </w:r>
    </w:p>
    <w:p>
      <w:pPr>
        <w:pStyle w:val="Compact"/>
        <w:numPr>
          <w:ilvl w:val="0"/>
          <w:numId w:val="1239"/>
        </w:numPr>
      </w:pPr>
      <w:r>
        <w:t xml:space="preserve">Fill out your copy of the MycoEd Metadata Form</w:t>
      </w:r>
    </w:p>
    <w:p>
      <w:pPr>
        <w:pStyle w:val="Compact"/>
        <w:numPr>
          <w:ilvl w:val="1"/>
          <w:numId w:val="1241"/>
        </w:numPr>
      </w:pPr>
      <w:r>
        <w:t xml:space="preserve">Professor is the instructor for the class and their email address</w:t>
      </w:r>
    </w:p>
    <w:p>
      <w:pPr>
        <w:pStyle w:val="Compact"/>
        <w:numPr>
          <w:ilvl w:val="1"/>
          <w:numId w:val="1241"/>
        </w:numPr>
      </w:pPr>
      <w:r>
        <w:t xml:space="preserve">Name of the University/Institution is your University/Institution</w:t>
      </w:r>
    </w:p>
    <w:p>
      <w:pPr>
        <w:pStyle w:val="Compact"/>
        <w:numPr>
          <w:ilvl w:val="1"/>
          <w:numId w:val="1241"/>
        </w:numPr>
      </w:pPr>
      <w:r>
        <w:t xml:space="preserve">Date submitted/shipped is the date you ship the samples to AGI</w:t>
      </w:r>
    </w:p>
    <w:p>
      <w:pPr>
        <w:pStyle w:val="Compact"/>
        <w:numPr>
          <w:ilvl w:val="1"/>
          <w:numId w:val="1241"/>
        </w:numPr>
      </w:pPr>
      <w:r>
        <w:t xml:space="preserve">JGI proposal name &amp; number is DS 509937 (already provided)</w:t>
      </w:r>
    </w:p>
    <w:p>
      <w:pPr>
        <w:pStyle w:val="Compact"/>
        <w:numPr>
          <w:ilvl w:val="0"/>
          <w:numId w:val="1239"/>
        </w:numPr>
      </w:pPr>
      <w:r>
        <w:t xml:space="preserve">Fill out Sample Table</w:t>
      </w:r>
    </w:p>
    <w:p>
      <w:pPr>
        <w:pStyle w:val="Compact"/>
        <w:numPr>
          <w:ilvl w:val="1"/>
          <w:numId w:val="1242"/>
        </w:numPr>
      </w:pPr>
      <w:r>
        <w:t xml:space="preserve">Enter requested metadata into the table</w:t>
      </w:r>
    </w:p>
    <w:p>
      <w:pPr>
        <w:pStyle w:val="Compact"/>
        <w:numPr>
          <w:ilvl w:val="1"/>
          <w:numId w:val="1242"/>
        </w:numPr>
      </w:pPr>
      <w:r>
        <w:t xml:space="preserve">Use one row per sample/tube</w:t>
      </w:r>
    </w:p>
    <w:p>
      <w:pPr>
        <w:pStyle w:val="Compact"/>
        <w:numPr>
          <w:ilvl w:val="1"/>
          <w:numId w:val="1242"/>
        </w:numPr>
      </w:pPr>
      <w:r>
        <w:t xml:space="preserve">Insert additional rows if needed</w:t>
      </w:r>
    </w:p>
    <w:p>
      <w:pPr>
        <w:pStyle w:val="Compact"/>
        <w:numPr>
          <w:ilvl w:val="1"/>
          <w:numId w:val="1242"/>
        </w:numPr>
      </w:pPr>
      <w:r>
        <w:t xml:space="preserve">Columns with gray field headers, B and D, will be filled out by JGI</w:t>
      </w:r>
    </w:p>
    <w:p>
      <w:pPr>
        <w:pStyle w:val="Compact"/>
        <w:numPr>
          <w:ilvl w:val="1"/>
          <w:numId w:val="1242"/>
        </w:numPr>
      </w:pPr>
      <w:r>
        <w:t xml:space="preserve">For Column C, Sample Name - please use below convention for naming: [University][Plant][Plant tissue] Metagenome [Sample ID]</w:t>
      </w:r>
    </w:p>
    <w:p>
      <w:pPr>
        <w:pStyle w:val="Compact"/>
        <w:numPr>
          <w:ilvl w:val="1"/>
          <w:numId w:val="1242"/>
        </w:numPr>
      </w:pPr>
      <w:r>
        <w:t xml:space="preserve">Column G is only needed if you are sending more than 22 samples</w:t>
      </w:r>
    </w:p>
    <w:p>
      <w:pPr>
        <w:pStyle w:val="Compact"/>
        <w:numPr>
          <w:ilvl w:val="1"/>
          <w:numId w:val="1242"/>
        </w:numPr>
      </w:pPr>
      <w:r>
        <w:t xml:space="preserve">Student is the full name of student that collected the sample and their email address</w:t>
      </w:r>
    </w:p>
    <w:p>
      <w:pPr>
        <w:pStyle w:val="Compact"/>
        <w:numPr>
          <w:ilvl w:val="1"/>
          <w:numId w:val="1242"/>
        </w:numPr>
      </w:pPr>
      <w:r>
        <w:t xml:space="preserve">Columns with Yellow Header, X-AF, will be filled out by AGI after DNA extraction</w:t>
      </w:r>
    </w:p>
    <w:p>
      <w:pPr>
        <w:pStyle w:val="Compact"/>
        <w:numPr>
          <w:ilvl w:val="0"/>
          <w:numId w:val="1239"/>
        </w:numPr>
      </w:pPr>
      <w:r>
        <w:t xml:space="preserve">Email form to AGI &amp; JGI</w:t>
      </w:r>
    </w:p>
    <w:p>
      <w:pPr>
        <w:pStyle w:val="Compact"/>
        <w:numPr>
          <w:ilvl w:val="1"/>
          <w:numId w:val="1243"/>
        </w:numPr>
      </w:pPr>
      <w:r>
        <w:t xml:space="preserve">Once all required metadata is provided, download a copy to excel</w:t>
      </w:r>
    </w:p>
    <w:p>
      <w:pPr>
        <w:pStyle w:val="Compact"/>
        <w:numPr>
          <w:ilvl w:val="1"/>
          <w:numId w:val="1243"/>
        </w:numPr>
      </w:pPr>
      <w:r>
        <w:t xml:space="preserve">Email a copy to Jayson at (jtalag@ag.arizona.edu ) and Kerrie (kwbarry@lbl.gov).</w:t>
      </w:r>
    </w:p>
    <w:p>
      <w:pPr>
        <w:pStyle w:val="Compact"/>
        <w:numPr>
          <w:ilvl w:val="1"/>
          <w:numId w:val="1243"/>
        </w:numPr>
      </w:pPr>
      <w:r>
        <w:t xml:space="preserve">Include in the subject line of your email</w:t>
      </w:r>
      <w:r>
        <w:t xml:space="preserve"> </w:t>
      </w:r>
      <w:r>
        <w:t xml:space="preserve">“MyCoEd 509937”</w:t>
      </w:r>
      <w:r>
        <w:t xml:space="preserve"> </w:t>
      </w:r>
      <w:r>
        <w:t xml:space="preserve">[Professor’s Name][University/Institution]</w:t>
      </w:r>
      <w:r>
        <w:t xml:space="preserve"> </w:t>
      </w:r>
      <w:r>
        <w:t xml:space="preserve">“Sample Submission”</w:t>
      </w:r>
    </w:p>
    <w:p>
      <w:pPr>
        <w:pStyle w:val="Compact"/>
        <w:numPr>
          <w:ilvl w:val="1"/>
          <w:numId w:val="1243"/>
        </w:numPr>
      </w:pPr>
      <w:r>
        <w:t xml:space="preserve">Include in your email your name, your college/university, the exact name of your samples (column D) that are ready to ship to AGI (and the rows in this sheet).</w:t>
      </w:r>
    </w:p>
    <w:p>
      <w:pPr>
        <w:pStyle w:val="Compact"/>
        <w:numPr>
          <w:ilvl w:val="1"/>
          <w:numId w:val="1243"/>
        </w:numPr>
      </w:pPr>
      <w:r>
        <w:t xml:space="preserve">Wait for approval/confirmation from AGI &amp; JGI.</w:t>
      </w:r>
    </w:p>
    <w:p>
      <w:pPr>
        <w:pStyle w:val="Compact"/>
        <w:numPr>
          <w:ilvl w:val="2"/>
          <w:numId w:val="1244"/>
        </w:numPr>
      </w:pPr>
      <w:r>
        <w:t xml:space="preserve">If needed make requested changed and email updated copy</w:t>
      </w:r>
    </w:p>
    <w:p>
      <w:pPr>
        <w:pStyle w:val="Compact"/>
        <w:numPr>
          <w:ilvl w:val="0"/>
          <w:numId w:val="1239"/>
        </w:numPr>
      </w:pPr>
      <w:r>
        <w:t xml:space="preserve">Prepare samples for shipment</w:t>
      </w:r>
    </w:p>
    <w:p>
      <w:pPr>
        <w:pStyle w:val="Compact"/>
        <w:numPr>
          <w:ilvl w:val="1"/>
          <w:numId w:val="1245"/>
        </w:numPr>
      </w:pPr>
    </w:p>
    <w:p>
      <w:pPr>
        <w:pStyle w:val="Compact"/>
        <w:numPr>
          <w:ilvl w:val="2"/>
          <w:numId w:val="1246"/>
        </w:numPr>
      </w:pPr>
      <w:r>
        <w:t xml:space="preserve">Print out (in Landscape orientation) the paper copy of the Myco-Ed Metadata Form and put it with the shipment and also email the completed sheet to: JTALAG@email.arizona.edu, and kwbarry@lbl.gov</w:t>
      </w:r>
    </w:p>
    <w:p>
      <w:pPr>
        <w:pStyle w:val="Compact"/>
        <w:numPr>
          <w:ilvl w:val="1"/>
          <w:numId w:val="1245"/>
        </w:numPr>
      </w:pPr>
      <w:r>
        <w:t xml:space="preserve">Email FEDEX tracking # when your shipment is picked up.</w:t>
      </w:r>
    </w:p>
    <w:p>
      <w:pPr>
        <w:pStyle w:val="Compact"/>
        <w:numPr>
          <w:ilvl w:val="1"/>
          <w:numId w:val="1245"/>
        </w:numPr>
      </w:pPr>
      <w:r>
        <w:t xml:space="preserve">Ship samples to</w:t>
      </w:r>
      <w:r>
        <w:t xml:space="preserve"> </w:t>
      </w:r>
      <w:r>
        <w:t xml:space="preserve">Jayson Talag</w:t>
      </w:r>
      <w:r>
        <w:t xml:space="preserve"> </w:t>
      </w:r>
      <w:r>
        <w:t xml:space="preserve">1657 E. Helen St.</w:t>
      </w:r>
      <w:r>
        <w:t xml:space="preserve"> </w:t>
      </w:r>
      <w:r>
        <w:t xml:space="preserve">The University of Arizona</w:t>
      </w:r>
      <w:r>
        <w:t xml:space="preserve"> </w:t>
      </w:r>
      <w:r>
        <w:t xml:space="preserve">Tucson, AZ 85721</w:t>
      </w:r>
      <w:r>
        <w:t xml:space="preserve"> </w:t>
      </w:r>
      <w:r>
        <w:t xml:space="preserve">United States</w:t>
      </w:r>
      <w:r>
        <w:t xml:space="preserve"> </w:t>
      </w:r>
      <w:r>
        <w:t xml:space="preserve">Ph: 520-626-9596</w:t>
      </w:r>
    </w:p>
    <w:bookmarkEnd w:id="223"/>
    <w:bookmarkStart w:id="224" w:name="high-molecular-dna-extraction-protocol"/>
    <w:p>
      <w:pPr>
        <w:pStyle w:val="Heading3"/>
      </w:pPr>
      <w:r>
        <w:t xml:space="preserve">High Molecular DNA Extraction Protocol</w:t>
      </w:r>
    </w:p>
    <w:p>
      <w:pPr>
        <w:pStyle w:val="FirstParagraph"/>
      </w:pPr>
      <w:r>
        <w:t xml:space="preserve">The AGI uses the following high molecular DNA extraction protocol:</w:t>
      </w:r>
    </w:p>
    <w:p>
      <w:pPr>
        <w:pStyle w:val="BodyText"/>
      </w:pPr>
      <w:r>
        <w:t xml:space="preserve">High molecular weight DNA is extracted from (biomass) using the protocol of</w:t>
      </w:r>
      <w:r>
        <w:t xml:space="preserve"> </w:t>
      </w:r>
      <w:r>
        <w:t xml:space="preserve">Doyle and Doyle (1987)</w:t>
      </w:r>
      <w:r>
        <w:t xml:space="preserve"> </w:t>
      </w:r>
      <w:r>
        <w:t xml:space="preserve">with minor modifications. Flash-frozen biomass is ground to a fine powder in a frozen mortar with liquid nitrogen followed by very gentle extraction in 2% CTAB buffer (that includes proteinase K, PVP-40 and beta-mercaptoethanol) for 30min to 1h at 50 °C. After centrifugation, the supernatant is transferred to a new tube, treated with 200ul 50mM PSMF for 10 minutes at room temperature then gently extracted twice with 24:1 Chloroform : Isoamyl alcohol. The upper phase is transferred to a new tube and 1/10th volume 3 M Sodium acetate is added, gently mixed, and DNA precipitated with iso-propanol. DNA precipitate is collected by centrifugation, washed with 70% ethanol, air dried for 5-10 minutes and dissolved thoroughly in elution buffer at room temperature followed by RNAse treatment. DNA purity is measured with Nanodrop, DNA concentration measured with Qubit HS kit (Invitrogen) and DNA size is validated by Femto Pulse System (Agilent).</w:t>
      </w:r>
    </w:p>
    <w:bookmarkEnd w:id="224"/>
    <w:bookmarkEnd w:id="225"/>
    <w:bookmarkEnd w:id="226"/>
    <w:bookmarkStart w:id="246" w:name="module-7-genomic-analyses"/>
    <w:p>
      <w:pPr>
        <w:pStyle w:val="Heading1"/>
      </w:pPr>
      <w:r>
        <w:t xml:space="preserve">Module 7: Genomic Analyses</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227" name="Picture"/>
                  <a:graphic>
                    <a:graphicData uri="http://schemas.openxmlformats.org/drawingml/2006/picture">
                      <pic:pic>
                        <pic:nvPicPr>
                          <pic:cNvPr descr="/opt/quarto/share/formats/docx/tip.png" id="228" name="Picture"/>
                          <pic:cNvPicPr>
                            <a:picLocks noChangeArrowheads="1" noChangeAspect="1"/>
                          </pic:cNvPicPr>
                        </pic:nvPicPr>
                        <pic:blipFill>
                          <a:blip r:embed="rId1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 Open Slides</w:t>
            </w:r>
          </w:p>
        </w:tc>
      </w:tr>
      <w:tr>
        <w:trPr>
          <w:cantSplit/>
        </w:trPr>
        <w:tc>
          <w:tcPr>
            <w:tcMar>
              <w:top w:w="108" w:type="dxa"/>
              <w:bottom w:w="108" w:type="dxa"/>
            </w:tcMar>
          </w:tcPr>
          <w:p>
            <w:pPr>
              <w:pStyle w:val="BodyText"/>
            </w:pPr>
            <w:pPr>
              <w:spacing w:before="16" w:after="16"/>
            </w:pPr>
            <w:hyperlink r:id="rId22">
              <w:r>
                <w:rPr>
                  <w:rStyle w:val="Hyperlink"/>
                </w:rPr>
                <w:t xml:space="preserve">Open Module 7 Slides</w:t>
              </w:r>
            </w:hyperlink>
          </w:p>
          <w:p/>
        </w:tc>
      </w:tr>
    </w:tbl>
    <w:bookmarkStart w:id="236" w:name="X46999d4e04aaa0bd6e7f1cf0936f3283e50c93c"/>
    <w:p>
      <w:pPr>
        <w:pStyle w:val="Heading2"/>
      </w:pPr>
      <w:r>
        <w:t xml:space="preserve">Module 7.1 – Sexual Reproduction in Ascomycota Genomic Analysis</w:t>
      </w:r>
    </w:p>
    <w:bookmarkStart w:id="229" w:name="introduction-5"/>
    <w:p>
      <w:pPr>
        <w:pStyle w:val="Heading3"/>
      </w:pPr>
      <w:r>
        <w:t xml:space="preserve">Introduction</w:t>
      </w:r>
    </w:p>
    <w:p>
      <w:pPr>
        <w:pStyle w:val="FirstParagraph"/>
      </w:pPr>
      <w:r>
        <w:t xml:space="preserve">Fungal sexual reproduction is complicated. Unlike animals, where usually only 2 opposite mates are observed, some fungi can have hundreds to thousands of different mates (Casselton &amp; Olesnicky, 1998)! Beyond granting the ability to mix genetic material, sexual reproduction has additional importance in fungi since reproductive structures are often more hearty and capable of overwintering, meaning their presence can seriously complicate disease management practices. Undergoing sexual reproduction also provides an important cleaning mechanism for some fungi, enabling them to treat their genomes and remove transposons using processes like Repeat Induced Point mutations, or RIP (Cambareri et al., 1991). In this exercise, we will learn how to determine mating types in Ascomycota using MycoCosm. Compared to most other fungi, Ascomycetes have a relatively simple mating system, where only two types are observed. Here, we will focus on the genus Neurospora where the mating types are simply named</w:t>
      </w:r>
      <w:r>
        <w:t xml:space="preserve"> </w:t>
      </w:r>
      <w:r>
        <w:t xml:space="preserve">“A”</w:t>
      </w:r>
      <w:r>
        <w:t xml:space="preserve"> </w:t>
      </w:r>
      <w:r>
        <w:t xml:space="preserve">and</w:t>
      </w:r>
      <w:r>
        <w:t xml:space="preserve"> </w:t>
      </w:r>
      <w:r>
        <w:t xml:space="preserve">“a”</w:t>
      </w:r>
      <w:r>
        <w:t xml:space="preserve"> </w:t>
      </w:r>
      <w:r>
        <w:t xml:space="preserve">(Metzenberg &amp; Glass, 1990).</w:t>
      </w:r>
    </w:p>
    <w:p>
      <w:pPr>
        <w:pStyle w:val="BodyText"/>
      </w:pPr>
      <w:r>
        <w:t xml:space="preserve">What we know for this exercise: Several mating type-related genes have already been identified. These control the initiation of sexual reproduction. They are mostly transcription factors, which you can think of as highly specialized workers: each has a unique</w:t>
      </w:r>
      <w:r>
        <w:t xml:space="preserve"> </w:t>
      </w:r>
      <w:r>
        <w:t xml:space="preserve">‘skillset’</w:t>
      </w:r>
      <w:r>
        <w:t xml:space="preserve"> </w:t>
      </w:r>
      <w:r>
        <w:t xml:space="preserve">(genes) that they control (turn on or off) to perform some task (in this case, regulate reproduction-related machinery).</w:t>
      </w:r>
    </w:p>
    <w:p>
      <w:pPr>
        <w:pStyle w:val="BodyText"/>
      </w:pPr>
      <w:r>
        <w:t xml:space="preserve">How are mating types determined in fungi? Are the same genes found in both mating types, but regulated differently? Or, are there genes unique to each mating type that are responsible for this? Using comparative genomic approaches, let’s try and find out!</w:t>
      </w:r>
    </w:p>
    <w:p>
      <w:pPr>
        <w:pStyle w:val="BodyText"/>
      </w:pPr>
      <w:r>
        <w:t xml:space="preserve">Beginning with known mating type-related genes collected from NCBI, we will use MycoCosm to branch out into related fungi, identify opposite mates, then formulate hypotheses and learn about the genetics underlying fungal sexual regulation. This approach can be directly applied to predict mating types in other fungi, or used to explore presence/absence of other types of genes!</w:t>
      </w:r>
    </w:p>
    <w:bookmarkEnd w:id="229"/>
    <w:bookmarkStart w:id="230" w:name="references"/>
    <w:p>
      <w:pPr>
        <w:pStyle w:val="Heading3"/>
      </w:pPr>
      <w:r>
        <w:t xml:space="preserve">References</w:t>
      </w:r>
    </w:p>
    <w:p>
      <w:pPr>
        <w:pStyle w:val="Compact"/>
        <w:numPr>
          <w:ilvl w:val="0"/>
          <w:numId w:val="1247"/>
        </w:numPr>
      </w:pPr>
      <w:r>
        <w:t xml:space="preserve">Casselton, L.A., Olesnicky, N.S., 1998. Molecular Genetics of Mating Recognition in Basidiomycete Fungi. Microbiol Mol Biol Rev., 62(1): 55–70. doi: 10.1128/mmbr.62.1.55-70.1998</w:t>
      </w:r>
    </w:p>
    <w:p>
      <w:pPr>
        <w:pStyle w:val="Compact"/>
        <w:numPr>
          <w:ilvl w:val="0"/>
          <w:numId w:val="1247"/>
        </w:numPr>
      </w:pPr>
      <w:r>
        <w:t xml:space="preserve">Cambareri, E.B., Singer, M.J., Selker, E.U., 1991. Recurrence of repeat-induced point mutation (RIP) in Neurospora crassa. Genetics, 127(4):699-710. doi: 10.1093/genetics/127.4.699.</w:t>
      </w:r>
    </w:p>
    <w:p>
      <w:pPr>
        <w:pStyle w:val="Compact"/>
        <w:numPr>
          <w:ilvl w:val="0"/>
          <w:numId w:val="1247"/>
        </w:numPr>
      </w:pPr>
      <w:r>
        <w:t xml:space="preserve">Metzenberg, R.L., Glass, N.L., 1990. Mating type and mating strategies in Neurospora. Bioessays. 1990 Feb;12(2):53-9. doi: 10.1002/bies.950120202.</w:t>
      </w:r>
    </w:p>
    <w:bookmarkEnd w:id="230"/>
    <w:bookmarkStart w:id="235" w:name="finding-mat-a"/>
    <w:p>
      <w:pPr>
        <w:pStyle w:val="Heading3"/>
      </w:pPr>
      <w:r>
        <w:t xml:space="preserve">Finding mat A</w:t>
      </w:r>
    </w:p>
    <w:bookmarkStart w:id="231" w:name="X7f096d5f839edc277e9e3518d4dabc1a4e71251"/>
    <w:p>
      <w:pPr>
        <w:pStyle w:val="Heading4"/>
      </w:pPr>
      <w:r>
        <w:t xml:space="preserve">Locate mat A locus in the Neurospora crassa OR74A genome</w:t>
      </w:r>
    </w:p>
    <w:p>
      <w:pPr>
        <w:pStyle w:val="FirstParagraph"/>
      </w:pPr>
      <w:r>
        <w:t xml:space="preserve">To guide our exploration, let’s create a testable hypothesis. Being informative and straightforward, let’s hypothesize that mating type is determined by the presence/absence of specific genes. Given what we know about mating in Neurospora, a good starting point would be the mat A locus. It is composed of 3 genes, mat A-1, mat A-2, and mat A-3.</w:t>
      </w:r>
    </w:p>
    <w:p>
      <w:pPr>
        <w:pStyle w:val="Compact"/>
        <w:numPr>
          <w:ilvl w:val="0"/>
          <w:numId w:val="1248"/>
        </w:numPr>
      </w:pPr>
      <w:r>
        <w:t xml:space="preserve">Start by visiting NCBI (https://www.ncbi.nlm.nih.gov/) and collecting a reference sequence. Go to the nucleotide database and search for</w:t>
      </w:r>
      <w:r>
        <w:t xml:space="preserve"> </w:t>
      </w:r>
      <w:r>
        <w:t xml:space="preserve">“Neurospora crassa OR74A mating-type protein A-1 (matA-1), mRNA”</w:t>
      </w:r>
      <w:r>
        <w:t xml:space="preserve">.</w:t>
      </w:r>
    </w:p>
    <w:p>
      <w:pPr>
        <w:pStyle w:val="Compact"/>
        <w:numPr>
          <w:ilvl w:val="0"/>
          <w:numId w:val="1248"/>
        </w:numPr>
      </w:pPr>
      <w:r>
        <w:t xml:space="preserve">Find the matching record,</w:t>
      </w:r>
      <w:r>
        <w:t xml:space="preserve"> </w:t>
      </w:r>
      <w:r>
        <w:t xml:space="preserve">“Neurospora crassa OR74A mating-type protein A-1 (matA-1), mRNA”</w:t>
      </w:r>
      <w:r>
        <w:t xml:space="preserve"> </w:t>
      </w:r>
      <w:r>
        <w:t xml:space="preserve">and collect the corresponding nucleotide sequence by clicking the</w:t>
      </w:r>
      <w:r>
        <w:t xml:space="preserve"> </w:t>
      </w:r>
      <w:r>
        <w:t xml:space="preserve">‘FASTA’</w:t>
      </w:r>
      <w:r>
        <w:t xml:space="preserve"> </w:t>
      </w:r>
      <w:r>
        <w:t xml:space="preserve">link (see below), then select and copy the sequence.</w:t>
      </w:r>
    </w:p>
    <w:p>
      <w:pPr>
        <w:pStyle w:val="Compact"/>
        <w:numPr>
          <w:ilvl w:val="0"/>
          <w:numId w:val="1248"/>
        </w:numPr>
      </w:pPr>
      <w:r>
        <w:t xml:space="preserve">Let’s find the location of this gene in the genome! Go to the Neucr2 MycoCosm portal (https://mycocosm.jgi.doe.gov/Neucr2) and search for it using the BLAST tool.</w:t>
      </w:r>
    </w:p>
    <w:p>
      <w:pPr>
        <w:pStyle w:val="Compact"/>
        <w:numPr>
          <w:ilvl w:val="0"/>
          <w:numId w:val="1248"/>
        </w:numPr>
      </w:pPr>
      <w:r>
        <w:t xml:space="preserve">Click the BLAST tab, paste your sequence into the query sequence box. Using blastn, select the filtered model transcripts set and click the</w:t>
      </w:r>
      <w:r>
        <w:t xml:space="preserve"> </w:t>
      </w:r>
      <w:r>
        <w:t xml:space="preserve">‘Run blastn’</w:t>
      </w:r>
      <w:r>
        <w:t xml:space="preserve"> </w:t>
      </w:r>
      <w:r>
        <w:t xml:space="preserve">button.</w:t>
      </w:r>
    </w:p>
    <w:p>
      <w:pPr>
        <w:pStyle w:val="Compact"/>
        <w:numPr>
          <w:ilvl w:val="0"/>
          <w:numId w:val="1248"/>
        </w:numPr>
      </w:pPr>
      <w:r>
        <w:t xml:space="preserve">You should see two hits, each shown in a separate row.</w:t>
      </w:r>
    </w:p>
    <w:p>
      <w:pPr>
        <w:pStyle w:val="Compact"/>
        <w:numPr>
          <w:ilvl w:val="1"/>
          <w:numId w:val="1249"/>
        </w:numPr>
      </w:pPr>
      <w:r>
        <w:t xml:space="preserve">The first column shows the portal ID and transcript ID (since we are searching against nucleotides) of the hit. Portal IDs are unique identifiers assigned to each genome. For example, Neucr2 is the portal ID for Neurospora crassa OR74A, and it can be used to access the portal (e.g. https://mycocosm.jgi.doe.gov/Neucr2). This unique identifier is also displayed across various portal pages to label data from a particular organism.</w:t>
      </w:r>
    </w:p>
    <w:p>
      <w:pPr>
        <w:pStyle w:val="Compact"/>
        <w:numPr>
          <w:ilvl w:val="1"/>
          <w:numId w:val="1249"/>
        </w:numPr>
      </w:pPr>
      <w:r>
        <w:t xml:space="preserve">The second column shows an alignment of that sequence against your query, which is helpful for seeing how well hits cover your query sequence.</w:t>
      </w:r>
    </w:p>
    <w:p>
      <w:pPr>
        <w:pStyle w:val="Compact"/>
        <w:numPr>
          <w:ilvl w:val="1"/>
          <w:numId w:val="1249"/>
        </w:numPr>
      </w:pPr>
      <w:r>
        <w:t xml:space="preserve">The score and EValue columns are also useful when assessing hit quality. Higher scores are better, and conversely, lower e-values are better.</w:t>
      </w:r>
    </w:p>
    <w:p>
      <w:pPr>
        <w:pStyle w:val="Compact"/>
        <w:numPr>
          <w:ilvl w:val="0"/>
          <w:numId w:val="1248"/>
        </w:numPr>
      </w:pPr>
      <w:r>
        <w:t xml:space="preserve">The first hit looks better. You can tell because the hit covers more of our query and the score is higher. Let’s explore the protein page for the best hit and look for evidence that this is actually mat A-1. Click on the identifier in the first column to access this page.</w:t>
      </w:r>
    </w:p>
    <w:p>
      <w:pPr>
        <w:pStyle w:val="Compact"/>
        <w:numPr>
          <w:ilvl w:val="0"/>
          <w:numId w:val="1248"/>
        </w:numPr>
      </w:pPr>
      <w:r>
        <w:t xml:space="preserve">Let’s explore the genome browser by clicking on the genome coordinates at the top of the page, in the</w:t>
      </w:r>
      <w:r>
        <w:t xml:space="preserve"> </w:t>
      </w:r>
      <w:r>
        <w:t xml:space="preserve">‘Location’</w:t>
      </w:r>
      <w:r>
        <w:t xml:space="preserve"> </w:t>
      </w:r>
      <w:r>
        <w:t xml:space="preserve">section (Above image, red arrow).</w:t>
      </w:r>
    </w:p>
    <w:p>
      <w:pPr>
        <w:pStyle w:val="Compact"/>
        <w:numPr>
          <w:ilvl w:val="0"/>
          <w:numId w:val="1248"/>
        </w:numPr>
      </w:pPr>
      <w:r>
        <w:t xml:space="preserve">After loading is complete (this might take a little while, lots of data are on this browser!), click on the -10x in the top middle portion of the page to get a bigger view (see image below).</w:t>
      </w:r>
    </w:p>
    <w:p>
      <w:pPr>
        <w:pStyle w:val="Compact"/>
        <w:numPr>
          <w:ilvl w:val="0"/>
          <w:numId w:val="1248"/>
        </w:numPr>
      </w:pPr>
      <w:r>
        <w:t xml:space="preserve">The genome browser will show you information we have available for a particular stretch of DNA sequence in your assembly. It contains details on whether we observed the same (or similar) stretch of DNA in a related organism (Vista tracks), predicted genes in that region/locus, and any other information we have. Other information can include messenger RNA expression (mRNA) levels, locations of blast hits for proteins from other fungi, and more! All of these other tracks can provide valuable information to understand fungal biology as well as evidence for validating gene predictions.</w:t>
      </w:r>
    </w:p>
    <w:p>
      <w:pPr>
        <w:pStyle w:val="Compact"/>
        <w:numPr>
          <w:ilvl w:val="0"/>
          <w:numId w:val="1248"/>
        </w:numPr>
      </w:pPr>
      <w:r>
        <w:t xml:space="preserve">You just found the mat A locus in N. crassa! In the position box in the upper left corner, you can see your location: Supercontig_1:1853928-1868957. Remember, if you are lost, every MycoCosm page has a HELP! tab you can access from the menu bar.</w:t>
      </w:r>
    </w:p>
    <w:p>
      <w:pPr>
        <w:pStyle w:val="Compact"/>
        <w:numPr>
          <w:ilvl w:val="0"/>
          <w:numId w:val="1248"/>
        </w:numPr>
      </w:pPr>
      <w:r>
        <w:t xml:space="preserve">Now that we are at the mating type locus, let’s look at the genes. In this case, genes were predicted at the Broad Institute instead of the JGI. Click on the small</w:t>
      </w:r>
      <w:r>
        <w:t xml:space="preserve"> </w:t>
      </w:r>
      <w:r>
        <w:t xml:space="preserve">‘+’</w:t>
      </w:r>
      <w:r>
        <w:t xml:space="preserve"> </w:t>
      </w:r>
      <w:r>
        <w:t xml:space="preserve">to the left of the</w:t>
      </w:r>
      <w:r>
        <w:t xml:space="preserve"> </w:t>
      </w:r>
      <w:r>
        <w:t xml:space="preserve">‘BroadModels’</w:t>
      </w:r>
      <w:r>
        <w:t xml:space="preserve"> </w:t>
      </w:r>
      <w:r>
        <w:t xml:space="preserve">track to view them.</w:t>
      </w:r>
    </w:p>
    <w:p>
      <w:pPr>
        <w:pStyle w:val="Compact"/>
        <w:numPr>
          <w:ilvl w:val="0"/>
          <w:numId w:val="1248"/>
        </w:numPr>
      </w:pPr>
      <w:r>
        <w:t xml:space="preserve">Note that some regions have 2 overlapping genes. These are called</w:t>
      </w:r>
      <w:r>
        <w:t xml:space="preserve"> </w:t>
      </w:r>
      <w:r>
        <w:t xml:space="preserve">‘isoforms’</w:t>
      </w:r>
      <w:r>
        <w:t xml:space="preserve">, which are variants of the same gene where RNA can be sliced in different ways to produce alternative transcripts and proteins (these are rare in fungi).</w:t>
      </w:r>
    </w:p>
    <w:p>
      <w:pPr>
        <w:pStyle w:val="Compact"/>
        <w:numPr>
          <w:ilvl w:val="0"/>
          <w:numId w:val="1248"/>
        </w:numPr>
      </w:pPr>
      <w:r>
        <w:t xml:space="preserve">In this region of the genome, you can see 5 genes (2 with isoforms). To learn more about what these genes might do, we can look at their protein pages. You can get to the protein page by clicking on the gene, then selecting</w:t>
      </w:r>
      <w:r>
        <w:t xml:space="preserve"> </w:t>
      </w:r>
      <w:r>
        <w:t xml:space="preserve">‘feature’</w:t>
      </w:r>
      <w:r>
        <w:t xml:space="preserve"> </w:t>
      </w:r>
      <w:r>
        <w:t xml:space="preserve">web page (or center mouse click on the gene to open it in a new tab). For convenience, here are links to the protein pages for all 5 genes in this region: NCU01961T0, NCU01960T0, NCU01959T0, NCU01958T0, NCU01957T0.</w:t>
      </w:r>
    </w:p>
    <w:p>
      <w:pPr>
        <w:pStyle w:val="Compact"/>
        <w:numPr>
          <w:ilvl w:val="0"/>
          <w:numId w:val="1248"/>
        </w:numPr>
      </w:pPr>
      <w:r>
        <w:t xml:space="preserve">Using the information on the protein page, can you find mat A-2 and mat-A3?</w:t>
      </w:r>
    </w:p>
    <w:p>
      <w:pPr>
        <w:pStyle w:val="Compact"/>
        <w:numPr>
          <w:ilvl w:val="0"/>
          <w:numId w:val="1248"/>
        </w:numPr>
      </w:pPr>
      <w:r>
        <w:t xml:space="preserve">At the mating type locus, do you notice anything interesting when exploring the read depth coverage plots (pink tracks) from related Neurospora genomes?</w:t>
      </w:r>
    </w:p>
    <w:p>
      <w:pPr>
        <w:pStyle w:val="Compact"/>
        <w:numPr>
          <w:ilvl w:val="0"/>
          <w:numId w:val="1248"/>
        </w:numPr>
      </w:pPr>
      <w:r>
        <w:t xml:space="preserve">Based on this information, let’s revisit our hypothesis about how fungal mating type is determined. Given that many related Neurospora crassa genomes are completely missing this region, this appears to support our hypothesis that fungal mating type is determined by gene presence/absence, and specifically suggests that this locus might be what we are looking for! This would mean that the fungi without this locus are of the opposite mating type. Let’s continue to test this hypothesis and see if it holds up to further scrutiny!</w:t>
      </w:r>
    </w:p>
    <w:bookmarkEnd w:id="231"/>
    <w:bookmarkStart w:id="232" w:name="X2940993da31089974a2c6c9fed6b821d862ffff"/>
    <w:p>
      <w:pPr>
        <w:pStyle w:val="Heading4"/>
      </w:pPr>
      <w:r>
        <w:t xml:space="preserve">Exploring mating type in related Neurospora</w:t>
      </w:r>
    </w:p>
    <w:p>
      <w:pPr>
        <w:pStyle w:val="FirstParagraph"/>
      </w:pPr>
      <w:r>
        <w:t xml:space="preserve">Let’s try to find mat A genes in related genomes. We can start by selecting a representative gene and then searching gene families present on the mcl clusters page.</w:t>
      </w:r>
    </w:p>
    <w:p>
      <w:pPr>
        <w:pStyle w:val="Compact"/>
        <w:numPr>
          <w:ilvl w:val="0"/>
          <w:numId w:val="1250"/>
        </w:numPr>
      </w:pPr>
      <w:r>
        <w:t xml:space="preserve">Go to the MCL clusters tab. The MCL page displays information on gene families present across a set of related genomes. You can use it to filter gene families and identify those that fit specific criteria you are interested in.</w:t>
      </w:r>
    </w:p>
    <w:p>
      <w:pPr>
        <w:pStyle w:val="Compact"/>
        <w:numPr>
          <w:ilvl w:val="0"/>
          <w:numId w:val="1250"/>
        </w:numPr>
      </w:pPr>
      <w:r>
        <w:t xml:space="preserve">We can also use this page to search for specific proteins of interest. Using the protein ID you gathered earlier from either mat A-2 or mat A-3, in the</w:t>
      </w:r>
      <w:r>
        <w:t xml:space="preserve"> </w:t>
      </w:r>
      <w:r>
        <w:t xml:space="preserve">‘filter by keywords’</w:t>
      </w:r>
      <w:r>
        <w:t xml:space="preserve"> </w:t>
      </w:r>
      <w:r>
        <w:t xml:space="preserve">field, type: portalID.proteinId (e.g. Neucr2.487), then hit enter.</w:t>
      </w:r>
    </w:p>
    <w:p>
      <w:pPr>
        <w:pStyle w:val="Compact"/>
        <w:numPr>
          <w:ilvl w:val="0"/>
          <w:numId w:val="1250"/>
        </w:numPr>
      </w:pPr>
      <w:r>
        <w:t xml:space="preserve">You should see a single cluster appear. It looks like this gene is missing from one of these genomes! Actually, all 3 genes from the mat A locus are missing in this lineage. This is not surprising given what we saw earlier on the genome browser (Step 14 from the</w:t>
      </w:r>
      <w:r>
        <w:t xml:space="preserve"> </w:t>
      </w:r>
      <w:r>
        <w:t xml:space="preserve">‘Finding mat A’</w:t>
      </w:r>
      <w:r>
        <w:t xml:space="preserve"> </w:t>
      </w:r>
      <w:r>
        <w:t xml:space="preserve">section).</w:t>
      </w:r>
    </w:p>
    <w:p>
      <w:pPr>
        <w:pStyle w:val="Compact"/>
        <w:numPr>
          <w:ilvl w:val="0"/>
          <w:numId w:val="1250"/>
        </w:numPr>
      </w:pPr>
      <w:r>
        <w:t xml:space="preserve">Hover over the lineage name and you will get a clue as to why this might be. Specifically, this strain is named Neurospora tetrasperma FGSC 2509 mat a, telling us that the organism lacking these genes is the opposite mate!</w:t>
      </w:r>
    </w:p>
    <w:p>
      <w:pPr>
        <w:pStyle w:val="Compact"/>
        <w:numPr>
          <w:ilvl w:val="0"/>
          <w:numId w:val="1250"/>
        </w:numPr>
      </w:pPr>
      <w:r>
        <w:t xml:space="preserve">You can take a closer look at gene families by clicking on the cluster number to the left of the donut plots (see above figure). This page will show you details on all genes (rows) that are part of this gene family. Click on the synteny view and make some observations.</w:t>
      </w:r>
    </w:p>
    <w:p>
      <w:pPr>
        <w:pStyle w:val="Compact"/>
        <w:numPr>
          <w:ilvl w:val="0"/>
          <w:numId w:val="1250"/>
        </w:numPr>
      </w:pPr>
      <w:r>
        <w:t xml:space="preserve">Genes rearrange all the time in fungi, leading to poor conservation of gene neighborhoods. As you can see from this view, the genes surrounding the mating type locus are an exception, where across all species they tend to keep the same order. Feel free to head back to the full mcl clustering run (here) and click around on some families to see how different it really is!</w:t>
      </w:r>
    </w:p>
    <w:bookmarkEnd w:id="232"/>
    <w:bookmarkStart w:id="233" w:name="finding-mat-a-1"/>
    <w:p>
      <w:pPr>
        <w:pStyle w:val="Heading4"/>
      </w:pPr>
      <w:r>
        <w:t xml:space="preserve">Finding mat a</w:t>
      </w:r>
    </w:p>
    <w:p>
      <w:pPr>
        <w:pStyle w:val="FirstParagraph"/>
      </w:pPr>
      <w:r>
        <w:t xml:space="preserve">Let’s repeat this exercise with the mat a locus to confirm our suspicions, but instead of using nucleotide sequence, let’s try another approach: using protein sequence.</w:t>
      </w:r>
    </w:p>
    <w:p>
      <w:pPr>
        <w:pStyle w:val="Compact"/>
        <w:numPr>
          <w:ilvl w:val="0"/>
          <w:numId w:val="1251"/>
        </w:numPr>
      </w:pPr>
      <w:r>
        <w:t xml:space="preserve">Start by searching the NCBI protein database for</w:t>
      </w:r>
      <w:r>
        <w:t xml:space="preserve"> </w:t>
      </w:r>
      <w:r>
        <w:t xml:space="preserve">“mating-type protein Mat a-1, partial Neurospora discreta”</w:t>
      </w:r>
      <w:r>
        <w:t xml:space="preserve"> </w:t>
      </w:r>
      <w:r>
        <w:t xml:space="preserve">and collect the protein sequence.</w:t>
      </w:r>
    </w:p>
    <w:p>
      <w:pPr>
        <w:pStyle w:val="Compact"/>
        <w:numPr>
          <w:ilvl w:val="0"/>
          <w:numId w:val="1251"/>
        </w:numPr>
      </w:pPr>
      <w:r>
        <w:t xml:space="preserve">Let’s find it on the mat a genome portal you found earlier for N. tetrasperma strain FGSC 2509, (https://mycocosm.jgi.doe.gov/Neute_mat_a1).</w:t>
      </w:r>
    </w:p>
    <w:p>
      <w:pPr>
        <w:pStyle w:val="Compact"/>
        <w:numPr>
          <w:ilvl w:val="0"/>
          <w:numId w:val="1251"/>
        </w:numPr>
      </w:pPr>
      <w:r>
        <w:t xml:space="preserve">Can you find the corresponding protein using blastp against the</w:t>
      </w:r>
      <w:r>
        <w:t xml:space="preserve"> </w:t>
      </w:r>
      <w:r>
        <w:t xml:space="preserve">‘Neurospora tetrasperma mat a v1.0 filtered gene models (proteins)’</w:t>
      </w:r>
      <w:r>
        <w:t xml:space="preserve"> </w:t>
      </w:r>
      <w:r>
        <w:t xml:space="preserve">set?</w:t>
      </w:r>
    </w:p>
    <w:p>
      <w:pPr>
        <w:pStyle w:val="Compact"/>
        <w:numPr>
          <w:ilvl w:val="0"/>
          <w:numId w:val="1251"/>
        </w:numPr>
      </w:pPr>
      <w:r>
        <w:t xml:space="preserve">The best hit is to N. tetrasperma protein ID 124723, can you explain why?</w:t>
      </w:r>
    </w:p>
    <w:p>
      <w:pPr>
        <w:pStyle w:val="Compact"/>
        <w:numPr>
          <w:ilvl w:val="0"/>
          <w:numId w:val="1251"/>
        </w:numPr>
      </w:pPr>
      <w:r>
        <w:t xml:space="preserve">Let’s revisit the Neucr2 mcl clustering page and search for this, again by typing portalID.proteinID (e.g. Neute_mat_a1.124723) in the search field.</w:t>
      </w:r>
    </w:p>
    <w:p>
      <w:pPr>
        <w:pStyle w:val="Compact"/>
        <w:numPr>
          <w:ilvl w:val="0"/>
          <w:numId w:val="1251"/>
        </w:numPr>
      </w:pPr>
      <w:r>
        <w:t xml:space="preserve">Do you notice anything different about this cluster compared to the mat-A cluster? Explore this family to learn more - click the on the cluster number (#771) and take a look at the synteny view again.</w:t>
      </w:r>
    </w:p>
    <w:p>
      <w:pPr>
        <w:pStyle w:val="Compact"/>
        <w:numPr>
          <w:ilvl w:val="0"/>
          <w:numId w:val="1251"/>
        </w:numPr>
      </w:pPr>
      <w:r>
        <w:t xml:space="preserve">It looks like our mat a gene is found in a region that is not present in any of the others, which are all the opposite mating type (mat A)!</w:t>
      </w:r>
    </w:p>
    <w:p>
      <w:pPr>
        <w:pStyle w:val="Compact"/>
        <w:numPr>
          <w:ilvl w:val="0"/>
          <w:numId w:val="1251"/>
        </w:numPr>
      </w:pPr>
      <w:r>
        <w:t xml:space="preserve">With this information, we can say that all our current evidence supports our hypothesis that fungal mating types are driven by presence/absence of specific genes, mat a and A in particular!</w:t>
      </w:r>
    </w:p>
    <w:bookmarkEnd w:id="233"/>
    <w:bookmarkStart w:id="234" w:name="X9715fd3f99632550ef0fc5fc1a10ffe328f1a6c"/>
    <w:p>
      <w:pPr>
        <w:pStyle w:val="Heading4"/>
      </w:pPr>
      <w:r>
        <w:t xml:space="preserve">Annotating mating type loci in Myco-Ed (and related) genomes</w:t>
      </w:r>
    </w:p>
    <w:p>
      <w:pPr>
        <w:pStyle w:val="FirstParagraph"/>
      </w:pPr>
      <w:r>
        <w:t xml:space="preserve">Let’s apply what you learned! Pick a MycoEd genome from our group portal - can you identify its mating type and find the mating type locus?</w:t>
      </w:r>
    </w:p>
    <w:p>
      <w:pPr>
        <w:pStyle w:val="Compact"/>
        <w:numPr>
          <w:ilvl w:val="0"/>
          <w:numId w:val="1252"/>
        </w:numPr>
      </w:pPr>
      <w:r>
        <w:t xml:space="preserve">Identify mating type genes from a related fungus on NCBI and go through this exercise again on your own. Note that not all mating type genes will be the same as those from N. crassa. Consequently, using the mat a or A genes you identified earlier as bait might not work to fish out mating type genes in other groups of fungi. You will have to find these on your own!</w:t>
      </w:r>
    </w:p>
    <w:p>
      <w:pPr>
        <w:pStyle w:val="Compact"/>
        <w:numPr>
          <w:ilvl w:val="0"/>
          <w:numId w:val="1252"/>
        </w:numPr>
      </w:pPr>
      <w:r>
        <w:t xml:space="preserve">If you cannot find a gene to use as bait from NCBI, try using the search function on MycoCosm! Try searching for something like</w:t>
      </w:r>
      <w:r>
        <w:t xml:space="preserve"> </w:t>
      </w:r>
      <w:r>
        <w:t xml:space="preserve">‘mating-type’</w:t>
      </w:r>
      <w:r>
        <w:t xml:space="preserve"> </w:t>
      </w:r>
      <w:r>
        <w:t xml:space="preserve">and see what sorts of annotations come up for the resulting list of genes.</w:t>
      </w:r>
    </w:p>
    <w:p>
      <w:pPr>
        <w:pStyle w:val="Compact"/>
        <w:numPr>
          <w:ilvl w:val="0"/>
          <w:numId w:val="1252"/>
        </w:numPr>
      </w:pPr>
      <w:r>
        <w:t xml:space="preserve">Go through the same exercise to search mcl clusters. Do you see a similar pattern to what we observed in N. crassa?</w:t>
      </w:r>
    </w:p>
    <w:p>
      <w:pPr>
        <w:pStyle w:val="Compact"/>
        <w:numPr>
          <w:ilvl w:val="0"/>
          <w:numId w:val="1252"/>
        </w:numPr>
      </w:pPr>
      <w:r>
        <w:t xml:space="preserve">For these MycoEd genomes, you can add your own text to describe what you discovered about any particular gene! This will be of great value to the scientific community, especially those studying fungal sexual reproduction.</w:t>
      </w:r>
    </w:p>
    <w:p>
      <w:pPr>
        <w:pStyle w:val="Compact"/>
        <w:numPr>
          <w:ilvl w:val="0"/>
          <w:numId w:val="1252"/>
        </w:numPr>
      </w:pPr>
      <w:r>
        <w:t xml:space="preserve">Once you have identified the mating type locus, go to the corresponding protein page and click</w:t>
      </w:r>
      <w:r>
        <w:t xml:space="preserve"> </w:t>
      </w:r>
      <w:r>
        <w:t xml:space="preserve">‘view/modify manual annotation’</w:t>
      </w:r>
      <w:r>
        <w:t xml:space="preserve">.</w:t>
      </w:r>
    </w:p>
    <w:p>
      <w:pPr>
        <w:pStyle w:val="Compact"/>
        <w:numPr>
          <w:ilvl w:val="0"/>
          <w:numId w:val="1252"/>
        </w:numPr>
      </w:pPr>
      <w:r>
        <w:t xml:space="preserve">Next, add your description! You should see</w:t>
      </w:r>
      <w:r>
        <w:t xml:space="preserve"> </w:t>
      </w:r>
      <w:r>
        <w:t xml:space="preserve">‘add/edit’</w:t>
      </w:r>
      <w:r>
        <w:t xml:space="preserve"> </w:t>
      </w:r>
      <w:r>
        <w:t xml:space="preserve">buttons on the next page. For the</w:t>
      </w:r>
      <w:r>
        <w:t xml:space="preserve"> </w:t>
      </w:r>
      <w:r>
        <w:t xml:space="preserve">‘Description’</w:t>
      </w:r>
      <w:r>
        <w:t xml:space="preserve"> </w:t>
      </w:r>
      <w:r>
        <w:t xml:space="preserve">attribute, select</w:t>
      </w:r>
      <w:r>
        <w:t xml:space="preserve"> </w:t>
      </w:r>
      <w:r>
        <w:t xml:space="preserve">‘add’</w:t>
      </w:r>
      <w:r>
        <w:t xml:space="preserve">, then enter details on what you discovered about that gene and hit</w:t>
      </w:r>
      <w:r>
        <w:t xml:space="preserve"> </w:t>
      </w:r>
      <w:r>
        <w:t xml:space="preserve">‘save item’</w:t>
      </w:r>
      <w:r>
        <w:t xml:space="preserve">. For example, if you found mat A-1, a useful description would be</w:t>
      </w:r>
      <w:r>
        <w:t xml:space="preserve"> </w:t>
      </w:r>
      <w:r>
        <w:t xml:space="preserve">‘mating type protein A-1’</w:t>
      </w:r>
      <w:r>
        <w:t xml:space="preserve">.</w:t>
      </w:r>
    </w:p>
    <w:p>
      <w:pPr>
        <w:pStyle w:val="Compact"/>
        <w:numPr>
          <w:ilvl w:val="0"/>
          <w:numId w:val="1252"/>
        </w:numPr>
      </w:pPr>
      <w:r>
        <w:t xml:space="preserve">Your name will be associated with your entry and by the following day, it will become searchable across the portal! This means anyone who visits this genome can easily find mating type loci, and know who to thank (you!) for this work.</w:t>
      </w:r>
    </w:p>
    <w:p>
      <w:pPr>
        <w:pStyle w:val="Compact"/>
        <w:numPr>
          <w:ilvl w:val="0"/>
          <w:numId w:val="1252"/>
        </w:numPr>
      </w:pPr>
      <w:r>
        <w:t xml:space="preserve">Using your exploration of MCL clusters, you might also be able to characterize mating type loci in related fungi. If you do, please share the identified portal, protein ID, and your text description with your instructor. In addition, please share your name and email address so we can attribute these discoveries to you!</w:t>
      </w:r>
    </w:p>
    <w:bookmarkEnd w:id="234"/>
    <w:bookmarkEnd w:id="235"/>
    <w:bookmarkEnd w:id="236"/>
    <w:bookmarkStart w:id="245" w:name="Xe7b646958662d93788a5fac43551e0623449021"/>
    <w:p>
      <w:pPr>
        <w:pStyle w:val="Heading2"/>
      </w:pPr>
      <w:r>
        <w:t xml:space="preserve">Module 7.2 – Fungal Natural Product Production Genomic Analysis</w:t>
      </w:r>
    </w:p>
    <w:bookmarkStart w:id="237" w:name="introduction-6"/>
    <w:p>
      <w:pPr>
        <w:pStyle w:val="Heading3"/>
      </w:pPr>
      <w:r>
        <w:t xml:space="preserve">Introduction</w:t>
      </w:r>
    </w:p>
    <w:p>
      <w:pPr>
        <w:pStyle w:val="FirstParagraph"/>
      </w:pPr>
      <w:r>
        <w:t xml:space="preserve">Fungi are famous producers of natural products that become new drugs, including anticancer agents (Kumar et al., 2019), cholesterol-reducing products (Seenivasan et al., 2008), and a variety of diverse antibiotics. One of the most famous examples is penicillin, the first antibiotic. Discovered by Alexander Fleming in 1929 as a fungal contaminant on his bacterial cultures, his observation that the fungus (Penicillium rubrum; reclassified later as P. chrysogenum) could kill bacteria (Fleming, 1929) led to the development of penicillin, saving countless lives during World War II and beyond. Like most of these interesting fungal products, they are secondary metabolites. Secondary metabolites are typically produced by organisms to provide a competitive advantage in a given environment (e.g., antibacterials for protection, toxins for causing disease, etc).</w:t>
      </w:r>
    </w:p>
    <w:p>
      <w:pPr>
        <w:pStyle w:val="BodyText"/>
      </w:pPr>
      <w:r>
        <w:t xml:space="preserve">Core to the production of any secondary metabolite is a</w:t>
      </w:r>
      <w:r>
        <w:t xml:space="preserve"> </w:t>
      </w:r>
      <w:r>
        <w:t xml:space="preserve">‘backbone’</w:t>
      </w:r>
      <w:r>
        <w:t xml:space="preserve"> </w:t>
      </w:r>
      <w:r>
        <w:t xml:space="preserve">gene. These backbone genes can be very strange, such as Non-Ribosomal Peptide Synthetases (NRPSs), which are specialized machines that enable the formation of non-standard products. This can even include amino acids outside of the standard 20 essential for life! NRPSs are large proteins that contain repeated modules, each including an Adenylation (A), Peptide Carrier Protein (PCP), and condensation (C) domain (Streiker et al., 2010). Combined, these allow the NRPS to add amino acids to a growing chain, producing unique molecules. These molecules are then tweaked by decorating enzymes (Keller, 2019) that modify whatever the backbone gene produces, allowing fungi to produce a multitude of bizarre molecules that can wreak havoc in other cells! Decorating genes are physically located next to backbone genes, allowing us to define Biosynthetic Gene Clusters (BGCs) responsible for the production of specific metabolites.</w:t>
      </w:r>
    </w:p>
    <w:p>
      <w:pPr>
        <w:pStyle w:val="BodyText"/>
      </w:pPr>
      <w:r>
        <w:t xml:space="preserve">In this exercise, let’s follow up on Alexander Fleming’s discovery and find the BGC that controls penicillin production. We will then use comparative genomic approaches to discover other fungi that are likely producers of penicillin and variants thereof (which could be candidates for creating exciting new antibiotics), then apply our knowledge to characterize new, unexplored BGCs!</w:t>
      </w:r>
    </w:p>
    <w:p>
      <w:pPr>
        <w:pStyle w:val="BodyText"/>
      </w:pPr>
      <w:r>
        <w:t xml:space="preserve">What we know for this exercise: From Fleming’s work, we know penicillin is produced by Penicillium chrysogenum. An NRPS is responsible for penicillin production and in P. chrysogenum the penicillin BGC contains three genes: pcbAB, pcbC, and penDE. Which of these is the backbone gene? Can we find it in related Penicillium genomes? Can you identify any fungi that might produce novel penicillin variants? Using comparative genomics approaches, let’s begin by identifying the penicillin BGC in P. chrysogenum, then formulate hypotheses and learn about its distribution across fungi. The same approach can be used to characterize diversity and distribution of other BGCs, even ones where we don’t know the metabolite they produce yet!</w:t>
      </w:r>
    </w:p>
    <w:bookmarkEnd w:id="237"/>
    <w:bookmarkStart w:id="238" w:name="references-1"/>
    <w:p>
      <w:pPr>
        <w:pStyle w:val="Heading3"/>
      </w:pPr>
      <w:r>
        <w:t xml:space="preserve">References</w:t>
      </w:r>
    </w:p>
    <w:p>
      <w:pPr>
        <w:pStyle w:val="Compact"/>
        <w:numPr>
          <w:ilvl w:val="0"/>
          <w:numId w:val="1253"/>
        </w:numPr>
      </w:pPr>
      <w:r>
        <w:t xml:space="preserve">Kumar, P., Singh, B., Thakur, V., Thakur, A., Thakur, N., Pandey, D., Chanda, D., 2019. Hyper-production of taxol from Aspergillus fumigatus, an endophytic fungus isolated from Taxus sp. of the Northern Himalayan region. Biotechnol Rep (Amst). doi: 10.1016/j.btre.2019.e00395</w:t>
      </w:r>
    </w:p>
    <w:p>
      <w:pPr>
        <w:pStyle w:val="Compact"/>
        <w:numPr>
          <w:ilvl w:val="0"/>
          <w:numId w:val="1253"/>
        </w:numPr>
      </w:pPr>
      <w:r>
        <w:t xml:space="preserve">Seenivasan, A., Subhagar, S., Aravindan, R., Viruthagiri, T., 2008. Microbial Production and Biomedical Applications of Lovastatin. Indian J Pharm Sci. 2008, doi: 10.4103/0250-474X.49087</w:t>
      </w:r>
    </w:p>
    <w:p>
      <w:pPr>
        <w:pStyle w:val="Compact"/>
        <w:numPr>
          <w:ilvl w:val="0"/>
          <w:numId w:val="1253"/>
        </w:numPr>
      </w:pPr>
      <w:r>
        <w:t xml:space="preserve">Fleming, A., 1929. On the Antibacterial Action of Cultures of a Penicillium, with Special Reference to their Use in the Isolation of B. influenzæ. Br J Exp Pathol. 1929 Jun; 10(3): 226–236</w:t>
      </w:r>
    </w:p>
    <w:p>
      <w:pPr>
        <w:pStyle w:val="Compact"/>
        <w:numPr>
          <w:ilvl w:val="0"/>
          <w:numId w:val="1253"/>
        </w:numPr>
      </w:pPr>
      <w:r>
        <w:t xml:space="preserve">Strieker, M., Tanovic, A., Marahiel, M.A., 2010. Nonribosomal peptide synthetases: structures and dynamics. Current Opinion in Structural Biology 2010, 20:234–240</w:t>
      </w:r>
    </w:p>
    <w:p>
      <w:pPr>
        <w:pStyle w:val="Compact"/>
        <w:numPr>
          <w:ilvl w:val="0"/>
          <w:numId w:val="1253"/>
        </w:numPr>
      </w:pPr>
      <w:r>
        <w:t xml:space="preserve">Keller, N., 2019. Fungal secondary metabolism: regulation, function and drug discovery. Nature Reviews Microbiology, 17(3): 167–180. doi: 10.1038/s41579-018-0121-1</w:t>
      </w:r>
    </w:p>
    <w:bookmarkEnd w:id="238"/>
    <w:bookmarkStart w:id="241" w:name="X31643484012ee51f67fd2def9a4608ddd3c7490"/>
    <w:p>
      <w:pPr>
        <w:pStyle w:val="Heading3"/>
      </w:pPr>
      <w:r>
        <w:t xml:space="preserve">Finding the Penicillin Biosynthetic Gene Cluster</w:t>
      </w:r>
    </w:p>
    <w:bookmarkStart w:id="239" w:name="X27e5a65183f9483aec43514a5289c555b8e099a"/>
    <w:p>
      <w:pPr>
        <w:pStyle w:val="Heading4"/>
      </w:pPr>
      <w:r>
        <w:t xml:space="preserve">Locate the known cluster in P. chrysogenum</w:t>
      </w:r>
    </w:p>
    <w:p>
      <w:pPr>
        <w:pStyle w:val="Compact"/>
        <w:numPr>
          <w:ilvl w:val="0"/>
          <w:numId w:val="1254"/>
        </w:numPr>
      </w:pPr>
      <w:r>
        <w:t xml:space="preserve">To start, let’s retrieve a sequence from NCBI that can help us locate the Penicillin BGC. We know there are 3 genes in this cluster: pcbAB, pcbC, and penDE. Go to NCBI (https://www.ncbi.nlm.nih.gov/) and search the</w:t>
      </w:r>
      <w:r>
        <w:t xml:space="preserve"> </w:t>
      </w:r>
      <w:r>
        <w:t xml:space="preserve">‘Nucleotide’</w:t>
      </w:r>
      <w:r>
        <w:t xml:space="preserve"> </w:t>
      </w:r>
      <w:r>
        <w:t xml:space="preserve">database for pcbAB</w:t>
      </w:r>
    </w:p>
    <w:p>
      <w:pPr>
        <w:pStyle w:val="Compact"/>
        <w:numPr>
          <w:ilvl w:val="0"/>
          <w:numId w:val="1254"/>
        </w:numPr>
      </w:pPr>
      <w:r>
        <w:t xml:space="preserve">Select the first record, titled</w:t>
      </w:r>
      <w:r>
        <w:t xml:space="preserve"> </w:t>
      </w:r>
      <w:r>
        <w:t xml:space="preserve">“Penicillium chrysogenum PcbC (pcbC) gene, partial cds; pcbC-pcbAB intergenic spacer, complete sequence; and PcbAB (pcbAB) gene, partial cds”</w:t>
      </w:r>
      <w:r>
        <w:t xml:space="preserve">. This corresponds mostly to the DNA in between pcbC and pcbAB, which will be a great tool for identifying very similar regions in other genomes!</w:t>
      </w:r>
    </w:p>
    <w:p>
      <w:pPr>
        <w:pStyle w:val="Compact"/>
        <w:numPr>
          <w:ilvl w:val="0"/>
          <w:numId w:val="1254"/>
        </w:numPr>
      </w:pPr>
      <w:r>
        <w:t xml:space="preserve">Click the</w:t>
      </w:r>
      <w:r>
        <w:t xml:space="preserve"> </w:t>
      </w:r>
      <w:r>
        <w:t xml:space="preserve">‘FASTA’</w:t>
      </w:r>
      <w:r>
        <w:t xml:space="preserve"> </w:t>
      </w:r>
      <w:r>
        <w:t xml:space="preserve">button to see the nucleotide sequence, then copy the sequence.</w:t>
      </w:r>
    </w:p>
    <w:p>
      <w:pPr>
        <w:pStyle w:val="Compact"/>
        <w:numPr>
          <w:ilvl w:val="0"/>
          <w:numId w:val="1254"/>
        </w:numPr>
      </w:pPr>
      <w:r>
        <w:t xml:space="preserve">Now, let’s find this region in the Penicillium chrysogenum genome in MycoCosm using BLAST. Here, we can browse the genome and conduct comparative analyses across related fungi. Go to the Penicillium chrysogenum genome portal (https://mycocosm.jgi.doe.gov/Pench1) and click on the BLAST tab.</w:t>
      </w:r>
    </w:p>
    <w:p>
      <w:pPr>
        <w:pStyle w:val="Compact"/>
        <w:numPr>
          <w:ilvl w:val="0"/>
          <w:numId w:val="1254"/>
        </w:numPr>
      </w:pPr>
      <w:r>
        <w:t xml:space="preserve">Paste in your nucleotide sequence and conduct a blastn analysis against the assembly. Remember, we are using the sequence that mostly falls between two genes here to locate our region of interest, so we need to search the assembly instead of the available gene model sets.</w:t>
      </w:r>
    </w:p>
    <w:p>
      <w:pPr>
        <w:pStyle w:val="Compact"/>
        <w:numPr>
          <w:ilvl w:val="0"/>
          <w:numId w:val="1254"/>
        </w:numPr>
      </w:pPr>
      <w:r>
        <w:t xml:space="preserve">You should see a single hit! Click on the coordinates to view this region of the genome.</w:t>
      </w:r>
    </w:p>
    <w:p>
      <w:pPr>
        <w:pStyle w:val="Compact"/>
        <w:numPr>
          <w:ilvl w:val="0"/>
          <w:numId w:val="1254"/>
        </w:numPr>
      </w:pPr>
      <w:r>
        <w:t xml:space="preserve">Of course, we are searching for DNA that is mostly found in between these penicillin-related genes. Click -10x to get a bigger view of this locus.</w:t>
      </w:r>
    </w:p>
    <w:p>
      <w:pPr>
        <w:pStyle w:val="Compact"/>
        <w:numPr>
          <w:ilvl w:val="0"/>
          <w:numId w:val="1254"/>
        </w:numPr>
      </w:pPr>
      <w:r>
        <w:t xml:space="preserve">Excellent! You just found the Penicillin Biosynthetic Gene Cluster (scaffold_1:6815459-6827128)! You will notice that there is no nucleotide conservation with the genomes presented in the Vista tracks at the top of the page. Let’s expand the GeneCatalog by clicking on the</w:t>
      </w:r>
      <w:r>
        <w:t xml:space="preserve"> </w:t>
      </w:r>
      <w:r>
        <w:t xml:space="preserve">‘+’</w:t>
      </w:r>
      <w:r>
        <w:t xml:space="preserve"> </w:t>
      </w:r>
      <w:r>
        <w:t xml:space="preserve">next to the track and look at a few of these genes.</w:t>
      </w:r>
    </w:p>
    <w:p>
      <w:pPr>
        <w:pStyle w:val="Compact"/>
        <w:numPr>
          <w:ilvl w:val="0"/>
          <w:numId w:val="1254"/>
        </w:numPr>
      </w:pPr>
      <w:r>
        <w:t xml:space="preserve">In this region of the genome, you can see 4 genes. To learn more about what these might do, we can look at their protein pages. You can get to the protein page by clicking on the gene, then selecting</w:t>
      </w:r>
      <w:r>
        <w:t xml:space="preserve"> </w:t>
      </w:r>
      <w:r>
        <w:t xml:space="preserve">‘feature’</w:t>
      </w:r>
      <w:r>
        <w:t xml:space="preserve"> </w:t>
      </w:r>
      <w:r>
        <w:t xml:space="preserve">web page (or center mouse click on the gene to open it in a new tab). For convenience, here are links to the protein pages for all 4 genes in this region, named by their protein IDs (which are the main identifiers used within MycoCosm): 67014, 32451, 67324, 22458</w:t>
      </w:r>
    </w:p>
    <w:p>
      <w:pPr>
        <w:pStyle w:val="Compact"/>
        <w:numPr>
          <w:ilvl w:val="0"/>
          <w:numId w:val="1254"/>
        </w:numPr>
      </w:pPr>
      <w:r>
        <w:t xml:space="preserve">As the backbone gene is central to the production of a specific secondary metabolite, let’s use it to discover other fungi that might make similar products! On the 22458 protein page, click on the green bar underneath the domain information section (see figure immediately above). Copy this sequence to your clipboard, we will use it in the next section.</w:t>
      </w:r>
    </w:p>
    <w:bookmarkEnd w:id="239"/>
    <w:bookmarkStart w:id="240" w:name="X3367d9de4d4452f0e4500f817aabeb87e960cf9"/>
    <w:p>
      <w:pPr>
        <w:pStyle w:val="Heading4"/>
      </w:pPr>
      <w:r>
        <w:t xml:space="preserve">Find candidate Penicillin BGCs in related fungi</w:t>
      </w:r>
    </w:p>
    <w:p>
      <w:pPr>
        <w:pStyle w:val="Compact"/>
        <w:numPr>
          <w:ilvl w:val="0"/>
          <w:numId w:val="1255"/>
        </w:numPr>
      </w:pPr>
      <w:r>
        <w:t xml:space="preserve">With our NRPS bait in hand, let’s try to fish out similar genes in related fungi! But before we do, do you have any hypotheses about how often it will be found?</w:t>
      </w:r>
    </w:p>
    <w:p>
      <w:pPr>
        <w:pStyle w:val="Compact"/>
        <w:numPr>
          <w:ilvl w:val="0"/>
          <w:numId w:val="1255"/>
        </w:numPr>
      </w:pPr>
      <w:r>
        <w:t xml:space="preserve">On MycoCosm, you can view individual genomes, or analyze groups of them simultaneously. There are several group page categories, including: Project groups, which contain genomes associated with specific research projects. For example, our own MycoEd project group! EcoGroups, which contain genomes of organisms with shared ecology, e.g. plant pathogenic fungi. PhyloGroups, which contain genomes of taxonomically related organisms.</w:t>
      </w:r>
    </w:p>
    <w:p>
      <w:pPr>
        <w:pStyle w:val="Compact"/>
        <w:numPr>
          <w:ilvl w:val="0"/>
          <w:numId w:val="1255"/>
        </w:numPr>
      </w:pPr>
      <w:r>
        <w:t xml:space="preserve">You can access groups either using the Groups pulldown menu on the MycoCosm homepage, or if you know the group of interest you can type it into the url. For this exercise, let’s visit the Penicillium phylogroup page.</w:t>
      </w:r>
    </w:p>
    <w:p>
      <w:pPr>
        <w:pStyle w:val="Compact"/>
        <w:numPr>
          <w:ilvl w:val="0"/>
          <w:numId w:val="1255"/>
        </w:numPr>
      </w:pPr>
      <w:r>
        <w:t xml:space="preserve">You can see we have over 70 Penicillium genomes available for comparative analysis! Genomes are colored differently based on their status, red = private, only available to you and your colleagues, white = publicly available, green = published.</w:t>
      </w:r>
    </w:p>
    <w:p>
      <w:pPr>
        <w:pStyle w:val="Compact"/>
        <w:numPr>
          <w:ilvl w:val="0"/>
          <w:numId w:val="1255"/>
        </w:numPr>
      </w:pPr>
      <w:r>
        <w:t xml:space="preserve">With so many genomes available, we have a great dataset with which we can test our hypothesis that all Penicillium produce penicillin! There are several routes we can take to explore this, but for this exercise let’s again use BLAST. On group pages, this tool allows us to search all these genomes simultaneously. Click on the BLAST tab to get started.</w:t>
      </w:r>
    </w:p>
    <w:p>
      <w:pPr>
        <w:pStyle w:val="Compact"/>
        <w:numPr>
          <w:ilvl w:val="0"/>
          <w:numId w:val="1255"/>
        </w:numPr>
      </w:pPr>
      <w:r>
        <w:t xml:space="preserve">Paste the protein sequence you copied from the P. chrysogenum Penicillin NRPS into the query sequence box. Select the blastp alignment program and the Gene Catalog protein database. Confirm that your search criteria are correct, then click</w:t>
      </w:r>
      <w:r>
        <w:t xml:space="preserve"> </w:t>
      </w:r>
      <w:r>
        <w:t xml:space="preserve">‘Run blastp’</w:t>
      </w:r>
      <w:r>
        <w:t xml:space="preserve">. Note that this is a large protein and we are searching a lot of genomes, so this might take a few minutes.</w:t>
      </w:r>
    </w:p>
    <w:p>
      <w:pPr>
        <w:pStyle w:val="Compact"/>
        <w:numPr>
          <w:ilvl w:val="0"/>
          <w:numId w:val="1255"/>
        </w:numPr>
      </w:pPr>
      <w:r>
        <w:t xml:space="preserve">After a few minutes, you should see results. We get a lot of hits (1,929 of them!). The top hit should almost always be to the original backbone gene you selected. To assess quality take a look at the alignment, which shows how well the hits cover your query sequence. Also take a look at the</w:t>
      </w:r>
      <w:r>
        <w:t xml:space="preserve"> </w:t>
      </w:r>
      <w:r>
        <w:t xml:space="preserve">‘Score’</w:t>
      </w:r>
      <w:r>
        <w:t xml:space="preserve">. The higher the score, the better.</w:t>
      </w:r>
    </w:p>
    <w:p>
      <w:pPr>
        <w:pStyle w:val="Compact"/>
        <w:numPr>
          <w:ilvl w:val="0"/>
          <w:numId w:val="1255"/>
        </w:numPr>
      </w:pPr>
      <w:r>
        <w:t xml:space="preserve">Can you find where hit quality begins to drop off? You can see by just looking at the top 10 that quality drops off really fast!</w:t>
      </w:r>
    </w:p>
    <w:p>
      <w:pPr>
        <w:pStyle w:val="Compact"/>
        <w:numPr>
          <w:ilvl w:val="0"/>
          <w:numId w:val="1255"/>
        </w:numPr>
      </w:pPr>
      <w:r>
        <w:t xml:space="preserve">Where to define cutoffs is somewhat arbitrary and depends on your research question. For this exercise, let’s keep it simple and set this cutoff by calculating a Blast Score Ratio (BSR; Rasko et al., 2005). By dividing a given score by the score of the query against itself, we can get a feel for how good a match is compared to the best possible match.</w:t>
      </w:r>
    </w:p>
    <w:p>
      <w:pPr>
        <w:pStyle w:val="Compact"/>
        <w:numPr>
          <w:ilvl w:val="0"/>
          <w:numId w:val="1255"/>
        </w:numPr>
      </w:pPr>
      <w:r>
        <w:t xml:space="preserve">With this new information, let’s revisit our hypothesis. Given that we see only 7 really good matches to the penicillin NRPS out of the ~70 available genomes, it seems that our first hypothesis was incorrect, meaning not all Penicillium species produce penicillin.</w:t>
      </w:r>
    </w:p>
    <w:p>
      <w:pPr>
        <w:pStyle w:val="Compact"/>
        <w:numPr>
          <w:ilvl w:val="0"/>
          <w:numId w:val="1255"/>
        </w:numPr>
      </w:pPr>
      <w:r>
        <w:t xml:space="preserve">Let’s revise it! Maybe the Penicillium genus is too diverse and only a small subset of closely related fungi can produce this product! Perhaps a compelling new hypothesis would be that all penicillin producers are closely related evolutionarily.</w:t>
      </w:r>
    </w:p>
    <w:p>
      <w:pPr>
        <w:pStyle w:val="Compact"/>
        <w:numPr>
          <w:ilvl w:val="0"/>
          <w:numId w:val="1255"/>
        </w:numPr>
      </w:pPr>
      <w:r>
        <w:t xml:space="preserve">Record the names in the organism column from our BLAST output for the top 7 hits. We can use the precomputed phylogenetic tree from the</w:t>
      </w:r>
      <w:r>
        <w:t xml:space="preserve"> </w:t>
      </w:r>
      <w:r>
        <w:t xml:space="preserve">‘TREE’</w:t>
      </w:r>
      <w:r>
        <w:t xml:space="preserve"> </w:t>
      </w:r>
      <w:r>
        <w:t xml:space="preserve">tab to continue our exploration and test whether they are closely related or not.</w:t>
      </w:r>
    </w:p>
    <w:p>
      <w:pPr>
        <w:pStyle w:val="Compact"/>
        <w:numPr>
          <w:ilvl w:val="0"/>
          <w:numId w:val="1255"/>
        </w:numPr>
      </w:pPr>
      <w:r>
        <w:t xml:space="preserve">Open the</w:t>
      </w:r>
      <w:r>
        <w:t xml:space="preserve"> </w:t>
      </w:r>
      <w:r>
        <w:t xml:space="preserve">‘TREE’</w:t>
      </w:r>
      <w:r>
        <w:t xml:space="preserve"> </w:t>
      </w:r>
      <w:r>
        <w:t xml:space="preserve">tab, either in a separate tab or a new window so you can easily see both your blast results and the phylogeny.</w:t>
      </w:r>
    </w:p>
    <w:p>
      <w:pPr>
        <w:pStyle w:val="Compact"/>
        <w:numPr>
          <w:ilvl w:val="0"/>
          <w:numId w:val="1255"/>
        </w:numPr>
      </w:pPr>
      <w:r>
        <w:t xml:space="preserve">Here, we will see a pre-computed phylogenetic tree showing evolutionary relationships within this PhyloGroup. The node colors on the tree indicate support values, green: 1.0, orange: ≥ 0.7, red: &lt; 0.7, white: no support. This phylogenetic tree is generated based on amino acid sequence alignments from hundreds to thousands of proteins across these fungi. If a particular node is well supported, it means that a lot of the underlying sequence alignment agrees with the relationships shown in that part of the tree. In contrast, if support is low, we should be suspicious of the relationships depicted there.</w:t>
      </w:r>
    </w:p>
    <w:p>
      <w:pPr>
        <w:pStyle w:val="Compact"/>
        <w:numPr>
          <w:ilvl w:val="0"/>
          <w:numId w:val="1255"/>
        </w:numPr>
      </w:pPr>
      <w:r>
        <w:t xml:space="preserve">At the top of the page is a search box where we can type in some of our organisms of interest to see where they are on the tree. Try typing in Penicillium chrysogenum. Hit enter (or the</w:t>
      </w:r>
      <w:r>
        <w:t xml:space="preserve"> </w:t>
      </w:r>
      <w:r>
        <w:t xml:space="preserve">‘Filter’</w:t>
      </w:r>
      <w:r>
        <w:t xml:space="preserve"> </w:t>
      </w:r>
      <w:r>
        <w:t xml:space="preserve">button) and see what happens!</w:t>
      </w:r>
    </w:p>
    <w:p>
      <w:pPr>
        <w:pStyle w:val="Compact"/>
        <w:numPr>
          <w:ilvl w:val="0"/>
          <w:numId w:val="1255"/>
        </w:numPr>
      </w:pPr>
      <w:r>
        <w:t xml:space="preserve">You will see that the tree compresses and highlights the lineages that match your search, in this case, strains of P. chrysogenum. Everything else will be grayed out. Click</w:t>
      </w:r>
      <w:r>
        <w:t xml:space="preserve"> </w:t>
      </w:r>
      <w:r>
        <w:t xml:space="preserve">‘Expand All’</w:t>
      </w:r>
      <w:r>
        <w:t xml:space="preserve"> </w:t>
      </w:r>
      <w:r>
        <w:t xml:space="preserve">and you can see where they are in the larger Penicillium tree. Click the clear to restore everything to default colors.</w:t>
      </w:r>
    </w:p>
    <w:p>
      <w:pPr>
        <w:pStyle w:val="Compact"/>
        <w:numPr>
          <w:ilvl w:val="0"/>
          <w:numId w:val="1255"/>
        </w:numPr>
      </w:pPr>
      <w:r>
        <w:t xml:space="preserve">Looking over this tree, can you find the 7 fungi from our BLAST results that contain our intact Penicillin NRPS? Are they found in the same part of the tree, or all over the place?</w:t>
      </w:r>
    </w:p>
    <w:p>
      <w:pPr>
        <w:pStyle w:val="Compact"/>
        <w:numPr>
          <w:ilvl w:val="0"/>
          <w:numId w:val="1255"/>
        </w:numPr>
      </w:pPr>
      <w:r>
        <w:t xml:space="preserve">We can point to 3 clades where this NRPS is found, with most being present in Clade 2 (see above image). However, in all cases there are very close relatives which lack it. Overall, this suggests that the ability to produce penicillin is pretty variable across the Penicillium genus. While phylogeny can provide some clues, it alone cannot be used to predict the ability to produce penicillin.</w:t>
      </w:r>
    </w:p>
    <w:p>
      <w:pPr>
        <w:pStyle w:val="Compact"/>
        <w:numPr>
          <w:ilvl w:val="0"/>
          <w:numId w:val="1255"/>
        </w:numPr>
      </w:pPr>
      <w:r>
        <w:t xml:space="preserve">This tells us that our hypothesis that penicillin producers are all closely related evolutionarily is incorrect (again!) - and that is OK! Based on our current results, we can conclude that penicillin production is both dispensable (as clearly not all Penicillium can make it) and not phylogenetically driven.</w:t>
      </w:r>
    </w:p>
    <w:p>
      <w:pPr>
        <w:pStyle w:val="Compact"/>
        <w:numPr>
          <w:ilvl w:val="0"/>
          <w:numId w:val="1255"/>
        </w:numPr>
      </w:pPr>
      <w:r>
        <w:t xml:space="preserve">This knowledge raises a ton of new hypotheses, such as: i) The Penicillin BGC arose in these fungi due to horizontal gene transfer, ii) The Penicillin BGC is associated with specific ecological niches, iii) The Penicillin BGC is restricted to specific geographic locations, iv) etc… Using MycoCosm, NCBI and other online bioinformatics tools, feel free to explore some of these ideas!</w:t>
      </w:r>
    </w:p>
    <w:bookmarkEnd w:id="240"/>
    <w:bookmarkEnd w:id="241"/>
    <w:bookmarkStart w:id="244" w:name="characterize-myco-ed-bgcs"/>
    <w:p>
      <w:pPr>
        <w:pStyle w:val="Heading3"/>
      </w:pPr>
      <w:r>
        <w:t xml:space="preserve">Characterize Myco-Ed BGCs</w:t>
      </w:r>
    </w:p>
    <w:bookmarkStart w:id="242" w:name="X730d453170a2dce205090ee117776f286330cc7"/>
    <w:p>
      <w:pPr>
        <w:pStyle w:val="Heading4"/>
      </w:pPr>
      <w:r>
        <w:t xml:space="preserve">Find interesting BGCs using Secondary Metabolite (SM) clusters page</w:t>
      </w:r>
    </w:p>
    <w:p>
      <w:pPr>
        <w:pStyle w:val="FirstParagraph"/>
      </w:pPr>
      <w:r>
        <w:t xml:space="preserve">Penicillin is a famous example of a fungal natural product. However, fungi are some of the most prolific producers of secondary metabolites worldwide, and there is a lot to discover here! Let’s do some exploratory work and characterize secondary metabolites produced by MycoEd fungi.</w:t>
      </w:r>
    </w:p>
    <w:p>
      <w:pPr>
        <w:pStyle w:val="Compact"/>
        <w:numPr>
          <w:ilvl w:val="0"/>
          <w:numId w:val="1256"/>
        </w:numPr>
      </w:pPr>
      <w:r>
        <w:t xml:space="preserve">Pick a genome from our MycoEd group portal. For these MycoEd genomes, you can add your own text to describe what you discover about any particular gene. This will be of great value to the scientific community, especially those studying fungal natural product diversity!</w:t>
      </w:r>
    </w:p>
    <w:p>
      <w:pPr>
        <w:pStyle w:val="Compact"/>
        <w:numPr>
          <w:ilvl w:val="0"/>
          <w:numId w:val="1256"/>
        </w:numPr>
      </w:pPr>
      <w:r>
        <w:t xml:space="preserve">Keep in mind, what you are doing here is completely new - you might be the first person ever to look at these fungal natural product genes! If you observe something unexpected or cannot find similar genes in related genomes that is OK, and could reveal something very exciting! Documenting your work, manually curating genes (see</w:t>
      </w:r>
      <w:r>
        <w:t xml:space="preserve"> </w:t>
      </w:r>
      <w:r>
        <w:t xml:space="preserve">‘Annotate them!’</w:t>
      </w:r>
      <w:r>
        <w:t xml:space="preserve"> </w:t>
      </w:r>
      <w:r>
        <w:t xml:space="preserve">section, below), and sharing it with your instructor will be a big help to future investigators.</w:t>
      </w:r>
    </w:p>
    <w:p>
      <w:pPr>
        <w:pStyle w:val="Compact"/>
        <w:numPr>
          <w:ilvl w:val="0"/>
          <w:numId w:val="1256"/>
        </w:numPr>
      </w:pPr>
      <w:r>
        <w:t xml:space="preserve">Let’s set a goal to describe the distribution of fungal BGC backbone genes, following the same workflow you just did for penicillin.</w:t>
      </w:r>
    </w:p>
    <w:p>
      <w:pPr>
        <w:pStyle w:val="Compact"/>
        <w:numPr>
          <w:ilvl w:val="0"/>
          <w:numId w:val="1256"/>
        </w:numPr>
      </w:pPr>
      <w:r>
        <w:t xml:space="preserve">Each MycoCosm portal has a secondary metabolite clusters page, which can be used to study these BGCs in greater detail. On the menu bar for any portal, you will see an</w:t>
      </w:r>
      <w:r>
        <w:t xml:space="preserve"> </w:t>
      </w:r>
      <w:r>
        <w:t xml:space="preserve">‘Annotations’</w:t>
      </w:r>
      <w:r>
        <w:t xml:space="preserve"> </w:t>
      </w:r>
      <w:r>
        <w:t xml:space="preserve">pulldown. Click it, then select</w:t>
      </w:r>
      <w:r>
        <w:t xml:space="preserve"> </w:t>
      </w:r>
      <w:r>
        <w:t xml:space="preserve">‘Secondary Metabolism Clusters’</w:t>
      </w:r>
    </w:p>
    <w:p>
      <w:pPr>
        <w:pStyle w:val="Compact"/>
        <w:numPr>
          <w:ilvl w:val="0"/>
          <w:numId w:val="1256"/>
        </w:numPr>
      </w:pPr>
      <w:r>
        <w:t xml:space="preserve">The secondary metabolism clusters page shows a table of BGC counts across a set of closely related genomes. The columns separate different types of backbone genes and the rows are individual genomes. For your MycoEd genome, click on the number in the</w:t>
      </w:r>
      <w:r>
        <w:t xml:space="preserve"> </w:t>
      </w:r>
      <w:r>
        <w:t xml:space="preserve">‘Total’</w:t>
      </w:r>
      <w:r>
        <w:t xml:space="preserve"> </w:t>
      </w:r>
      <w:r>
        <w:t xml:space="preserve">column to see the BGCs found only in this genome, or click on the number within the backbone gene column you are interested in (e.g. NRPS).</w:t>
      </w:r>
    </w:p>
    <w:p>
      <w:pPr>
        <w:pStyle w:val="Compact"/>
        <w:numPr>
          <w:ilvl w:val="0"/>
          <w:numId w:val="1256"/>
        </w:numPr>
      </w:pPr>
      <w:r>
        <w:t xml:space="preserve">The following page will show details on all BGCs found. This includes the type of cluster, the location on the genome and its architecture, including the backbone gene (in color) and nearby predicted decorating enzymes (gray). Note that some clusters might be missing decorating enzymes - this could be real, or we failed to predict them.</w:t>
      </w:r>
    </w:p>
    <w:p>
      <w:pPr>
        <w:pStyle w:val="Compact"/>
        <w:numPr>
          <w:ilvl w:val="0"/>
          <w:numId w:val="1256"/>
        </w:numPr>
      </w:pPr>
      <w:r>
        <w:t xml:space="preserve">Hovering your mouse over the genes in the cartoon will provide information on those proteins. Pick a cluster and repeat our previous exercise to characterize its distribution. You can start by clicking on the backbone gene in the cartoon, which will bring you to the corresponding protein page. Keep this page open in a separate tab for the rest of the exercise, we will revisit it later.</w:t>
      </w:r>
    </w:p>
    <w:p>
      <w:pPr>
        <w:pStyle w:val="Compact"/>
        <w:numPr>
          <w:ilvl w:val="0"/>
          <w:numId w:val="1256"/>
        </w:numPr>
      </w:pPr>
      <w:r>
        <w:t xml:space="preserve">Collect the protein sequence, then search a related MycoCosm Phylogroup. You can find a related group by going to the portal Info page. At the bottom of this screen is a</w:t>
      </w:r>
      <w:r>
        <w:t xml:space="preserve"> </w:t>
      </w:r>
      <w:r>
        <w:t xml:space="preserve">‘Links’</w:t>
      </w:r>
      <w:r>
        <w:t xml:space="preserve"> </w:t>
      </w:r>
      <w:r>
        <w:t xml:space="preserve">section. Select the PhyloGroup containing this organism’s closest relatives, which is at the end of the list. If there are only a few genomes (less than 5), try going one taxonomic level up by returning to the info page and selecting the second to last link.</w:t>
      </w:r>
    </w:p>
    <w:p>
      <w:pPr>
        <w:pStyle w:val="Compact"/>
        <w:numPr>
          <w:ilvl w:val="0"/>
          <w:numId w:val="1256"/>
        </w:numPr>
      </w:pPr>
      <w:r>
        <w:t xml:space="preserve">Start exploring by conducting a BLAST search! If you have a lot of good hits, make sure to increase the number of alignments shown until you see low-quality hits. Click</w:t>
      </w:r>
      <w:r>
        <w:t xml:space="preserve"> </w:t>
      </w:r>
      <w:r>
        <w:t xml:space="preserve">‘Configure this screen’</w:t>
      </w:r>
      <w:r>
        <w:t xml:space="preserve"> </w:t>
      </w:r>
      <w:r>
        <w:t xml:space="preserve">and increase the number of hits shown to a larger number (e.g. 100); see below.</w:t>
      </w:r>
    </w:p>
    <w:p>
      <w:pPr>
        <w:pStyle w:val="Compact"/>
        <w:numPr>
          <w:ilvl w:val="0"/>
          <w:numId w:val="1256"/>
        </w:numPr>
      </w:pPr>
      <w:r>
        <w:t xml:space="preserve">Select any hit that passes the BSR threshold of 0.9 we defined earlier (see Step 9 in the</w:t>
      </w:r>
      <w:r>
        <w:t xml:space="preserve"> </w:t>
      </w:r>
      <w:r>
        <w:t xml:space="preserve">‘Find candidate Penicillin BGCs’</w:t>
      </w:r>
      <w:r>
        <w:t xml:space="preserve"> </w:t>
      </w:r>
      <w:r>
        <w:t xml:space="preserve">section)’ and let’s see where those fungi are on the interactive tree. The interactive tree is produced only once or twice a year, so your chosen MycoEd genome might not be there depending on when you conduct this analysis. That is OK since we are mostly interested in where these other fungi are found.</w:t>
      </w:r>
    </w:p>
    <w:bookmarkEnd w:id="242"/>
    <w:bookmarkStart w:id="243" w:name="annotate-them"/>
    <w:p>
      <w:pPr>
        <w:pStyle w:val="Heading4"/>
      </w:pPr>
      <w:r>
        <w:t xml:space="preserve">Annotate them!</w:t>
      </w:r>
    </w:p>
    <w:p>
      <w:pPr>
        <w:pStyle w:val="Compact"/>
        <w:numPr>
          <w:ilvl w:val="0"/>
          <w:numId w:val="1257"/>
        </w:numPr>
      </w:pPr>
      <w:r>
        <w:t xml:space="preserve">Once you have completed your analysis, return to the protein page for your backbone gene and click</w:t>
      </w:r>
      <w:r>
        <w:t xml:space="preserve"> </w:t>
      </w:r>
      <w:r>
        <w:t xml:space="preserve">‘view/modify manual annotation’</w:t>
      </w:r>
      <w:r>
        <w:t xml:space="preserve">.</w:t>
      </w:r>
    </w:p>
    <w:p>
      <w:pPr>
        <w:pStyle w:val="Compact"/>
        <w:numPr>
          <w:ilvl w:val="0"/>
          <w:numId w:val="1257"/>
        </w:numPr>
      </w:pPr>
      <w:r>
        <w:t xml:space="preserve">Next, add your description. You should see</w:t>
      </w:r>
      <w:r>
        <w:t xml:space="preserve"> </w:t>
      </w:r>
      <w:r>
        <w:t xml:space="preserve">‘add/edit’</w:t>
      </w:r>
      <w:r>
        <w:t xml:space="preserve"> </w:t>
      </w:r>
      <w:r>
        <w:t xml:space="preserve">buttons on the next page. For the</w:t>
      </w:r>
      <w:r>
        <w:t xml:space="preserve"> </w:t>
      </w:r>
      <w:r>
        <w:t xml:space="preserve">‘Description’</w:t>
      </w:r>
      <w:r>
        <w:t xml:space="preserve"> </w:t>
      </w:r>
      <w:r>
        <w:t xml:space="preserve">attribute, select</w:t>
      </w:r>
      <w:r>
        <w:t xml:space="preserve"> </w:t>
      </w:r>
      <w:r>
        <w:t xml:space="preserve">‘add’</w:t>
      </w:r>
      <w:r>
        <w:t xml:space="preserve"> </w:t>
      </w:r>
      <w:r>
        <w:t xml:space="preserve">then enter details on what you discovered about that gene and click</w:t>
      </w:r>
      <w:r>
        <w:t xml:space="preserve"> </w:t>
      </w:r>
      <w:r>
        <w:t xml:space="preserve">‘save item’</w:t>
      </w:r>
      <w:r>
        <w:t xml:space="preserve">.</w:t>
      </w:r>
    </w:p>
    <w:p>
      <w:pPr>
        <w:pStyle w:val="Compact"/>
        <w:numPr>
          <w:ilvl w:val="0"/>
          <w:numId w:val="1257"/>
        </w:numPr>
      </w:pPr>
      <w:r>
        <w:t xml:space="preserve">Your name will be associated with your entry and eventually, it will become searchable across the portal! This means anyone who visits this genome can easily retrieve these details (via the search page), and know who to thank (you!) for this work.</w:t>
      </w:r>
    </w:p>
    <w:bookmarkEnd w:id="243"/>
    <w:bookmarkEnd w:id="244"/>
    <w:bookmarkEnd w:id="245"/>
    <w:bookmarkEnd w:id="246"/>
    <w:bookmarkStart w:id="248" w:name="summary"/>
    <w:p>
      <w:pPr>
        <w:pStyle w:val="Heading1"/>
      </w:pPr>
      <w:r>
        <w:t xml:space="preserve">Summary</w:t>
      </w:r>
    </w:p>
    <w:p>
      <w:pPr>
        <w:pStyle w:val="FirstParagraph"/>
      </w:pPr>
      <w:r>
        <w:t xml:space="preserve">This workbook outlines the Myco-Ed curriculum for BSC 495: The Hidden World’s Code. Students will gain hands-on experience in fungal biology and genomics, from sample collection and fungal isolation through DNA sequencing. By the end of the course, students scholars will have contributed to high-quality fungal reference genomes and developed broadly applicable skills in lab techniques and bioinformatics. More information and course resources are available at the</w:t>
      </w:r>
      <w:r>
        <w:t xml:space="preserve"> </w:t>
      </w:r>
      <w:hyperlink r:id="rId247">
        <w:r>
          <w:rPr>
            <w:rStyle w:val="Hyperlink"/>
          </w:rPr>
          <w:t xml:space="preserve">BSC495-HWC GitHub organization</w:t>
        </w:r>
      </w:hyperlink>
      <w:r>
        <w:t xml:space="preserve">.</w:t>
      </w:r>
    </w:p>
    <w:p>
      <w:pPr>
        <w:pStyle w:val="BodyText"/>
      </w:pPr>
      <w:r>
        <w:t xml:space="preserve">But wait… there is more: genome assembly, and annotation. We hope you continue working on your isolates and share your results with us and the scientific community! One possibility is a</w:t>
      </w:r>
      <w:r>
        <w:t xml:space="preserve"> </w:t>
      </w:r>
      <w:r>
        <w:rPr>
          <w:i/>
          <w:iCs/>
        </w:rPr>
        <w:t xml:space="preserve">microPublication</w:t>
      </w:r>
      <w:r>
        <w:t xml:space="preserve">. We are here to support you in your continued work on your isolates, and we would love to hear about your progress. Please feel free to reach out to us with any questions or updates on your work. We look forward to seeing the amazing things you will accomplish with your fungal isolates!</w:t>
      </w:r>
    </w:p>
    <w:bookmarkEnd w:id="248"/>
    <w:bookmarkStart w:id="249" w:name="carlos-c.-goller"/>
    <w:p>
      <w:pPr>
        <w:pStyle w:val="Heading1"/>
      </w:pPr>
      <w:r>
        <w:t xml:space="preserve">1. Carlos C. Goller</w:t>
      </w:r>
    </w:p>
    <w:bookmarkEnd w:id="249"/>
    <w:bookmarkStart w:id="252" w:name="about-the-author"/>
    <w:p>
      <w:pPr>
        <w:pStyle w:val="Heading1"/>
      </w:pPr>
      <w:r>
        <w:t xml:space="preserve">About the Author</w:t>
      </w:r>
    </w:p>
    <w:p>
      <w:pPr>
        <w:pStyle w:val="FirstParagraph"/>
      </w:pPr>
      <w:r>
        <w:t xml:space="preserve">Carlos C. Goller, Ph.D. is a Teaching Professor at North Carolina State University in Raleigh, NC. He teaches microbiology, life sciences, public health, and other fun courses as a faculty member of the Department of Biological Sciences. When not learing about</w:t>
      </w:r>
      <w:r>
        <w:t xml:space="preserve"> </w:t>
      </w:r>
      <w:r>
        <w:rPr>
          <w:i/>
          <w:iCs/>
        </w:rPr>
        <w:t xml:space="preserve">Delftia acidovorans</w:t>
      </w:r>
      <w:r>
        <w:t xml:space="preserve"> </w:t>
      </w:r>
      <w:r>
        <w:t xml:space="preserve">or code, Carlos enjoys spending time with his family (Claire Gordy also at NC State, Amada, and Aurelio) and playing with his dog Sunshine.</w:t>
      </w:r>
    </w:p>
    <w:bookmarkStart w:id="250" w:name="education"/>
    <w:p>
      <w:pPr>
        <w:pStyle w:val="Heading2"/>
      </w:pPr>
      <w:r>
        <w:t xml:space="preserve">1.1 Education</w:t>
      </w:r>
    </w:p>
    <w:p>
      <w:pPr>
        <w:pStyle w:val="FirstParagraph"/>
      </w:pPr>
      <w:r>
        <w:t xml:space="preserve">North Carolina State University, Raleigh, NC | Advisor: Dr. Sue Carson | Topic: Biotechnology Education and Curriculum Development</w:t>
      </w:r>
    </w:p>
    <w:p>
      <w:pPr>
        <w:pStyle w:val="BodyText"/>
      </w:pPr>
      <w:r>
        <w:t xml:space="preserve">Duke University Medical Center, Durham, NC | Advisor: Patrick C. Seed | Topic: Bacterial Pathogenesis and Anti-infective Screening</w:t>
      </w:r>
      <w:r>
        <w:t xml:space="preserve"> </w:t>
      </w:r>
      <w:r>
        <w:t xml:space="preserve">The Hartwell Foundation Postdoctoral Fellowship | September 2008 - July 2012</w:t>
      </w:r>
    </w:p>
    <w:p>
      <w:pPr>
        <w:pStyle w:val="BodyText"/>
      </w:pPr>
      <w:r>
        <w:t xml:space="preserve">Emory University, Atlanta, GA | Advisor: Tony Romeo | Topic: Bacterial Biofilm Formation and Regulation</w:t>
      </w:r>
      <w:r>
        <w:t xml:space="preserve"> </w:t>
      </w:r>
      <w:r>
        <w:t xml:space="preserve">Ph.D. in Microbiology and Molecular Genetics | August 2002 - September 2008</w:t>
      </w:r>
    </w:p>
    <w:p>
      <w:pPr>
        <w:pStyle w:val="BodyText"/>
      </w:pPr>
      <w:r>
        <w:t xml:space="preserve">Worcester Polytechnic Institute | Worcester, MA</w:t>
      </w:r>
      <w:r>
        <w:t xml:space="preserve"> </w:t>
      </w:r>
      <w:r>
        <w:t xml:space="preserve">B.S in Biology and Biotechnology | August 1998 - May 2002</w:t>
      </w:r>
    </w:p>
    <w:bookmarkEnd w:id="250"/>
    <w:bookmarkStart w:id="251" w:name="experience"/>
    <w:p>
      <w:pPr>
        <w:pStyle w:val="Heading2"/>
      </w:pPr>
      <w:r>
        <w:t xml:space="preserve">1.2 Experience</w:t>
      </w:r>
    </w:p>
    <w:p>
      <w:pPr>
        <w:pStyle w:val="FirstParagraph"/>
      </w:pPr>
      <w:r>
        <w:t xml:space="preserve">Teaching Professor | North Carolina State University Department of Biological Sciences | 2024 - Present</w:t>
      </w:r>
      <w:r>
        <w:t xml:space="preserve"> </w:t>
      </w:r>
      <w:r>
        <w:t xml:space="preserve">Associate Teaching Professor | North Carolina State University Department of Biological Sciences | 2019 - 2024</w:t>
      </w:r>
      <w:r>
        <w:t xml:space="preserve"> </w:t>
      </w:r>
      <w:r>
        <w:t xml:space="preserve">Assistant Teaching Professor | North Carolina State University Department of Biological Sciences | 2015 - 2019</w:t>
      </w:r>
    </w:p>
    <w:bookmarkEnd w:id="251"/>
    <w:bookmarkEnd w:id="252"/>
    <w:bookmarkStart w:id="259" w:name="references-2"/>
    <w:p>
      <w:pPr>
        <w:pStyle w:val="Heading1"/>
      </w:pPr>
      <w:r>
        <w:t xml:space="preserve">References</w:t>
      </w:r>
    </w:p>
    <w:bookmarkStart w:id="253" w:name="workbook-references"/>
    <w:p>
      <w:pPr>
        <w:pStyle w:val="Heading2"/>
      </w:pPr>
      <w:r>
        <w:t xml:space="preserve">Workbook References</w:t>
      </w:r>
    </w:p>
    <w:p>
      <w:pPr>
        <w:pStyle w:val="Compact"/>
        <w:numPr>
          <w:ilvl w:val="0"/>
          <w:numId w:val="1258"/>
        </w:numPr>
      </w:pPr>
      <w:r>
        <w:t xml:space="preserve">Honan, A., Wilson, A., Cobian, G., Branco, S., Mondo, S., Barry, K., Gremillion, S., Avis, P., Stewart, J., Dow, E., Knight, C., LaButti, K., Quandt, A., Talag, J., and Lofgren, L., 2025. Myco-Ed Protocols Booklet. protocols.io. https://doi.org/10.17504/protocols.io.rm7vzqd5xvx1/v1</w:t>
      </w:r>
    </w:p>
    <w:p>
      <w:pPr>
        <w:pStyle w:val="Compact"/>
        <w:numPr>
          <w:ilvl w:val="0"/>
          <w:numId w:val="1258"/>
        </w:numPr>
      </w:pPr>
      <w:r>
        <w:t xml:space="preserve">Hardy Diagnostics, 2026. BlueMount Permanent Fungal Stain, Lactophenol Cotton Blue with PVA (Cat. Z137): Product protocol and instructions. https://www.hardydiagnostics.com/assets/pdf/BlueMount_Permanent_Fungal_Stain_Lactophenol_Cotton_Blue_with_PVA.pdf</w:t>
      </w:r>
    </w:p>
    <w:bookmarkEnd w:id="253"/>
    <w:bookmarkStart w:id="258" w:name="module-7.1-references"/>
    <w:p>
      <w:pPr>
        <w:pStyle w:val="Heading2"/>
      </w:pPr>
      <w:r>
        <w:t xml:space="preserve">Module 7.1 References</w:t>
      </w:r>
    </w:p>
    <w:p>
      <w:pPr>
        <w:pStyle w:val="Compact"/>
        <w:numPr>
          <w:ilvl w:val="0"/>
          <w:numId w:val="1259"/>
        </w:numPr>
      </w:pPr>
      <w:r>
        <w:t xml:space="preserve">Casselton, L.A., Olesnicky, N.S., 1998. Molecular Genetics of Mating Recognition in Basidiomycete Fungi. Microbiology and Molecular Biology Reviews, 62(1): 55-70. https://doi.org/10.1128/mmbr.62.1.55-70.1998</w:t>
      </w:r>
    </w:p>
    <w:p>
      <w:pPr>
        <w:pStyle w:val="Compact"/>
        <w:numPr>
          <w:ilvl w:val="0"/>
          <w:numId w:val="1259"/>
        </w:numPr>
      </w:pPr>
      <w:r>
        <w:t xml:space="preserve">Cambareri, E.B., Singer, M.J., Selker, E.U., 1991. Recurrence of repeat-induced point mutation (RIP) in Neurospora crassa. Genetics, 127(4): 699-710. https://doi.org/10.1093/genetics/127.4.699</w:t>
      </w:r>
    </w:p>
    <w:p>
      <w:pPr>
        <w:pStyle w:val="Compact"/>
        <w:numPr>
          <w:ilvl w:val="0"/>
          <w:numId w:val="1259"/>
        </w:numPr>
      </w:pPr>
      <w:r>
        <w:t xml:space="preserve">Metzenberg, R.L., Glass, N.L., 1990. Mating type and mating strategies in Neurospora. BioEssays, 12(2): 53-59. https://doi.org/10.1002/bies.950120202</w:t>
      </w:r>
    </w:p>
    <w:bookmarkStart w:id="257" w:name="refs"/>
    <w:bookmarkStart w:id="254" w:name="ref-doyle1987"/>
    <w:p>
      <w:pPr>
        <w:pStyle w:val="Bibliography"/>
      </w:pPr>
      <w:r>
        <w:t xml:space="preserve">Doyle, J. J., and J. L. Doyle. 1987.</w:t>
      </w:r>
      <w:r>
        <w:t xml:space="preserve"> </w:t>
      </w:r>
      <w:r>
        <w:t xml:space="preserve">“A Rapid</w:t>
      </w:r>
      <w:r>
        <w:t xml:space="preserve"> </w:t>
      </w:r>
      <w:r>
        <w:t xml:space="preserve">DNA</w:t>
      </w:r>
      <w:r>
        <w:t xml:space="preserve"> </w:t>
      </w:r>
      <w:r>
        <w:t xml:space="preserve">Isolation Procedure from Small Quantities of Fresh Leaf Tissues.”</w:t>
      </w:r>
      <w:r>
        <w:t xml:space="preserve"> </w:t>
      </w:r>
      <w:r>
        <w:rPr>
          <w:i/>
          <w:iCs/>
        </w:rPr>
        <w:t xml:space="preserve">Phytochemical Bulletin</w:t>
      </w:r>
      <w:r>
        <w:t xml:space="preserve"> </w:t>
      </w:r>
      <w:r>
        <w:t xml:space="preserve">19: 11–15.</w:t>
      </w:r>
    </w:p>
    <w:bookmarkEnd w:id="254"/>
    <w:bookmarkStart w:id="256" w:name="ref-mycoed2025"/>
    <w:p>
      <w:pPr>
        <w:pStyle w:val="Bibliography"/>
      </w:pPr>
      <w:r>
        <w:t xml:space="preserve">Honan, Amy, Andrew Wilson, Gerald Cobian, et al. 2025.</w:t>
      </w:r>
      <w:r>
        <w:t xml:space="preserve"> </w:t>
      </w:r>
      <w:r>
        <w:rPr>
          <w:i/>
          <w:iCs/>
        </w:rPr>
        <w:t xml:space="preserve">Myco-Ed Protocols Booklet</w:t>
      </w:r>
      <w:r>
        <w:t xml:space="preserve">. Protocols.io.</w:t>
      </w:r>
      <w:r>
        <w:t xml:space="preserve"> </w:t>
      </w:r>
      <w:hyperlink r:id="rId255">
        <w:r>
          <w:rPr>
            <w:rStyle w:val="Hyperlink"/>
          </w:rPr>
          <w:t xml:space="preserve">https://doi.org/10.17504/protocols.io.rm7vzqd5xvx1/v1</w:t>
        </w:r>
      </w:hyperlink>
      <w:r>
        <w:t xml:space="preserve">.</w:t>
      </w:r>
    </w:p>
    <w:bookmarkEnd w:id="256"/>
    <w:bookmarkEnd w:id="257"/>
    <w:bookmarkEnd w:id="258"/>
    <w:bookmarkEnd w:id="25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6">
    <w:nsid w:val="00A99416"/>
    <w:multiLevelType w:val="multilevel"/>
    <w:lvl w:ilvl="0">
      <w:start w:val="6"/>
      <w:numFmt w:val="decimal"/>
      <w:lvlText w:val="%1."/>
      <w:lvlJc w:val="left"/>
      <w:pPr>
        <w:ind w:left="720" w:hanging="360"/>
      </w:pPr>
    </w:lvl>
    <w:lvl w:ilvl="1">
      <w:start w:val="6"/>
      <w:numFmt w:val="decimal"/>
      <w:lvlText w:val="%2."/>
      <w:lvlJc w:val="left"/>
      <w:pPr>
        <w:ind w:left="1440" w:hanging="360"/>
      </w:pPr>
    </w:lvl>
    <w:lvl w:ilvl="2">
      <w:start w:val="6"/>
      <w:numFmt w:val="decimal"/>
      <w:lvlText w:val="%3."/>
      <w:lvlJc w:val="left"/>
      <w:pPr>
        <w:ind w:left="2160" w:hanging="360"/>
      </w:pPr>
    </w:lvl>
    <w:lvl w:ilvl="3">
      <w:start w:val="6"/>
      <w:numFmt w:val="decimal"/>
      <w:lvlText w:val="%4."/>
      <w:lvlJc w:val="left"/>
      <w:pPr>
        <w:ind w:left="2880" w:hanging="360"/>
      </w:pPr>
    </w:lvl>
    <w:lvl w:ilvl="4">
      <w:start w:val="6"/>
      <w:numFmt w:val="decimal"/>
      <w:lvlText w:val="%5."/>
      <w:lvlJc w:val="left"/>
      <w:pPr>
        <w:ind w:left="3600" w:hanging="360"/>
      </w:pPr>
    </w:lvl>
    <w:lvl w:ilvl="5">
      <w:start w:val="6"/>
      <w:numFmt w:val="decimal"/>
      <w:lvlText w:val="%6."/>
      <w:lvlJc w:val="left"/>
      <w:pPr>
        <w:ind w:left="4320" w:hanging="360"/>
      </w:pPr>
    </w:lvl>
    <w:lvl w:ilvl="6">
      <w:start w:val="6"/>
      <w:numFmt w:val="decimal"/>
      <w:lvlText w:val="%7."/>
      <w:lvlJc w:val="left"/>
      <w:pPr>
        <w:ind w:left="5040" w:hanging="360"/>
      </w:pPr>
    </w:lvl>
    <w:lvl w:ilvl="7">
      <w:start w:val="6"/>
      <w:numFmt w:val="decimal"/>
      <w:lvlText w:val="%8."/>
      <w:lvlJc w:val="left"/>
      <w:pPr>
        <w:ind w:left="5760" w:hanging="360"/>
      </w:pPr>
    </w:lvl>
    <w:lvl w:ilvl="8">
      <w:start w:val="6"/>
      <w:numFmt w:val="decimal"/>
      <w:lvlText w:val="%9."/>
      <w:lvlJc w:val="left"/>
      <w:pPr>
        <w:ind w:left="6480" w:hanging="360"/>
      </w:pPr>
    </w:lvl>
  </w:abstractNum>
  <w:abstractNum w:abstractNumId="99711">
    <w:nsid w:val="00A9971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99419">
    <w:nsid w:val="00A99419"/>
    <w:multiLevelType w:val="multilevel"/>
    <w:lvl w:ilvl="0">
      <w:start w:val="9"/>
      <w:numFmt w:val="decimal"/>
      <w:lvlText w:val="%1."/>
      <w:lvlJc w:val="left"/>
      <w:pPr>
        <w:ind w:left="720" w:hanging="360"/>
      </w:pPr>
    </w:lvl>
    <w:lvl w:ilvl="1">
      <w:start w:val="9"/>
      <w:numFmt w:val="decimal"/>
      <w:lvlText w:val="%2."/>
      <w:lvlJc w:val="left"/>
      <w:pPr>
        <w:ind w:left="1440" w:hanging="360"/>
      </w:pPr>
    </w:lvl>
    <w:lvl w:ilvl="2">
      <w:start w:val="9"/>
      <w:numFmt w:val="decimal"/>
      <w:lvlText w:val="%3."/>
      <w:lvlJc w:val="left"/>
      <w:pPr>
        <w:ind w:left="2160" w:hanging="360"/>
      </w:pPr>
    </w:lvl>
    <w:lvl w:ilvl="3">
      <w:start w:val="9"/>
      <w:numFmt w:val="decimal"/>
      <w:lvlText w:val="%4."/>
      <w:lvlJc w:val="left"/>
      <w:pPr>
        <w:ind w:left="2880" w:hanging="360"/>
      </w:pPr>
    </w:lvl>
    <w:lvl w:ilvl="4">
      <w:start w:val="9"/>
      <w:numFmt w:val="decimal"/>
      <w:lvlText w:val="%5."/>
      <w:lvlJc w:val="left"/>
      <w:pPr>
        <w:ind w:left="3600" w:hanging="360"/>
      </w:pPr>
    </w:lvl>
    <w:lvl w:ilvl="5">
      <w:start w:val="9"/>
      <w:numFmt w:val="decimal"/>
      <w:lvlText w:val="%6."/>
      <w:lvlJc w:val="left"/>
      <w:pPr>
        <w:ind w:left="4320" w:hanging="360"/>
      </w:pPr>
    </w:lvl>
    <w:lvl w:ilvl="6">
      <w:start w:val="9"/>
      <w:numFmt w:val="decimal"/>
      <w:lvlText w:val="%7."/>
      <w:lvlJc w:val="left"/>
      <w:pPr>
        <w:ind w:left="5040" w:hanging="360"/>
      </w:pPr>
    </w:lvl>
    <w:lvl w:ilvl="7">
      <w:start w:val="9"/>
      <w:numFmt w:val="decimal"/>
      <w:lvlText w:val="%8."/>
      <w:lvlJc w:val="left"/>
      <w:pPr>
        <w:ind w:left="5760" w:hanging="360"/>
      </w:pPr>
    </w:lvl>
    <w:lvl w:ilvl="8">
      <w:start w:val="9"/>
      <w:numFmt w:val="decimal"/>
      <w:lvlText w:val="%9."/>
      <w:lvlJc w:val="left"/>
      <w:pPr>
        <w:ind w:left="6480" w:hanging="360"/>
      </w:pPr>
    </w:lvl>
  </w:abstractNum>
  <w:abstractNum w:abstractNumId="994115">
    <w:nsid w:val="0A994115"/>
    <w:multiLevelType w:val="multilevel"/>
    <w:lvl w:ilvl="0">
      <w:start w:val="15"/>
      <w:numFmt w:val="decimal"/>
      <w:lvlText w:val="%1."/>
      <w:lvlJc w:val="left"/>
      <w:pPr>
        <w:ind w:left="720" w:hanging="360"/>
      </w:pPr>
    </w:lvl>
    <w:lvl w:ilvl="1">
      <w:start w:val="15"/>
      <w:numFmt w:val="decimal"/>
      <w:lvlText w:val="%2."/>
      <w:lvlJc w:val="left"/>
      <w:pPr>
        <w:ind w:left="1440" w:hanging="360"/>
      </w:pPr>
    </w:lvl>
    <w:lvl w:ilvl="2">
      <w:start w:val="15"/>
      <w:numFmt w:val="decimal"/>
      <w:lvlText w:val="%3."/>
      <w:lvlJc w:val="left"/>
      <w:pPr>
        <w:ind w:left="2160" w:hanging="360"/>
      </w:pPr>
    </w:lvl>
    <w:lvl w:ilvl="3">
      <w:start w:val="15"/>
      <w:numFmt w:val="decimal"/>
      <w:lvlText w:val="%4."/>
      <w:lvlJc w:val="left"/>
      <w:pPr>
        <w:ind w:left="2880" w:hanging="360"/>
      </w:pPr>
    </w:lvl>
    <w:lvl w:ilvl="4">
      <w:start w:val="15"/>
      <w:numFmt w:val="decimal"/>
      <w:lvlText w:val="%5."/>
      <w:lvlJc w:val="left"/>
      <w:pPr>
        <w:ind w:left="3600" w:hanging="360"/>
      </w:pPr>
    </w:lvl>
    <w:lvl w:ilvl="5">
      <w:start w:val="15"/>
      <w:numFmt w:val="decimal"/>
      <w:lvlText w:val="%6."/>
      <w:lvlJc w:val="left"/>
      <w:pPr>
        <w:ind w:left="4320" w:hanging="360"/>
      </w:pPr>
    </w:lvl>
    <w:lvl w:ilvl="6">
      <w:start w:val="15"/>
      <w:numFmt w:val="decimal"/>
      <w:lvlText w:val="%7."/>
      <w:lvlJc w:val="left"/>
      <w:pPr>
        <w:ind w:left="5040" w:hanging="360"/>
      </w:pPr>
    </w:lvl>
    <w:lvl w:ilvl="7">
      <w:start w:val="15"/>
      <w:numFmt w:val="decimal"/>
      <w:lvlText w:val="%8."/>
      <w:lvlJc w:val="left"/>
      <w:pPr>
        <w:ind w:left="5760" w:hanging="360"/>
      </w:pPr>
    </w:lvl>
    <w:lvl w:ilvl="8">
      <w:start w:val="15"/>
      <w:numFmt w:val="decimal"/>
      <w:lvlText w:val="%9."/>
      <w:lvlJc w:val="left"/>
      <w:pPr>
        <w:ind w:left="6480" w:hanging="360"/>
      </w:pPr>
    </w:lvl>
  </w:abstractNum>
  <w:abstractNum w:abstractNumId="99511">
    <w:nsid w:val="00A99511"/>
    <w:multiLevelType w:val="multilevel"/>
    <w:lvl w:ilvl="0">
      <w:start w:val="1"/>
      <w:numFmt w:val="lowerRoman"/>
      <w:lvlText w:val="%1."/>
      <w:lvlJc w:val="left"/>
      <w:pPr>
        <w:ind w:left="720" w:hanging="360"/>
      </w:pPr>
    </w:lvl>
    <w:lvl w:ilvl="1">
      <w:start w:val="1"/>
      <w:numFmt w:val="lowerRoman"/>
      <w:lvlText w:val="%2."/>
      <w:lvlJc w:val="left"/>
      <w:pPr>
        <w:ind w:left="1440" w:hanging="360"/>
      </w:pPr>
    </w:lvl>
    <w:lvl w:ilvl="2">
      <w:start w:val="1"/>
      <w:numFmt w:val="lowerRoman"/>
      <w:lvlText w:val="%3."/>
      <w:lvlJc w:val="left"/>
      <w:pPr>
        <w:ind w:left="2160" w:hanging="360"/>
      </w:pPr>
    </w:lvl>
    <w:lvl w:ilvl="3">
      <w:start w:val="1"/>
      <w:numFmt w:val="lowerRoman"/>
      <w:lvlText w:val="%4."/>
      <w:lvlJc w:val="left"/>
      <w:pPr>
        <w:ind w:left="2880" w:hanging="360"/>
      </w:pPr>
    </w:lvl>
    <w:lvl w:ilvl="4">
      <w:start w:val="1"/>
      <w:numFmt w:val="lowerRoman"/>
      <w:lvlText w:val="%5."/>
      <w:lvlJc w:val="left"/>
      <w:pPr>
        <w:ind w:left="3600" w:hanging="360"/>
      </w:pPr>
    </w:lvl>
    <w:lvl w:ilvl="5">
      <w:start w:val="1"/>
      <w:numFmt w:val="lowerRoman"/>
      <w:lvlText w:val="%6."/>
      <w:lvlJc w:val="left"/>
      <w:pPr>
        <w:ind w:left="4320" w:hanging="360"/>
      </w:pPr>
    </w:lvl>
    <w:lvl w:ilvl="6">
      <w:start w:val="1"/>
      <w:numFmt w:val="lowerRoman"/>
      <w:lvlText w:val="%7."/>
      <w:lvlJc w:val="left"/>
      <w:pPr>
        <w:ind w:left="5040" w:hanging="360"/>
      </w:pPr>
    </w:lvl>
    <w:lvl w:ilvl="7">
      <w:start w:val="1"/>
      <w:numFmt w:val="lowerRoman"/>
      <w:lvlText w:val="%8."/>
      <w:lvlJc w:val="left"/>
      <w:pPr>
        <w:ind w:left="5760" w:hanging="360"/>
      </w:pPr>
    </w:lvl>
    <w:lvl w:ilvl="8">
      <w:start w:val="1"/>
      <w:numFmt w:val="lowerRoman"/>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821">
    <w:nsid w:val="00A99821"/>
    <w:multiLevelType w:val="multilevel"/>
    <w:lvl w:ilvl="0">
      <w:start w:val="1"/>
      <w:numFmt w:val="upperLetter"/>
      <w:lvlText w:val="%1)"/>
      <w:lvlJc w:val="left"/>
      <w:pPr>
        <w:ind w:left="720" w:hanging="360"/>
      </w:pPr>
    </w:lvl>
    <w:lvl w:ilvl="1">
      <w:start w:val="1"/>
      <w:numFmt w:val="upperLetter"/>
      <w:lvlText w:val="%2)"/>
      <w:lvlJc w:val="left"/>
      <w:pPr>
        <w:ind w:left="1440" w:hanging="360"/>
      </w:pPr>
    </w:lvl>
    <w:lvl w:ilvl="2">
      <w:start w:val="1"/>
      <w:numFmt w:val="upperLetter"/>
      <w:lvlText w:val="%3)"/>
      <w:lvlJc w:val="left"/>
      <w:pPr>
        <w:ind w:left="2160" w:hanging="360"/>
      </w:pPr>
    </w:lvl>
    <w:lvl w:ilvl="3">
      <w:start w:val="1"/>
      <w:numFmt w:val="upperLetter"/>
      <w:lvlText w:val="%4)"/>
      <w:lvlJc w:val="left"/>
      <w:pPr>
        <w:ind w:left="2880" w:hanging="360"/>
      </w:pPr>
    </w:lvl>
    <w:lvl w:ilvl="4">
      <w:start w:val="1"/>
      <w:numFmt w:val="upperLetter"/>
      <w:lvlText w:val="%5)"/>
      <w:lvlJc w:val="left"/>
      <w:pPr>
        <w:ind w:left="3600" w:hanging="360"/>
      </w:pPr>
    </w:lvl>
    <w:lvl w:ilvl="5">
      <w:start w:val="1"/>
      <w:numFmt w:val="upperLetter"/>
      <w:lvlText w:val="%6)"/>
      <w:lvlJc w:val="left"/>
      <w:pPr>
        <w:ind w:left="4320" w:hanging="360"/>
      </w:pPr>
    </w:lvl>
    <w:lvl w:ilvl="6">
      <w:start w:val="1"/>
      <w:numFmt w:val="upperLetter"/>
      <w:lvlText w:val="%7)"/>
      <w:lvlJc w:val="left"/>
      <w:pPr>
        <w:ind w:left="5040" w:hanging="360"/>
      </w:pPr>
    </w:lvl>
    <w:lvl w:ilvl="7">
      <w:start w:val="1"/>
      <w:numFmt w:val="upperLetter"/>
      <w:lvlText w:val="%8)"/>
      <w:lvlJc w:val="left"/>
      <w:pPr>
        <w:ind w:left="5760" w:hanging="360"/>
      </w:pPr>
    </w:lvl>
    <w:lvl w:ilvl="8">
      <w:start w:val="1"/>
      <w:numFmt w:val="upperLetter"/>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06">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11">
    <w:abstractNumId w:val="992"/>
  </w:num>
  <w:num w:numId="1012">
    <w:abstractNumId w:val="992"/>
  </w:num>
  <w:num w:numId="1013">
    <w:abstractNumId w:val="992"/>
  </w:num>
  <w:num w:numId="1014">
    <w:abstractNumId w:val="992"/>
  </w:num>
  <w:num w:numId="1015">
    <w:abstractNumId w:val="992"/>
  </w:num>
  <w:num w:numId="1016">
    <w:abstractNumId w:val="992"/>
  </w:num>
  <w:num w:numId="1017">
    <w:abstractNumId w:val="992"/>
  </w:num>
  <w:num w:numId="1018">
    <w:abstractNumId w:val="992"/>
  </w:num>
  <w:num w:numId="1019">
    <w:abstractNumId w:val="992"/>
  </w:num>
  <w:num w:numId="1020">
    <w:abstractNumId w:val="992"/>
  </w:num>
  <w:num w:numId="1021">
    <w:abstractNumId w:val="992"/>
  </w:num>
  <w:num w:numId="1022">
    <w:abstractNumId w:val="992"/>
  </w:num>
  <w:num w:numId="1023">
    <w:abstractNumId w:val="992"/>
  </w:num>
  <w:num w:numId="1024">
    <w:abstractNumId w:val="992"/>
  </w:num>
  <w:num w:numId="1025">
    <w:abstractNumId w:val="992"/>
  </w:num>
  <w:num w:numId="1026">
    <w:abstractNumId w:val="992"/>
  </w:num>
  <w:num w:numId="1027">
    <w:abstractNumId w:val="992"/>
  </w:num>
  <w:num w:numId="1028">
    <w:abstractNumId w:val="992"/>
  </w:num>
  <w:num w:numId="1029">
    <w:abstractNumId w:val="992"/>
  </w:num>
  <w:num w:numId="1030">
    <w:abstractNumId w:val="992"/>
  </w:num>
  <w:num w:numId="1031">
    <w:abstractNumId w:val="992"/>
  </w:num>
  <w:num w:numId="1032">
    <w:abstractNumId w:val="992"/>
  </w:num>
  <w:num w:numId="1033">
    <w:abstractNumId w:val="992"/>
  </w:num>
  <w:num w:numId="1034">
    <w:abstractNumId w:val="992"/>
  </w:num>
  <w:num w:numId="1035">
    <w:abstractNumId w:val="992"/>
  </w:num>
  <w:num w:numId="1036">
    <w:abstractNumId w:val="992"/>
  </w:num>
  <w:num w:numId="1037">
    <w:abstractNumId w:val="992"/>
  </w:num>
  <w:num w:numId="1038">
    <w:abstractNumId w:val="992"/>
  </w:num>
  <w:num w:numId="1039">
    <w:abstractNumId w:val="992"/>
  </w:num>
  <w:num w:numId="1040">
    <w:abstractNumId w:val="992"/>
  </w:num>
  <w:num w:numId="1041">
    <w:abstractNumId w:val="992"/>
  </w:num>
  <w:num w:numId="1042">
    <w:abstractNumId w:val="992"/>
  </w:num>
  <w:num w:numId="1043">
    <w:abstractNumId w:val="992"/>
  </w:num>
  <w:num w:numId="10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1"/>
  </w:num>
  <w:num w:numId="1047">
    <w:abstractNumId w:val="991"/>
  </w:num>
  <w:num w:numId="1048">
    <w:abstractNumId w:val="991"/>
  </w:num>
  <w:num w:numId="1049">
    <w:abstractNumId w:val="992"/>
  </w:num>
  <w:num w:numId="1050">
    <w:abstractNumId w:val="992"/>
  </w:num>
  <w:num w:numId="1051">
    <w:abstractNumId w:val="992"/>
  </w:num>
  <w:num w:numId="1052">
    <w:abstractNumId w:val="992"/>
  </w:num>
  <w:num w:numId="105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4">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5">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6">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57">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8">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9">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60">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1">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2">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3">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4">
    <w:abstractNumId w:val="994115"/>
    <w:lvlOverride w:ilvl="0">
      <w:startOverride w:val="15"/>
    </w:lvlOverride>
    <w:lvlOverride w:ilvl="1">
      <w:startOverride w:val="15"/>
    </w:lvlOverride>
    <w:lvlOverride w:ilvl="2">
      <w:startOverride w:val="15"/>
    </w:lvlOverride>
    <w:lvlOverride w:ilvl="3">
      <w:startOverride w:val="15"/>
    </w:lvlOverride>
    <w:lvlOverride w:ilvl="4">
      <w:startOverride w:val="15"/>
    </w:lvlOverride>
    <w:lvlOverride w:ilvl="5">
      <w:startOverride w:val="15"/>
    </w:lvlOverride>
    <w:lvlOverride w:ilvl="6">
      <w:startOverride w:val="15"/>
    </w:lvlOverride>
    <w:lvlOverride w:ilvl="7">
      <w:startOverride w:val="15"/>
    </w:lvlOverride>
    <w:lvlOverride w:ilvl="8">
      <w:startOverride w:val="15"/>
    </w:lvlOverride>
  </w:num>
  <w:num w:numId="1065">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6">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8">
    <w:abstractNumId w:val="992"/>
  </w:num>
  <w:num w:numId="1069">
    <w:abstractNumId w:val="992"/>
  </w:num>
  <w:num w:numId="1070">
    <w:abstractNumId w:val="992"/>
  </w:num>
  <w:num w:numId="1071">
    <w:abstractNumId w:val="992"/>
  </w:num>
  <w:num w:numId="1072">
    <w:abstractNumId w:val="992"/>
  </w:num>
  <w:num w:numId="1073">
    <w:abstractNumId w:val="992"/>
  </w:num>
  <w:num w:numId="1074">
    <w:abstractNumId w:val="992"/>
  </w:num>
  <w:num w:numId="1075">
    <w:abstractNumId w:val="992"/>
  </w:num>
  <w:num w:numId="1076">
    <w:abstractNumId w:val="992"/>
  </w:num>
  <w:num w:numId="1077">
    <w:abstractNumId w:val="992"/>
  </w:num>
  <w:num w:numId="1078">
    <w:abstractNumId w:val="992"/>
  </w:num>
  <w:num w:numId="1079">
    <w:abstractNumId w:val="992"/>
  </w:num>
  <w:num w:numId="1080">
    <w:abstractNumId w:val="992"/>
  </w:num>
  <w:num w:numId="1081">
    <w:abstractNumId w:val="992"/>
  </w:num>
  <w:num w:numId="108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3">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4">
    <w:abstractNumId w:val="995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5">
    <w:abstractNumId w:val="995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6">
    <w:abstractNumId w:val="995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8">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9">
    <w:abstractNumId w:val="992"/>
  </w:num>
  <w:num w:numId="1090">
    <w:abstractNumId w:val="992"/>
  </w:num>
  <w:num w:numId="1091">
    <w:abstractNumId w:val="992"/>
  </w:num>
  <w:num w:numId="1092">
    <w:abstractNumId w:val="992"/>
  </w:num>
  <w:num w:numId="1093">
    <w:abstractNumId w:val="992"/>
  </w:num>
  <w:num w:numId="1094">
    <w:abstractNumId w:val="992"/>
  </w:num>
  <w:num w:numId="1095">
    <w:abstractNumId w:val="992"/>
  </w:num>
  <w:num w:numId="1096">
    <w:abstractNumId w:val="992"/>
  </w:num>
  <w:num w:numId="1097">
    <w:abstractNumId w:val="992"/>
  </w:num>
  <w:num w:numId="1098">
    <w:abstractNumId w:val="992"/>
  </w:num>
  <w:num w:numId="1099">
    <w:abstractNumId w:val="992"/>
  </w:num>
  <w:num w:numId="1100">
    <w:abstractNumId w:val="992"/>
  </w:num>
  <w:num w:numId="1101">
    <w:abstractNumId w:val="992"/>
  </w:num>
  <w:num w:numId="1102">
    <w:abstractNumId w:val="992"/>
  </w:num>
  <w:num w:numId="1103">
    <w:abstractNumId w:val="992"/>
  </w:num>
  <w:num w:numId="1104">
    <w:abstractNumId w:val="992"/>
  </w:num>
  <w:num w:numId="11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6">
    <w:abstractNumId w:val="992"/>
  </w:num>
  <w:num w:numId="1107">
    <w:abstractNumId w:val="992"/>
  </w:num>
  <w:num w:numId="1108">
    <w:abstractNumId w:val="992"/>
  </w:num>
  <w:num w:numId="1109">
    <w:abstractNumId w:val="992"/>
  </w:num>
  <w:num w:numId="1110">
    <w:abstractNumId w:val="992"/>
  </w:num>
  <w:num w:numId="1111">
    <w:abstractNumId w:val="992"/>
  </w:num>
  <w:num w:numId="1112">
    <w:abstractNumId w:val="992"/>
  </w:num>
  <w:num w:numId="1113">
    <w:abstractNumId w:val="992"/>
  </w:num>
  <w:num w:numId="1114">
    <w:abstractNumId w:val="992"/>
  </w:num>
  <w:num w:numId="1115">
    <w:abstractNumId w:val="992"/>
  </w:num>
  <w:num w:numId="1116">
    <w:abstractNumId w:val="992"/>
  </w:num>
  <w:num w:numId="1117">
    <w:abstractNumId w:val="992"/>
  </w:num>
  <w:num w:numId="11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9">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1">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22">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123">
    <w:abstractNumId w:val="992"/>
  </w:num>
  <w:num w:numId="1124">
    <w:abstractNumId w:val="992"/>
  </w:num>
  <w:num w:numId="1125">
    <w:abstractNumId w:val="992"/>
  </w:num>
  <w:num w:numId="1126">
    <w:abstractNumId w:val="992"/>
  </w:num>
  <w:num w:numId="1127">
    <w:abstractNumId w:val="992"/>
  </w:num>
  <w:num w:numId="1128">
    <w:abstractNumId w:val="992"/>
  </w:num>
  <w:num w:numId="1129">
    <w:abstractNumId w:val="992"/>
  </w:num>
  <w:num w:numId="1130">
    <w:abstractNumId w:val="992"/>
  </w:num>
  <w:num w:numId="1131">
    <w:abstractNumId w:val="992"/>
  </w:num>
  <w:num w:numId="1132">
    <w:abstractNumId w:val="992"/>
  </w:num>
  <w:num w:numId="1133">
    <w:abstractNumId w:val="992"/>
  </w:num>
  <w:num w:numId="1134">
    <w:abstractNumId w:val="992"/>
  </w:num>
  <w:num w:numId="1135">
    <w:abstractNumId w:val="992"/>
  </w:num>
  <w:num w:numId="1136">
    <w:abstractNumId w:val="992"/>
  </w:num>
  <w:num w:numId="1137">
    <w:abstractNumId w:val="992"/>
  </w:num>
  <w:num w:numId="1138">
    <w:abstractNumId w:val="992"/>
  </w:num>
  <w:num w:numId="1139">
    <w:abstractNumId w:val="992"/>
  </w:num>
  <w:num w:numId="11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1">
    <w:abstractNumId w:val="992"/>
  </w:num>
  <w:num w:numId="1142">
    <w:abstractNumId w:val="992"/>
  </w:num>
  <w:num w:numId="1143">
    <w:abstractNumId w:val="992"/>
  </w:num>
  <w:num w:numId="1144">
    <w:abstractNumId w:val="992"/>
  </w:num>
  <w:num w:numId="1145">
    <w:abstractNumId w:val="992"/>
  </w:num>
  <w:num w:numId="1146">
    <w:abstractNumId w:val="992"/>
  </w:num>
  <w:num w:numId="1147">
    <w:abstractNumId w:val="992"/>
  </w:num>
  <w:num w:numId="11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9">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1">
    <w:abstractNumId w:val="992"/>
  </w:num>
  <w:num w:numId="1152">
    <w:abstractNumId w:val="992"/>
  </w:num>
  <w:num w:numId="1153">
    <w:abstractNumId w:val="992"/>
  </w:num>
  <w:num w:numId="1154">
    <w:abstractNumId w:val="992"/>
  </w:num>
  <w:num w:numId="1155">
    <w:abstractNumId w:val="992"/>
  </w:num>
  <w:num w:numId="1156">
    <w:abstractNumId w:val="992"/>
  </w:num>
  <w:num w:numId="1157">
    <w:abstractNumId w:val="992"/>
  </w:num>
  <w:num w:numId="1158">
    <w:abstractNumId w:val="992"/>
  </w:num>
  <w:num w:numId="1159">
    <w:abstractNumId w:val="992"/>
  </w:num>
  <w:num w:numId="11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1">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6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3">
    <w:abstractNumId w:val="992"/>
  </w:num>
  <w:num w:numId="1164">
    <w:abstractNumId w:val="992"/>
  </w:num>
  <w:num w:numId="1165">
    <w:abstractNumId w:val="992"/>
  </w:num>
  <w:num w:numId="1166">
    <w:abstractNumId w:val="992"/>
  </w:num>
  <w:num w:numId="1167">
    <w:abstractNumId w:val="992"/>
  </w:num>
  <w:num w:numId="1168">
    <w:abstractNumId w:val="992"/>
  </w:num>
  <w:num w:numId="1169">
    <w:abstractNumId w:val="992"/>
  </w:num>
  <w:num w:numId="1170">
    <w:abstractNumId w:val="992"/>
  </w:num>
  <w:num w:numId="1171">
    <w:abstractNumId w:val="992"/>
  </w:num>
  <w:num w:numId="1172">
    <w:abstractNumId w:val="992"/>
  </w:num>
  <w:num w:numId="117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4">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17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6">
    <w:abstractNumId w:val="992"/>
  </w:num>
  <w:num w:numId="1177">
    <w:abstractNumId w:val="992"/>
  </w:num>
  <w:num w:numId="1178">
    <w:abstractNumId w:val="992"/>
  </w:num>
  <w:num w:numId="1179">
    <w:abstractNumId w:val="992"/>
  </w:num>
  <w:num w:numId="1180">
    <w:abstractNumId w:val="992"/>
  </w:num>
  <w:num w:numId="118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3">
    <w:abstractNumId w:val="992"/>
  </w:num>
  <w:num w:numId="1184">
    <w:abstractNumId w:val="992"/>
  </w:num>
  <w:num w:numId="1185">
    <w:abstractNumId w:val="992"/>
  </w:num>
  <w:num w:numId="1186">
    <w:abstractNumId w:val="992"/>
  </w:num>
  <w:num w:numId="118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8">
    <w:abstractNumId w:val="991"/>
  </w:num>
  <w:num w:numId="1189">
    <w:abstractNumId w:val="991"/>
  </w:num>
  <w:num w:numId="119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1">
    <w:abstractNumId w:val="991"/>
  </w:num>
  <w:num w:numId="119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3">
    <w:abstractNumId w:val="992"/>
  </w:num>
  <w:num w:numId="1194">
    <w:abstractNumId w:val="992"/>
  </w:num>
  <w:num w:numId="1195">
    <w:abstractNumId w:val="992"/>
  </w:num>
  <w:num w:numId="1196">
    <w:abstractNumId w:val="992"/>
  </w:num>
  <w:num w:numId="1197">
    <w:abstractNumId w:val="992"/>
  </w:num>
  <w:num w:numId="1198">
    <w:abstractNumId w:val="992"/>
  </w:num>
  <w:num w:numId="1199">
    <w:abstractNumId w:val="992"/>
  </w:num>
  <w:num w:numId="1200">
    <w:abstractNumId w:val="992"/>
  </w:num>
  <w:num w:numId="1201">
    <w:abstractNumId w:val="992"/>
  </w:num>
  <w:num w:numId="1202">
    <w:abstractNumId w:val="992"/>
  </w:num>
  <w:num w:numId="1203">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5">
    <w:abstractNumId w:val="991"/>
  </w:num>
  <w:num w:numId="12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8">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9">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1">
    <w:abstractNumId w:val="991"/>
  </w:num>
  <w:num w:numId="1212">
    <w:abstractNumId w:val="991"/>
  </w:num>
  <w:num w:numId="1213">
    <w:abstractNumId w:val="991"/>
  </w:num>
  <w:num w:numId="1214">
    <w:abstractNumId w:val="991"/>
  </w:num>
  <w:num w:numId="1215">
    <w:abstractNumId w:val="991"/>
  </w:num>
  <w:num w:numId="1216">
    <w:abstractNumId w:val="991"/>
  </w:num>
  <w:num w:numId="1217">
    <w:abstractNumId w:val="992"/>
  </w:num>
  <w:num w:numId="1218">
    <w:abstractNumId w:val="992"/>
  </w:num>
  <w:num w:numId="1219">
    <w:abstractNumId w:val="992"/>
  </w:num>
  <w:num w:numId="1220">
    <w:abstractNumId w:val="992"/>
  </w:num>
  <w:num w:numId="1221">
    <w:abstractNumId w:val="992"/>
  </w:num>
  <w:num w:numId="1222">
    <w:abstractNumId w:val="992"/>
  </w:num>
  <w:num w:numId="1223">
    <w:abstractNumId w:val="992"/>
  </w:num>
  <w:num w:numId="1224">
    <w:abstractNumId w:val="992"/>
  </w:num>
  <w:num w:numId="1225">
    <w:abstractNumId w:val="992"/>
  </w:num>
  <w:num w:numId="1226">
    <w:abstractNumId w:val="992"/>
  </w:num>
  <w:num w:numId="12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8">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9">
    <w:abstractNumId w:val="995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0">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1">
    <w:abstractNumId w:val="992"/>
  </w:num>
  <w:num w:numId="1232">
    <w:abstractNumId w:val="992"/>
  </w:num>
  <w:num w:numId="1233">
    <w:abstractNumId w:val="992"/>
  </w:num>
  <w:num w:numId="1234">
    <w:abstractNumId w:val="992"/>
  </w:num>
  <w:num w:numId="1235">
    <w:abstractNumId w:val="992"/>
  </w:num>
  <w:num w:numId="1236">
    <w:abstractNumId w:val="992"/>
  </w:num>
  <w:num w:numId="12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8">
    <w:abstractNumId w:val="991"/>
  </w:num>
  <w:num w:numId="12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0">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1">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2">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3">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4">
    <w:abstractNumId w:val="995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5">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6">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7">
    <w:abstractNumId w:val="991"/>
  </w:num>
  <w:num w:numId="12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9">
    <w:abstractNumId w:val="991"/>
  </w:num>
  <w:num w:numId="12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3">
    <w:abstractNumId w:val="991"/>
  </w:num>
  <w:num w:numId="125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8">
    <w:abstractNumId w:val="991"/>
  </w:num>
  <w:num w:numId="125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11" Target="media/rId111.png" /><Relationship Type="http://schemas.openxmlformats.org/officeDocument/2006/relationships/image" Id="rId28" Target="media/rId28.png" /><Relationship Type="http://schemas.openxmlformats.org/officeDocument/2006/relationships/image" Id="rId12" Target="media/rId12.png" /><Relationship Type="http://schemas.openxmlformats.org/officeDocument/2006/relationships/image" Id="rId48" Target="media/rId48.png" /><Relationship Type="http://schemas.openxmlformats.org/officeDocument/2006/relationships/image" Id="rId149" Target="media/rId149.png" /><Relationship Type="http://schemas.openxmlformats.org/officeDocument/2006/relationships/image" Id="rId127" Target="media/rId127.png" /><Relationship Type="http://schemas.openxmlformats.org/officeDocument/2006/relationships/image" Id="rId166" Target="media/rId166.png" /><Relationship Type="http://schemas.openxmlformats.org/officeDocument/2006/relationships/image" Id="rId81" Target="media/rId81.png" /><Relationship Type="http://schemas.openxmlformats.org/officeDocument/2006/relationships/image" Id="rId101" Target="media/rId101.png" /><Relationship Type="http://schemas.openxmlformats.org/officeDocument/2006/relationships/image" Id="rId90" Target="media/rId90.png" /><Relationship Type="http://schemas.openxmlformats.org/officeDocument/2006/relationships/image" Id="rId132" Target="media/rId132.png" /><Relationship Type="http://schemas.openxmlformats.org/officeDocument/2006/relationships/image" Id="rId95" Target="media/rId95.png" /><Relationship Type="http://schemas.openxmlformats.org/officeDocument/2006/relationships/image" Id="rId156" Target="media/rId156.png" /><Relationship Type="http://schemas.openxmlformats.org/officeDocument/2006/relationships/hyperlink" Id="rId31" Target="_materials.csv" TargetMode="External" /><Relationship Type="http://schemas.openxmlformats.org/officeDocument/2006/relationships/hyperlink" Id="rId54" Target="https://docs.google.com/spreadsheets/d/1mwfepj-iDCfE9ZHvsbBmc7eAuIUaboug/edit?usp=sharing&amp;ouid=105826871227022710667&amp;rtpof=true&amp;sd=true" TargetMode="External" /><Relationship Type="http://schemas.openxmlformats.org/officeDocument/2006/relationships/hyperlink" Id="rId255" Target="https://doi.org/10.17504/protocols.io.rm7vzqd5xvx1/v1" TargetMode="External" /><Relationship Type="http://schemas.openxmlformats.org/officeDocument/2006/relationships/hyperlink" Id="rId70" Target="https://fundis.org/get-started/photograph" TargetMode="External" /><Relationship Type="http://schemas.openxmlformats.org/officeDocument/2006/relationships/hyperlink" Id="rId247" Target="https://github.com/BSC495-HWC" TargetMode="External" /><Relationship Type="http://schemas.openxmlformats.org/officeDocument/2006/relationships/hyperlink" Id="rId68" Target="https://inaturalist.freshdesk.com/en/support/solutions/folders/151000547795" TargetMode="External" /><Relationship Type="http://schemas.openxmlformats.org/officeDocument/2006/relationships/hyperlink" Id="rId9" Target="https://mycocosm.jgi.doe.gov/mycocosm/home/myco-ed" TargetMode="External" /><Relationship Type="http://schemas.openxmlformats.org/officeDocument/2006/relationships/hyperlink" Id="rId10" Target="https://quarto.org/docs/books" TargetMode="External" /><Relationship Type="http://schemas.openxmlformats.org/officeDocument/2006/relationships/hyperlink" Id="rId163" Target="https://www.hardydiagnostics.com/assets/pdf/BlueMount_Permanent_Fungal_Stain_Lactophenol_Cotton_Blue_with_PVA.pdf" TargetMode="External" /><Relationship Type="http://schemas.openxmlformats.org/officeDocument/2006/relationships/hyperlink" Id="rId33" Target="https://www.inaturalist.org/" TargetMode="External" /><Relationship Type="http://schemas.openxmlformats.org/officeDocument/2006/relationships/hyperlink" Id="rId67" Target="https://www.inaturalist.org/pages/getting+started" TargetMode="External" /><Relationship Type="http://schemas.openxmlformats.org/officeDocument/2006/relationships/hyperlink" Id="rId56" Target="https://www.inaturalist.org/projects/nc-state-myco-ed" TargetMode="External" /><Relationship Type="http://schemas.openxmlformats.org/officeDocument/2006/relationships/hyperlink" Id="rId69" Target="https://youtu.be/EgZw37NjxkA" TargetMode="External" /><Relationship Type="http://schemas.openxmlformats.org/officeDocument/2006/relationships/hyperlink" Id="rId15" Target="module0-slides.html" TargetMode="External" /><Relationship Type="http://schemas.openxmlformats.org/officeDocument/2006/relationships/hyperlink" Id="rId16" Target="module1-slides.html" TargetMode="External" /><Relationship Type="http://schemas.openxmlformats.org/officeDocument/2006/relationships/hyperlink" Id="rId17" Target="module2-slides.html" TargetMode="External" /><Relationship Type="http://schemas.openxmlformats.org/officeDocument/2006/relationships/hyperlink" Id="rId18" Target="module3-slides.html" TargetMode="External" /><Relationship Type="http://schemas.openxmlformats.org/officeDocument/2006/relationships/hyperlink" Id="rId19" Target="module4-slides.html" TargetMode="External" /><Relationship Type="http://schemas.openxmlformats.org/officeDocument/2006/relationships/hyperlink" Id="rId20" Target="module5-slides.html" TargetMode="External" /><Relationship Type="http://schemas.openxmlformats.org/officeDocument/2006/relationships/hyperlink" Id="rId21" Target="module6-slides.html" TargetMode="External" /><Relationship Type="http://schemas.openxmlformats.org/officeDocument/2006/relationships/hyperlink" Id="rId22" Target="module7-slides.html" TargetMode="External" /></Relationships>
</file>

<file path=word/_rels/footnotes.xml.rels><?xml version="1.0" encoding="UTF-8"?><Relationships xmlns="http://schemas.openxmlformats.org/package/2006/relationships"><Relationship Type="http://schemas.openxmlformats.org/officeDocument/2006/relationships/hyperlink" Id="rId31" Target="_materials.csv" TargetMode="External" /><Relationship Type="http://schemas.openxmlformats.org/officeDocument/2006/relationships/hyperlink" Id="rId54" Target="https://docs.google.com/spreadsheets/d/1mwfepj-iDCfE9ZHvsbBmc7eAuIUaboug/edit?usp=sharing&amp;ouid=105826871227022710667&amp;rtpof=true&amp;sd=true" TargetMode="External" /><Relationship Type="http://schemas.openxmlformats.org/officeDocument/2006/relationships/hyperlink" Id="rId255" Target="https://doi.org/10.17504/protocols.io.rm7vzqd5xvx1/v1" TargetMode="External" /><Relationship Type="http://schemas.openxmlformats.org/officeDocument/2006/relationships/hyperlink" Id="rId70" Target="https://fundis.org/get-started/photograph" TargetMode="External" /><Relationship Type="http://schemas.openxmlformats.org/officeDocument/2006/relationships/hyperlink" Id="rId247" Target="https://github.com/BSC495-HWC" TargetMode="External" /><Relationship Type="http://schemas.openxmlformats.org/officeDocument/2006/relationships/hyperlink" Id="rId68" Target="https://inaturalist.freshdesk.com/en/support/solutions/folders/151000547795" TargetMode="External" /><Relationship Type="http://schemas.openxmlformats.org/officeDocument/2006/relationships/hyperlink" Id="rId9" Target="https://mycocosm.jgi.doe.gov/mycocosm/home/myco-ed" TargetMode="External" /><Relationship Type="http://schemas.openxmlformats.org/officeDocument/2006/relationships/hyperlink" Id="rId10" Target="https://quarto.org/docs/books" TargetMode="External" /><Relationship Type="http://schemas.openxmlformats.org/officeDocument/2006/relationships/hyperlink" Id="rId163" Target="https://www.hardydiagnostics.com/assets/pdf/BlueMount_Permanent_Fungal_Stain_Lactophenol_Cotton_Blue_with_PVA.pdf" TargetMode="External" /><Relationship Type="http://schemas.openxmlformats.org/officeDocument/2006/relationships/hyperlink" Id="rId33" Target="https://www.inaturalist.org/" TargetMode="External" /><Relationship Type="http://schemas.openxmlformats.org/officeDocument/2006/relationships/hyperlink" Id="rId67" Target="https://www.inaturalist.org/pages/getting+started" TargetMode="External" /><Relationship Type="http://schemas.openxmlformats.org/officeDocument/2006/relationships/hyperlink" Id="rId56" Target="https://www.inaturalist.org/projects/nc-state-myco-ed" TargetMode="External" /><Relationship Type="http://schemas.openxmlformats.org/officeDocument/2006/relationships/hyperlink" Id="rId69" Target="https://youtu.be/EgZw37NjxkA" TargetMode="External" /><Relationship Type="http://schemas.openxmlformats.org/officeDocument/2006/relationships/hyperlink" Id="rId15" Target="module0-slides.html" TargetMode="External" /><Relationship Type="http://schemas.openxmlformats.org/officeDocument/2006/relationships/hyperlink" Id="rId16" Target="module1-slides.html" TargetMode="External" /><Relationship Type="http://schemas.openxmlformats.org/officeDocument/2006/relationships/hyperlink" Id="rId17" Target="module2-slides.html" TargetMode="External" /><Relationship Type="http://schemas.openxmlformats.org/officeDocument/2006/relationships/hyperlink" Id="rId18" Target="module3-slides.html" TargetMode="External" /><Relationship Type="http://schemas.openxmlformats.org/officeDocument/2006/relationships/hyperlink" Id="rId19" Target="module4-slides.html" TargetMode="External" /><Relationship Type="http://schemas.openxmlformats.org/officeDocument/2006/relationships/hyperlink" Id="rId20" Target="module5-slides.html" TargetMode="External" /><Relationship Type="http://schemas.openxmlformats.org/officeDocument/2006/relationships/hyperlink" Id="rId21" Target="module6-slides.html" TargetMode="External" /><Relationship Type="http://schemas.openxmlformats.org/officeDocument/2006/relationships/hyperlink" Id="rId22" Target="module7-slides.htm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BSC 495: The Hidden World’s Code</dc:title>
  <dc:creator>Carlos C. Goller, Ph.D.</dc:creator>
  <dc:description>This lab-based course is a high-impact experience based on The Mycological Curriculum for Education and Discovery (Myco-Ed), a Course-Based Undergraduate Research Experience (CURE) that features team-based, hands-on experiments in fungal biology and genomics. You will learn new laboratory techniques and data analysis by starting with sample collection, fungal isolation, and the characterization of the resulting data to improve fungal genomic resources. Genomic DNA will be extracted from samples for genome sequencing, assembly, and annotation. By isolating and sequencing new fungal species, your team will help produce high-quality fungal reference genomes. This course will prepare you with workforce training in fungal biology and genomics and empower you to be a contributor to fungal genomics! Importantly, you will practice lab and bioinformatics skills that are broadly applicable!</dc:description>
  <cp:keywords/>
  <dcterms:created xsi:type="dcterms:W3CDTF">2026-06-01T00:11:37Z</dcterms:created>
  <dcterms:modified xsi:type="dcterms:W3CDTF">2026-06-01T00:11:37Z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ibliography">
    <vt:lpwstr/>
  </property>
  <property fmtid="{D5CDD505-2E9C-101B-9397-08002B2CF9AE}" pid="5" name="book">
    <vt:lpwstr/>
  </property>
  <property fmtid="{D5CDD505-2E9C-101B-9397-08002B2CF9AE}" pid="6" name="by-author">
    <vt:lpwstr/>
  </property>
  <property fmtid="{D5CDD505-2E9C-101B-9397-08002B2CF9AE}" pid="7" name="crossref">
    <vt:lpwstr/>
  </property>
  <property fmtid="{D5CDD505-2E9C-101B-9397-08002B2CF9AE}" pid="8" name="date">
    <vt:lpwstr>2026-05-07</vt:lpwstr>
  </property>
  <property fmtid="{D5CDD505-2E9C-101B-9397-08002B2CF9AE}" pid="9" name="engine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labels">
    <vt:lpwstr/>
  </property>
  <property fmtid="{D5CDD505-2E9C-101B-9397-08002B2CF9AE}" pid="14" name="subtitle">
    <vt:lpwstr>A Hands-On Fungal Genomics Lab</vt:lpwstr>
  </property>
  <property fmtid="{D5CDD505-2E9C-101B-9397-08002B2CF9AE}" pid="15" name="template-partials">
    <vt:lpwstr/>
  </property>
  <property fmtid="{D5CDD505-2E9C-101B-9397-08002B2CF9AE}" pid="16" name="toc-title">
    <vt:lpwstr>Table of contents</vt:lpwstr>
  </property>
</Properties>
</file>