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8.png" ContentType="image/png"/>
  <Override PartName="/word/media/rId12.png" ContentType="image/png"/>
  <Override PartName="/word/media/rId48.png" ContentType="image/png"/>
  <Override PartName="/word/media/rId149.png" ContentType="image/png"/>
  <Override PartName="/word/media/rId127.png" ContentType="image/png"/>
  <Override PartName="/word/media/rId81.png" ContentType="image/png"/>
  <Override PartName="/word/media/rId101.png" ContentType="image/png"/>
  <Override PartName="/word/media/rId90.png" ContentType="image/png"/>
  <Override PartName="/word/media/rId132.png" ContentType="image/png"/>
  <Override PartName="/word/media/rId95.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Potato Dextrose Agar (PDA)</w:t>
            </w:r>
          </w:p>
        </w:tc>
        <w:tc>
          <w:tcPr/>
          <w:p>
            <w:pPr>
              <w:pStyle w:val="Compact"/>
            </w:pPr>
            <w:r>
              <w:t xml:space="preserve">Base medium for Zn and temperature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Streptomycin (50 mg/mL)</w:t>
            </w:r>
          </w:p>
        </w:tc>
        <w:tc>
          <w:tcPr/>
          <w:p>
            <w:pPr>
              <w:pStyle w:val="Compact"/>
            </w:pPr>
            <w:r>
              <w:t xml:space="preserve">Optional additive to reduce bacterial contamination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Zinc sulfate</w:t>
            </w:r>
          </w:p>
        </w:tc>
        <w:tc>
          <w:tcPr/>
          <w:p>
            <w:pPr>
              <w:pStyle w:val="Compact"/>
            </w:pPr>
            <w:r>
              <w:t xml:space="preserve">Zn stress assay treatment concentrations (0, 1, 10 mM)</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Supply</w:t>
            </w:r>
          </w:p>
        </w:tc>
        <w:tc>
          <w:tcPr/>
          <w:p>
            <w:pPr>
              <w:pStyle w:val="Compact"/>
            </w:pPr>
            <w:r>
              <w:t xml:space="preserve">Cellophane discs</w:t>
            </w:r>
          </w:p>
        </w:tc>
        <w:tc>
          <w:tcPr/>
          <w:p>
            <w:pPr>
              <w:pStyle w:val="Compact"/>
            </w:pPr>
            <w:r>
              <w:t xml:space="preserve">Rinsed and autoclaved discs for tissue growth workflows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Equipment</w:t>
            </w:r>
          </w:p>
        </w:tc>
        <w:tc>
          <w:tcPr/>
          <w:p>
            <w:pPr>
              <w:pStyle w:val="Compact"/>
            </w:pPr>
            <w:r>
              <w:t xml:space="preserve">Incubators (4 °C, ~20 °C, 28 °C)</w:t>
            </w:r>
          </w:p>
        </w:tc>
        <w:tc>
          <w:tcPr/>
          <w:p>
            <w:pPr>
              <w:pStyle w:val="Compact"/>
            </w:pPr>
            <w:r>
              <w:t xml:space="preserve">Controlled temperature conditions for growth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BlueMount fungal stain (Lactophenol Cotton Blue with PVA)</w:t>
            </w:r>
          </w:p>
        </w:tc>
        <w:tc>
          <w:tcPr/>
          <w:p>
            <w:pPr>
              <w:pStyle w:val="Compact"/>
            </w:pPr>
            <w:r>
              <w:t xml:space="preserve">Microscopy stain for fungal structures</w:t>
            </w:r>
          </w:p>
        </w:tc>
        <w:tc>
          <w:tcPr/>
          <w:p>
            <w:pPr>
              <w:pStyle w:val="Compact"/>
            </w:pPr>
            <w:r>
              <w:t xml:space="preserve">Hardy Diagnostics</w:t>
            </w:r>
          </w:p>
        </w:tc>
        <w:tc>
          <w:tcPr/>
          <w:p>
            <w:pPr>
              <w:pStyle w:val="Compact"/>
            </w:pPr>
            <w:r>
              <w:t xml:space="preserve">Z137</w:t>
            </w:r>
          </w:p>
        </w:tc>
      </w:tr>
      <w:tr>
        <w:tc>
          <w:tcPr/>
          <w:p>
            <w:pPr>
              <w:pStyle w:val="Compact"/>
            </w:pPr>
            <w:r>
              <w:t xml:space="preserve">Module 3 – Phenotypic Assays</w:t>
            </w:r>
          </w:p>
        </w:tc>
        <w:tc>
          <w:tcPr/>
          <w:p>
            <w:pPr>
              <w:pStyle w:val="Compact"/>
            </w:pPr>
            <w:r>
              <w:t xml:space="preserve">Equipment</w:t>
            </w:r>
          </w:p>
        </w:tc>
        <w:tc>
          <w:tcPr/>
          <w:p>
            <w:pPr>
              <w:pStyle w:val="Compact"/>
            </w:pPr>
            <w:r>
              <w:t xml:space="preserve">Compound microscope</w:t>
            </w:r>
          </w:p>
        </w:tc>
        <w:tc>
          <w:tcPr/>
          <w:p>
            <w:pPr>
              <w:pStyle w:val="Compact"/>
            </w:pPr>
            <w:r>
              <w:t xml:space="preserve">Microscopy for fungal morphology documentation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Zn stress assay</w:t>
            </w:r>
          </w:p>
        </w:tc>
        <w:tc>
          <w:tcPr/>
          <w:p>
            <w:pPr>
              <w:pStyle w:val="Compact"/>
            </w:pPr>
            <w:r>
              <w:t xml:space="preserve">Measure growth response on PDA with 0, 1, and 10 mM Zn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Fungal microscopy assay</w:t>
            </w:r>
          </w:p>
        </w:tc>
        <w:tc>
          <w:tcPr/>
          <w:p>
            <w:pPr>
              <w:pStyle w:val="Compact"/>
            </w:pPr>
            <w:r>
              <w:t xml:space="preserve">Stain and observe fungal structures for morphology</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Temperature growth assay</w:t>
            </w:r>
          </w:p>
        </w:tc>
        <w:tc>
          <w:tcPr/>
          <w:p>
            <w:pPr>
              <w:pStyle w:val="Compact"/>
            </w:pPr>
            <w:r>
              <w:t xml:space="preserve">Compare growth at 4 °C, room temperature, and 28 °C</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8"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X77a2a5cde368cdc7e0265278fa1fc26eefd1a5c"/>
    <w:p>
      <w:pPr>
        <w:pStyle w:val="Heading3"/>
      </w:pPr>
      <w:r>
        <w:t xml:space="preserve">Instructor Laboratory Preparation Instructions</w:t>
      </w:r>
    </w:p>
    <w:bookmarkStart w:id="51" w:name="materials-and-equipment"/>
    <w:p>
      <w:pPr>
        <w:pStyle w:val="Heading4"/>
      </w:pPr>
      <w:r>
        <w:t xml:space="preserve">Materials and Equipment</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and iNaturalist).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7"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rPr>
          <w:b/>
          <w:bCs/>
        </w:rPr>
        <w:t xml:space="preserve">Document</w:t>
      </w:r>
      <w:r>
        <w:t xml:space="preserve"> </w:t>
      </w:r>
      <w:r>
        <w:t xml:space="preserve">fungal isolation using iNaturalist</w:t>
      </w:r>
    </w:p>
    <w:p>
      <w:pPr>
        <w:pStyle w:val="Compact"/>
        <w:numPr>
          <w:ilvl w:val="0"/>
          <w:numId w:val="1067"/>
        </w:numPr>
      </w:pPr>
      <w:r>
        <w:rPr>
          <w:b/>
          <w:bCs/>
        </w:rPr>
        <w:t xml:space="preserve">Practice</w:t>
      </w:r>
      <w:r>
        <w:t xml:space="preserve"> </w:t>
      </w:r>
      <w:r>
        <w:t xml:space="preserve">sterile technique</w:t>
      </w:r>
    </w:p>
    <w:p>
      <w:pPr>
        <w:pStyle w:val="Compact"/>
        <w:numPr>
          <w:ilvl w:val="0"/>
          <w:numId w:val="1067"/>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067"/>
        </w:numPr>
      </w:pPr>
      <w:r>
        <w:rPr>
          <w:b/>
          <w:bCs/>
        </w:rPr>
        <w:t xml:space="preserve">Investigate</w:t>
      </w:r>
      <w:r>
        <w:t xml:space="preserve"> </w:t>
      </w:r>
      <w:r>
        <w:t xml:space="preserve">fungal endophytes</w:t>
      </w:r>
    </w:p>
    <w:p>
      <w:pPr>
        <w:pStyle w:val="Compact"/>
        <w:numPr>
          <w:ilvl w:val="0"/>
          <w:numId w:val="1067"/>
        </w:numPr>
      </w:pPr>
      <w:r>
        <w:rPr>
          <w:b/>
          <w:bCs/>
        </w:rPr>
        <w:t xml:space="preserve">Characterize</w:t>
      </w:r>
      <w:r>
        <w:t xml:space="preserve"> </w:t>
      </w:r>
      <w:r>
        <w:t xml:space="preserve">morphology of fungal cultures</w:t>
      </w:r>
    </w:p>
    <w:bookmarkEnd w:id="86"/>
    <w:bookmarkStart w:id="87" w:name="materials"/>
    <w:p>
      <w:pPr>
        <w:pStyle w:val="Heading3"/>
      </w:pPr>
      <w:r>
        <w:t xml:space="preserve">Materials</w:t>
      </w:r>
    </w:p>
    <w:p>
      <w:pPr>
        <w:pStyle w:val="Compact"/>
        <w:numPr>
          <w:ilvl w:val="0"/>
          <w:numId w:val="1068"/>
        </w:numPr>
      </w:pPr>
      <w:r>
        <w:t xml:space="preserve">3 large water agar Petri plates (150 x 10 mm)per student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6"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summer of 2026 we incubated at 28 °C, but room temperature is fine. You should see fungal growth within 3-7 days. If you do not see growth after 7 days, you can try re-plating the leaf tissue on a fresh water agar plate. If you have access to a laminar flow hood or clean bench, you can also try plating on PDA media which may facilitate fungal growth.</w:t>
            </w:r>
          </w:p>
          <w:p/>
        </w:tc>
      </w:tr>
    </w:tbl>
    <w:tbl>
      <w:tblPr>
        <w:tblStyle w:val="Table"/>
        <w:tblW w:type="pct" w:w="5000"/>
        <w:tblLayout w:type="fixed"/>
        <w:tblLook w:firstRow="0" w:lastRow="0" w:firstColumn="0" w:lastColumn="0" w:noHBand="0" w:noVBand="0" w:val="0000"/>
      </w:tblPr>
      <w:tblGrid>
        <w:gridCol w:w="7920"/>
      </w:tblGrid>
      <w:tr>
        <w:tc>
          <w:tcPr/>
          <w:bookmarkStart w:id="104" w:name="fig-SamplesWaterAgar"/>
          <w:p>
            <w:pPr>
              <w:pStyle w:val="Compact"/>
              <w:jc w:val="center"/>
            </w:pPr>
            <w:r>
              <w:drawing>
                <wp:inline>
                  <wp:extent cx="5334000" cy="3733799"/>
                  <wp:effectExtent b="0" l="0" r="0" t="0"/>
                  <wp:docPr descr="" title="" id="102" name="Picture"/>
                  <a:graphic>
                    <a:graphicData uri="http://schemas.openxmlformats.org/drawingml/2006/picture">
                      <pic:pic>
                        <pic:nvPicPr>
                          <pic:cNvPr descr="images/LeafSamplesWaterAgar.png" id="103" name="Picture"/>
                          <pic:cNvPicPr>
                            <a:picLocks noChangeArrowheads="1" noChangeAspect="1"/>
                          </pic:cNvPicPr>
                        </pic:nvPicPr>
                        <pic:blipFill>
                          <a:blip r:embed="rId10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4"/>
        </w:tc>
      </w:tr>
    </w:tbl>
    <w:bookmarkEnd w:id="105"/>
    <w:bookmarkEnd w:id="106"/>
    <w:bookmarkEnd w:id="107"/>
    <w:bookmarkEnd w:id="108"/>
    <w:bookmarkStart w:id="139"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20" w:name="module-2.1-lab-prep-overview"/>
    <w:p>
      <w:pPr>
        <w:pStyle w:val="Heading2"/>
      </w:pPr>
      <w:r>
        <w:t xml:space="preserve">Module 2.1 – Lab Prep Overview</w:t>
      </w:r>
    </w:p>
    <w:bookmarkStart w:id="119" w:name="X607910f6b5d5ec784b2986740c973a9a0beb010"/>
    <w:p>
      <w:pPr>
        <w:pStyle w:val="Heading3"/>
      </w:pPr>
      <w:r>
        <w:t xml:space="preserve">Instructor Laboratory Preparation Instructions</w:t>
      </w:r>
    </w:p>
    <w:bookmarkStart w:id="118" w:name="materials-and-equipment-1"/>
    <w:p>
      <w:pPr>
        <w:pStyle w:val="Heading4"/>
      </w:pPr>
      <w:r>
        <w:t xml:space="preserve">Materials and Equipment</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Incubators set to 4 °C, room temperature (~20 °C), and 28 °C</w:t>
      </w:r>
    </w:p>
    <w:p>
      <w:pPr>
        <w:pStyle w:val="Compact"/>
        <w:numPr>
          <w:ilvl w:val="0"/>
          <w:numId w:val="1103"/>
        </w:numPr>
      </w:pPr>
      <w:r>
        <w:t xml:space="preserve">Refrigerator for storing plates at ~4 °C</w:t>
      </w:r>
    </w:p>
    <w:p>
      <w:pPr>
        <w:pStyle w:val="Compact"/>
        <w:numPr>
          <w:ilvl w:val="0"/>
          <w:numId w:val="1104"/>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important.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important.png" id="11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8"/>
    <w:bookmarkEnd w:id="119"/>
    <w:bookmarkEnd w:id="120"/>
    <w:bookmarkStart w:id="138" w:name="module-2.2---fungal-isolation"/>
    <w:p>
      <w:pPr>
        <w:pStyle w:val="Heading2"/>
      </w:pPr>
      <w:r>
        <w:t xml:space="preserve">Module 2.2 - Fungal Isolation</w:t>
      </w:r>
    </w:p>
    <w:bookmarkStart w:id="123"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3"/>
    <w:bookmarkStart w:id="12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4"/>
    <w:bookmarkStart w:id="125" w:name="learning-goals-1"/>
    <w:p>
      <w:pPr>
        <w:pStyle w:val="Heading3"/>
      </w:pPr>
      <w:r>
        <w:t xml:space="preserve">Learning Goals</w:t>
      </w:r>
    </w:p>
    <w:p>
      <w:pPr>
        <w:pStyle w:val="Compact"/>
        <w:numPr>
          <w:ilvl w:val="0"/>
          <w:numId w:val="1105"/>
        </w:numPr>
      </w:pPr>
      <w:r>
        <w:rPr>
          <w:b/>
          <w:bCs/>
        </w:rPr>
        <w:t xml:space="preserve">Practice</w:t>
      </w:r>
      <w:r>
        <w:t xml:space="preserve"> </w:t>
      </w:r>
      <w:r>
        <w:t xml:space="preserve">sterile technique</w:t>
      </w:r>
    </w:p>
    <w:p>
      <w:pPr>
        <w:pStyle w:val="Compact"/>
        <w:numPr>
          <w:ilvl w:val="0"/>
          <w:numId w:val="1105"/>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105"/>
        </w:numPr>
      </w:pPr>
      <w:r>
        <w:rPr>
          <w:b/>
          <w:bCs/>
        </w:rPr>
        <w:t xml:space="preserve">Investigate</w:t>
      </w:r>
      <w:r>
        <w:t xml:space="preserve"> </w:t>
      </w:r>
      <w:r>
        <w:t xml:space="preserve">fungal endophytes</w:t>
      </w:r>
    </w:p>
    <w:p>
      <w:pPr>
        <w:pStyle w:val="Compact"/>
        <w:numPr>
          <w:ilvl w:val="0"/>
          <w:numId w:val="1105"/>
        </w:numPr>
      </w:pPr>
      <w:r>
        <w:rPr>
          <w:b/>
          <w:bCs/>
        </w:rPr>
        <w:t xml:space="preserve">Characterize</w:t>
      </w:r>
      <w:r>
        <w:t xml:space="preserve"> </w:t>
      </w:r>
      <w:r>
        <w:t xml:space="preserve">morphology of fungal cultures</w:t>
      </w:r>
    </w:p>
    <w:p>
      <w:pPr>
        <w:pStyle w:val="Compact"/>
        <w:numPr>
          <w:ilvl w:val="0"/>
          <w:numId w:val="1105"/>
        </w:numPr>
      </w:pPr>
      <w:r>
        <w:rPr>
          <w:b/>
          <w:bCs/>
        </w:rPr>
        <w:t xml:space="preserve">Create</w:t>
      </w:r>
      <w:r>
        <w:t xml:space="preserve"> </w:t>
      </w:r>
      <w:r>
        <w:t xml:space="preserve">data spreadsheets</w:t>
      </w:r>
    </w:p>
    <w:p>
      <w:pPr>
        <w:pStyle w:val="Compact"/>
        <w:numPr>
          <w:ilvl w:val="0"/>
          <w:numId w:val="1105"/>
        </w:numPr>
      </w:pPr>
      <w:r>
        <w:rPr>
          <w:b/>
          <w:bCs/>
        </w:rPr>
        <w:t xml:space="preserve">Isolate</w:t>
      </w:r>
      <w:r>
        <w:t xml:space="preserve"> </w:t>
      </w:r>
      <w:r>
        <w:t xml:space="preserve">fungi for molecular extraction and analysis</w:t>
      </w:r>
    </w:p>
    <w:p>
      <w:pPr>
        <w:pStyle w:val="Compact"/>
        <w:numPr>
          <w:ilvl w:val="0"/>
          <w:numId w:val="1105"/>
        </w:numPr>
      </w:pPr>
      <w:r>
        <w:rPr>
          <w:b/>
          <w:bCs/>
        </w:rPr>
        <w:t xml:space="preserve">Create</w:t>
      </w:r>
      <w:r>
        <w:t xml:space="preserve"> </w:t>
      </w:r>
      <w:r>
        <w:t xml:space="preserve">growth curves</w:t>
      </w:r>
    </w:p>
    <w:bookmarkEnd w:id="125"/>
    <w:bookmarkStart w:id="137" w:name="instructions-1"/>
    <w:p>
      <w:pPr>
        <w:pStyle w:val="Heading3"/>
      </w:pPr>
      <w:r>
        <w:t xml:space="preserve">Instructions</w:t>
      </w:r>
    </w:p>
    <w:bookmarkStart w:id="126" w:name="materials-and-equipment-2"/>
    <w:p>
      <w:pPr>
        <w:pStyle w:val="Heading4"/>
      </w:pPr>
      <w:r>
        <w:t xml:space="preserve">Materials and Equipment</w:t>
      </w:r>
    </w:p>
    <w:p>
      <w:pPr>
        <w:pStyle w:val="Compact"/>
        <w:numPr>
          <w:ilvl w:val="0"/>
          <w:numId w:val="1106"/>
        </w:numPr>
      </w:pPr>
      <w:r>
        <w:t xml:space="preserve">Fungal endophyte sample plates</w:t>
      </w:r>
    </w:p>
    <w:p>
      <w:pPr>
        <w:pStyle w:val="Compact"/>
        <w:numPr>
          <w:ilvl w:val="0"/>
          <w:numId w:val="1107"/>
        </w:numPr>
      </w:pPr>
      <w:r>
        <w:t xml:space="preserve">PDA plates (60x15 mm)</w:t>
      </w:r>
    </w:p>
    <w:p>
      <w:pPr>
        <w:pStyle w:val="Compact"/>
        <w:numPr>
          <w:ilvl w:val="0"/>
          <w:numId w:val="1108"/>
        </w:numPr>
      </w:pPr>
      <w:r>
        <w:t xml:space="preserve">70% ethanol</w:t>
      </w:r>
    </w:p>
    <w:p>
      <w:pPr>
        <w:pStyle w:val="Compact"/>
        <w:numPr>
          <w:ilvl w:val="0"/>
          <w:numId w:val="1109"/>
        </w:numPr>
      </w:pPr>
      <w:r>
        <w:t xml:space="preserve">Kimwipes and paper towels</w:t>
      </w:r>
    </w:p>
    <w:p>
      <w:pPr>
        <w:pStyle w:val="Compact"/>
        <w:numPr>
          <w:ilvl w:val="0"/>
          <w:numId w:val="1110"/>
        </w:numPr>
      </w:pPr>
      <w:r>
        <w:t xml:space="preserve">Parafilm</w:t>
      </w:r>
    </w:p>
    <w:p>
      <w:pPr>
        <w:pStyle w:val="Compact"/>
        <w:numPr>
          <w:ilvl w:val="0"/>
          <w:numId w:val="1111"/>
        </w:numPr>
      </w:pPr>
      <w:r>
        <w:t xml:space="preserve">Fine-tip Sharpie</w:t>
      </w:r>
    </w:p>
    <w:p>
      <w:pPr>
        <w:pStyle w:val="Compact"/>
        <w:numPr>
          <w:ilvl w:val="0"/>
          <w:numId w:val="1112"/>
        </w:numPr>
      </w:pPr>
      <w:r>
        <w:t xml:space="preserve">Ethanol for sterilization</w:t>
      </w:r>
    </w:p>
    <w:p>
      <w:pPr>
        <w:pStyle w:val="Compact"/>
        <w:numPr>
          <w:ilvl w:val="0"/>
          <w:numId w:val="1113"/>
        </w:numPr>
      </w:pPr>
      <w:r>
        <w:t xml:space="preserve">Beaker or autoclavable container for ethanol</w:t>
      </w:r>
    </w:p>
    <w:p>
      <w:pPr>
        <w:pStyle w:val="Compact"/>
        <w:numPr>
          <w:ilvl w:val="0"/>
          <w:numId w:val="1114"/>
        </w:numPr>
      </w:pPr>
      <w:r>
        <w:t xml:space="preserve">Scalpel</w:t>
      </w:r>
    </w:p>
    <w:p>
      <w:pPr>
        <w:pStyle w:val="Compact"/>
        <w:numPr>
          <w:ilvl w:val="0"/>
          <w:numId w:val="1115"/>
        </w:numPr>
      </w:pPr>
      <w:r>
        <w:t xml:space="preserve">Ruler</w:t>
      </w:r>
    </w:p>
    <w:p>
      <w:pPr>
        <w:pStyle w:val="Compact"/>
        <w:numPr>
          <w:ilvl w:val="0"/>
          <w:numId w:val="1116"/>
        </w:numPr>
      </w:pPr>
      <w:r>
        <w:t xml:space="preserve">Forceps</w:t>
      </w:r>
    </w:p>
    <w:p>
      <w:pPr>
        <w:pStyle w:val="Compact"/>
        <w:numPr>
          <w:ilvl w:val="0"/>
          <w:numId w:val="1117"/>
        </w:numPr>
      </w:pPr>
      <w:r>
        <w:t xml:space="preserve">Autclave</w:t>
      </w:r>
    </w:p>
    <w:bookmarkEnd w:id="126"/>
    <w:bookmarkStart w:id="131"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30" w:name="fig-fungalhyphae"/>
          <w:p>
            <w:pPr>
              <w:pStyle w:val="Compact"/>
              <w:jc w:val="center"/>
            </w:pPr>
            <w:r>
              <w:drawing>
                <wp:inline>
                  <wp:extent cx="5334000" cy="3733799"/>
                  <wp:effectExtent b="0" l="0" r="0" t="0"/>
                  <wp:docPr descr="" title="" id="128" name="Picture"/>
                  <a:graphic>
                    <a:graphicData uri="http://schemas.openxmlformats.org/drawingml/2006/picture">
                      <pic:pic>
                        <pic:nvPicPr>
                          <pic:cNvPr descr="images/FungalHyphae.png" id="129" name="Picture"/>
                          <pic:cNvPicPr>
                            <a:picLocks noChangeArrowheads="1" noChangeAspect="1"/>
                          </pic:cNvPicPr>
                        </pic:nvPicPr>
                        <pic:blipFill>
                          <a:blip r:embed="rId12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30"/>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8"/>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8"/>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8"/>
        </w:numPr>
      </w:pPr>
      <w:r>
        <w:t xml:space="preserve">Use a sterilized scalpel, forceps, and agar punch.</w:t>
      </w:r>
    </w:p>
    <w:p>
      <w:pPr>
        <w:pStyle w:val="Compact"/>
        <w:numPr>
          <w:ilvl w:val="0"/>
          <w:numId w:val="1118"/>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9"/>
        </w:numPr>
      </w:pPr>
      <w:r>
        <w:t xml:space="preserve">Work quickly and cleanly and consider your technique to prevent contamination. Remove Parafilm from the water agar plate.</w:t>
      </w:r>
    </w:p>
    <w:p>
      <w:pPr>
        <w:pStyle w:val="Compact"/>
        <w:numPr>
          <w:ilvl w:val="1"/>
          <w:numId w:val="1119"/>
        </w:numPr>
      </w:pPr>
      <w:r>
        <w:t xml:space="preserve">Tilt or lift the lid of the water agar petri dish as little as possible, try to keep the lid covering or hovering over the plate to prevent airborne contaminants.</w:t>
      </w:r>
    </w:p>
    <w:p>
      <w:pPr>
        <w:pStyle w:val="Compact"/>
        <w:numPr>
          <w:ilvl w:val="1"/>
          <w:numId w:val="1119"/>
        </w:numPr>
      </w:pPr>
      <w:r>
        <w:t xml:space="preserve">Using a sterile scalpel remove the chunk of agar from the target fungal isolate.</w:t>
      </w:r>
    </w:p>
    <w:p>
      <w:pPr>
        <w:pStyle w:val="Compact"/>
        <w:numPr>
          <w:ilvl w:val="1"/>
          <w:numId w:val="1119"/>
        </w:numPr>
      </w:pPr>
      <w:r>
        <w:t xml:space="preserve">Replace the lid of the water agar.</w:t>
      </w:r>
    </w:p>
    <w:p>
      <w:pPr>
        <w:pStyle w:val="Compact"/>
        <w:numPr>
          <w:ilvl w:val="1"/>
          <w:numId w:val="111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9"/>
        </w:numPr>
      </w:pPr>
      <w:r>
        <w:t xml:space="preserve">Close the lid of the PDA Petri dish lid as quickly as possible. Seal with parafilm.</w:t>
      </w:r>
    </w:p>
    <w:bookmarkEnd w:id="131"/>
    <w:bookmarkStart w:id="136" w:name="part-ii-measuring-growth-rates"/>
    <w:p>
      <w:pPr>
        <w:pStyle w:val="Heading4"/>
      </w:pPr>
      <w:r>
        <w:t xml:space="preserve">Part II – Measuring Growth Rates</w:t>
      </w:r>
    </w:p>
    <w:p>
      <w:pPr>
        <w:pStyle w:val="Compact"/>
        <w:numPr>
          <w:ilvl w:val="0"/>
          <w:numId w:val="1120"/>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20"/>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5" w:name="fig-measuregrowth"/>
          <w:p>
            <w:pPr>
              <w:pStyle w:val="Compact"/>
              <w:jc w:val="center"/>
            </w:pPr>
            <w:r>
              <w:drawing>
                <wp:inline>
                  <wp:extent cx="5334000" cy="3733799"/>
                  <wp:effectExtent b="0" l="0" r="0" t="0"/>
                  <wp:docPr descr="" title="" id="133" name="Picture"/>
                  <a:graphic>
                    <a:graphicData uri="http://schemas.openxmlformats.org/drawingml/2006/picture">
                      <pic:pic>
                        <pic:nvPicPr>
                          <pic:cNvPr descr="images/MeasureGrowthPDA.png" id="134" name="Picture"/>
                          <pic:cNvPicPr>
                            <a:picLocks noChangeArrowheads="1" noChangeAspect="1"/>
                          </pic:cNvPicPr>
                        </pic:nvPicPr>
                        <pic:blipFill>
                          <a:blip r:embed="rId13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5"/>
        </w:tc>
      </w:tr>
    </w:tbl>
    <w:p>
      <w:pPr>
        <w:pStyle w:val="Compact"/>
        <w:numPr>
          <w:ilvl w:val="0"/>
          <w:numId w:val="1121"/>
        </w:numPr>
      </w:pPr>
      <w:r>
        <w:t xml:space="preserve">Measure, in mm, new growth at each of the eight edges along the lines (Figures 3 and 4)</w:t>
      </w:r>
    </w:p>
    <w:p>
      <w:pPr>
        <w:pStyle w:val="Compact"/>
        <w:numPr>
          <w:ilvl w:val="0"/>
          <w:numId w:val="112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2"/>
        </w:numPr>
      </w:pPr>
      <w:r>
        <w:t xml:space="preserve">Continue to measure average growth in mm 7 days from plating.</w:t>
      </w:r>
    </w:p>
    <w:p>
      <w:pPr>
        <w:pStyle w:val="Compact"/>
        <w:numPr>
          <w:ilvl w:val="0"/>
          <w:numId w:val="1122"/>
        </w:numPr>
      </w:pPr>
      <w:r>
        <w:t xml:space="preserve">Calculate the average growth rate (distance/time).</w:t>
      </w:r>
    </w:p>
    <w:p>
      <w:pPr>
        <w:pStyle w:val="Compact"/>
        <w:numPr>
          <w:ilvl w:val="0"/>
          <w:numId w:val="1122"/>
        </w:numPr>
      </w:pPr>
      <w:r>
        <w:t xml:space="preserve">Plot a graph of your fungal isolate(s) growth rate.</w:t>
      </w:r>
    </w:p>
    <w:p>
      <w:pPr>
        <w:pStyle w:val="Compact"/>
        <w:numPr>
          <w:ilvl w:val="0"/>
          <w:numId w:val="1122"/>
        </w:numPr>
      </w:pPr>
      <w:r>
        <w:t xml:space="preserve">Submit images and your data sheet and a graph of growth rates in your lab blog post for this project. Please take images to add to your lab notebook.</w:t>
      </w:r>
    </w:p>
    <w:bookmarkEnd w:id="136"/>
    <w:bookmarkEnd w:id="137"/>
    <w:bookmarkEnd w:id="138"/>
    <w:bookmarkEnd w:id="139"/>
    <w:bookmarkStart w:id="171"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6" w:name="module-3.1-phenotypic-assays"/>
    <w:p>
      <w:pPr>
        <w:pStyle w:val="Heading2"/>
      </w:pPr>
      <w:r>
        <w:t xml:space="preserve">Module 3.1 – Phenotypic Assays</w:t>
      </w:r>
    </w:p>
    <w:bookmarkStart w:id="145" w:name="X7ceddf16062824a3bde6cd0475f549d1fd9a5ed"/>
    <w:p>
      <w:pPr>
        <w:pStyle w:val="Heading3"/>
      </w:pPr>
      <w:r>
        <w:t xml:space="preserve">Instructor Laboratory Preparation Instructions</w:t>
      </w:r>
    </w:p>
    <w:bookmarkStart w:id="144" w:name="materials-and-equipment-3"/>
    <w:p>
      <w:pPr>
        <w:pStyle w:val="Heading4"/>
      </w:pPr>
      <w:r>
        <w:t xml:space="preserve">Materials and Equipment</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w:t>
      </w:r>
    </w:p>
    <w:p>
      <w:pPr>
        <w:pStyle w:val="Compact"/>
        <w:numPr>
          <w:ilvl w:val="0"/>
          <w:numId w:val="1126"/>
        </w:numPr>
      </w:pPr>
      <w:r>
        <w:t xml:space="preserve">Streptomycin (50 mg/ml) [optional, but recommended to prevent bacterial contamination]</w:t>
      </w:r>
    </w:p>
    <w:p>
      <w:pPr>
        <w:pStyle w:val="Compact"/>
        <w:numPr>
          <w:ilvl w:val="0"/>
          <w:numId w:val="1127"/>
        </w:numPr>
      </w:pPr>
      <w:r>
        <w:t xml:space="preserve">Zinc sulfate</w:t>
      </w:r>
    </w:p>
    <w:p>
      <w:pPr>
        <w:pStyle w:val="Compact"/>
        <w:numPr>
          <w:ilvl w:val="0"/>
          <w:numId w:val="1128"/>
        </w:numPr>
      </w:pPr>
      <w:r>
        <w:t xml:space="preserve">Cellophane discs (rinsed and autoclaved individually)</w:t>
      </w:r>
    </w:p>
    <w:p>
      <w:pPr>
        <w:pStyle w:val="Compact"/>
        <w:numPr>
          <w:ilvl w:val="0"/>
          <w:numId w:val="1129"/>
        </w:numPr>
      </w:pPr>
      <w:r>
        <w:t xml:space="preserve">Forceps</w:t>
      </w:r>
    </w:p>
    <w:p>
      <w:pPr>
        <w:pStyle w:val="Compact"/>
        <w:numPr>
          <w:ilvl w:val="0"/>
          <w:numId w:val="1130"/>
        </w:numPr>
      </w:pPr>
      <w:r>
        <w:t xml:space="preserve">Scalpel (sterilized or disposable)</w:t>
      </w:r>
    </w:p>
    <w:p>
      <w:pPr>
        <w:pStyle w:val="Compact"/>
        <w:numPr>
          <w:ilvl w:val="0"/>
          <w:numId w:val="1131"/>
        </w:numPr>
      </w:pPr>
      <w:r>
        <w:t xml:space="preserve">Ethanol jar</w:t>
      </w:r>
    </w:p>
    <w:p>
      <w:pPr>
        <w:pStyle w:val="Compact"/>
        <w:numPr>
          <w:ilvl w:val="0"/>
          <w:numId w:val="1132"/>
        </w:numPr>
      </w:pPr>
      <w:r>
        <w:t xml:space="preserve">Parafilm</w:t>
      </w:r>
    </w:p>
    <w:p>
      <w:pPr>
        <w:pStyle w:val="Compact"/>
        <w:numPr>
          <w:ilvl w:val="0"/>
          <w:numId w:val="1133"/>
        </w:numPr>
      </w:pPr>
      <w:r>
        <w:t xml:space="preserve">Marker for labeling plates</w:t>
      </w:r>
    </w:p>
    <w:p>
      <w:pPr>
        <w:pStyle w:val="Compact"/>
        <w:numPr>
          <w:ilvl w:val="0"/>
          <w:numId w:val="1134"/>
        </w:numPr>
      </w:pPr>
      <w:r>
        <w:t xml:space="preserve">70% ethanol for sterilization</w:t>
      </w:r>
    </w:p>
    <w:p>
      <w:pPr>
        <w:pStyle w:val="Compact"/>
        <w:numPr>
          <w:ilvl w:val="0"/>
          <w:numId w:val="1135"/>
        </w:numPr>
      </w:pPr>
      <w:r>
        <w:t xml:space="preserve">Ruler for measuring growth (mm ruler)</w:t>
      </w:r>
    </w:p>
    <w:p>
      <w:pPr>
        <w:pStyle w:val="Compact"/>
        <w:numPr>
          <w:ilvl w:val="0"/>
          <w:numId w:val="1136"/>
        </w:numPr>
      </w:pPr>
      <w:r>
        <w:t xml:space="preserve">Incubators set to 4 °C, room temperature (~20 °C), and 28 °C</w:t>
      </w:r>
    </w:p>
    <w:p>
      <w:pPr>
        <w:pStyle w:val="Compact"/>
        <w:numPr>
          <w:ilvl w:val="0"/>
          <w:numId w:val="1137"/>
        </w:numPr>
      </w:pPr>
      <w:r>
        <w:t xml:space="preserve">Refrigerator for storing plates at ~4 °C</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warning.png" id="14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We are working with</w:t>
            </w:r>
            <w:r>
              <w:t xml:space="preserve"> </w:t>
            </w:r>
            <w:r>
              <w:rPr>
                <w:i/>
                <w:iCs/>
              </w:rPr>
              <w:t xml:space="preserve">unknown</w:t>
            </w:r>
            <w:r>
              <w:t xml:space="preserve"> </w:t>
            </w:r>
            <w:r>
              <w:t xml:space="preserve">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r>
              <w:t xml:space="preserve"> </w:t>
            </w:r>
            <w:r>
              <w:rPr>
                <w:b/>
                <w:bCs/>
              </w:rPr>
              <w:t xml:space="preserve">Work carefully and do not leave plates open for long periods of time, and seal them properly.</w:t>
            </w:r>
          </w:p>
          <w:p/>
        </w:tc>
      </w:tr>
    </w:tbl>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4"/>
    <w:bookmarkEnd w:id="145"/>
    <w:bookmarkEnd w:id="146"/>
    <w:bookmarkStart w:id="170" w:name="module-3.2-phenotypic-assays"/>
    <w:p>
      <w:pPr>
        <w:pStyle w:val="Heading2"/>
      </w:pPr>
      <w:r>
        <w:t xml:space="preserve">Module 3.2 – Phenotypic Assays</w:t>
      </w:r>
    </w:p>
    <w:bookmarkStart w:id="147" w:name="purpose-2"/>
    <w:p>
      <w:pPr>
        <w:pStyle w:val="Heading3"/>
      </w:pPr>
      <w:r>
        <w:t xml:space="preserve">Purpose</w:t>
      </w:r>
    </w:p>
    <w:p>
      <w:pPr>
        <w:pStyle w:val="FirstParagraph"/>
      </w:pPr>
      <w:r>
        <w:t xml:space="preserve">This lab will introduce you to sterile technique, culturing fungi, isolating cultures, and documenting fungal growth. We will be investigating how fungal isolates react to environmental stressors, including zinc (Zn) and temperature. We will also be characterizing the morphology of fungal cultures and creating data spreadsheets to record growth rates. Finally, we will be isolating fungi for molecular extraction and analysis in the next module.</w:t>
      </w:r>
    </w:p>
    <w:bookmarkEnd w:id="147"/>
    <w:bookmarkStart w:id="148" w:name="learning-goals-2"/>
    <w:p>
      <w:pPr>
        <w:pStyle w:val="Heading3"/>
      </w:pPr>
      <w:r>
        <w:t xml:space="preserve">Learning Goals</w:t>
      </w:r>
    </w:p>
    <w:p>
      <w:pPr>
        <w:pStyle w:val="Compact"/>
        <w:numPr>
          <w:ilvl w:val="0"/>
          <w:numId w:val="1140"/>
        </w:numPr>
      </w:pPr>
      <w:r>
        <w:t xml:space="preserve">Determine how fungal isolates react to environmental stressors</w:t>
      </w:r>
    </w:p>
    <w:p>
      <w:pPr>
        <w:pStyle w:val="Compact"/>
        <w:numPr>
          <w:ilvl w:val="0"/>
          <w:numId w:val="1140"/>
        </w:numPr>
      </w:pPr>
      <w:r>
        <w:t xml:space="preserve">Practice sterile technique</w:t>
      </w:r>
    </w:p>
    <w:p>
      <w:pPr>
        <w:pStyle w:val="Compact"/>
        <w:numPr>
          <w:ilvl w:val="0"/>
          <w:numId w:val="1140"/>
        </w:numPr>
      </w:pPr>
      <w:r>
        <w:t xml:space="preserve">Culture and isolate fungi</w:t>
      </w:r>
    </w:p>
    <w:p>
      <w:pPr>
        <w:pStyle w:val="Compact"/>
        <w:numPr>
          <w:ilvl w:val="0"/>
          <w:numId w:val="1140"/>
        </w:numPr>
      </w:pPr>
      <w:r>
        <w:t xml:space="preserve">Investigate fungal endophytes</w:t>
      </w:r>
    </w:p>
    <w:p>
      <w:pPr>
        <w:pStyle w:val="Compact"/>
        <w:numPr>
          <w:ilvl w:val="0"/>
          <w:numId w:val="1140"/>
        </w:numPr>
      </w:pPr>
      <w:r>
        <w:t xml:space="preserve">Characterize morphology of fungal cultures</w:t>
      </w:r>
    </w:p>
    <w:p>
      <w:pPr>
        <w:pStyle w:val="Compact"/>
        <w:numPr>
          <w:ilvl w:val="0"/>
          <w:numId w:val="1140"/>
        </w:numPr>
      </w:pPr>
      <w:r>
        <w:t xml:space="preserve">Collect image data to document fungal growth and morphology</w:t>
      </w:r>
    </w:p>
    <w:p>
      <w:pPr>
        <w:pStyle w:val="Compact"/>
        <w:numPr>
          <w:ilvl w:val="0"/>
          <w:numId w:val="1140"/>
        </w:numPr>
      </w:pPr>
      <w:r>
        <w:t xml:space="preserve">Isolate fungi for molecular extraction and analysis</w:t>
      </w:r>
    </w:p>
    <w:p>
      <w:pPr>
        <w:pStyle w:val="Compact"/>
        <w:numPr>
          <w:ilvl w:val="0"/>
          <w:numId w:val="1140"/>
        </w:numPr>
      </w:pPr>
      <w:r>
        <w:t xml:space="preserve">Record data to create growth curves and determine growth rates</w:t>
      </w:r>
    </w:p>
    <w:bookmarkEnd w:id="148"/>
    <w:bookmarkStart w:id="167" w:name="instructions-2"/>
    <w:p>
      <w:pPr>
        <w:pStyle w:val="Heading3"/>
      </w:pPr>
      <w:r>
        <w:t xml:space="preserve">Instructions</w:t>
      </w:r>
    </w:p>
    <w:bookmarkStart w:id="153" w:name="materials-and-equipment-4"/>
    <w:p>
      <w:pPr>
        <w:pStyle w:val="Heading4"/>
      </w:pPr>
      <w:r>
        <w:t xml:space="preserve">Materials and Equipment</w:t>
      </w:r>
    </w:p>
    <w:p>
      <w:pPr>
        <w:pStyle w:val="Compact"/>
        <w:numPr>
          <w:ilvl w:val="0"/>
          <w:numId w:val="1141"/>
        </w:numPr>
      </w:pPr>
      <w:r>
        <w:t xml:space="preserve">Student fungal isolates</w:t>
      </w:r>
    </w:p>
    <w:p>
      <w:pPr>
        <w:pStyle w:val="Compact"/>
        <w:numPr>
          <w:ilvl w:val="0"/>
          <w:numId w:val="1142"/>
        </w:numPr>
      </w:pPr>
      <w:r>
        <w:t xml:space="preserve">PDA with antibiotics (3 per student)</w:t>
      </w:r>
    </w:p>
    <w:p>
      <w:pPr>
        <w:pStyle w:val="Compact"/>
        <w:numPr>
          <w:ilvl w:val="0"/>
          <w:numId w:val="1143"/>
        </w:numPr>
      </w:pPr>
      <w:r>
        <w:t xml:space="preserve">PDA with antibiotics and Zn (3 per student)</w:t>
      </w:r>
    </w:p>
    <w:p>
      <w:pPr>
        <w:pStyle w:val="Compact"/>
        <w:numPr>
          <w:ilvl w:val="0"/>
          <w:numId w:val="1144"/>
        </w:numPr>
      </w:pPr>
      <w:r>
        <w:t xml:space="preserve">Fine tip Sharpie or marker</w:t>
      </w:r>
    </w:p>
    <w:p>
      <w:pPr>
        <w:pStyle w:val="Compact"/>
        <w:numPr>
          <w:ilvl w:val="0"/>
          <w:numId w:val="1145"/>
        </w:numPr>
      </w:pPr>
      <w:r>
        <w:t xml:space="preserve">Agar cutting tool and whole punch</w:t>
      </w:r>
    </w:p>
    <w:p>
      <w:pPr>
        <w:pStyle w:val="Compact"/>
        <w:numPr>
          <w:ilvl w:val="0"/>
          <w:numId w:val="1146"/>
        </w:numPr>
      </w:pPr>
      <w:r>
        <w:t xml:space="preserve">Ethanol jar for sterilization</w:t>
      </w:r>
    </w:p>
    <w:p>
      <w:pPr>
        <w:pStyle w:val="Compact"/>
        <w:numPr>
          <w:ilvl w:val="0"/>
          <w:numId w:val="1147"/>
        </w:numPr>
      </w:pPr>
      <w:r>
        <w:t xml:space="preserve">Incubators set to 4 °C, room temperature (~20 °C), and 28 °C</w:t>
      </w:r>
    </w:p>
    <w:p>
      <w:pPr>
        <w:pStyle w:val="FirstParagraph"/>
      </w:pPr>
      <w:r>
        <w:rPr>
          <w:b/>
          <w:bCs/>
        </w:rPr>
        <w:t xml:space="preserve">Procedures</w:t>
      </w:r>
    </w:p>
    <w:p>
      <w:pPr>
        <w:pStyle w:val="Compact"/>
        <w:numPr>
          <w:ilvl w:val="0"/>
          <w:numId w:val="1148"/>
        </w:numPr>
      </w:pPr>
      <w:r>
        <w:t xml:space="preserve">Observe your fungal cultures and determine if they are pure cultures. Record your observations and take images of your cultures as noted</w:t>
      </w:r>
      <w:r>
        <w:t xml:space="preserve"> </w:t>
      </w:r>
      <w:hyperlink w:anchor="fig-continuemeasuregrowthpda">
        <w:r>
          <w:rPr>
            <w:rStyle w:val="Hyperlink"/>
          </w:rPr>
          <w:t xml:space="preserve">Figure 7</w:t>
        </w:r>
      </w:hyperlink>
      <w:r>
        <w:t xml:space="preserve">. If you have a pure culture, you can use it to set up the Zn stress assay and temperature assay. If you do not have a pure culture, you will need to isolate your fungus by subculturing it onto new plates. To do this, use a sterile scalpel or agar cutting tool to cut out a small piece of the fungal growth (approximately 0.5 cm²) from the edge of the colony (where growth is most active). Place this piece in the center of a new PDA plate with antibiotics and incubate it at room temperature. You may need to repeat this process several times to obtain a pure culture. Once you have a pure culture, you can use it to set up the Zn stress assay and temperature assay.</w:t>
      </w:r>
    </w:p>
    <w:tbl>
      <w:tblPr>
        <w:tblStyle w:val="Table"/>
        <w:tblW w:type="pct" w:w="5000"/>
        <w:tblLayout w:type="fixed"/>
        <w:tblLook w:firstRow="0" w:lastRow="0" w:firstColumn="0" w:lastColumn="0" w:noHBand="0" w:noVBand="0" w:val="0000"/>
      </w:tblPr>
      <w:tblGrid>
        <w:gridCol w:w="7920"/>
      </w:tblGrid>
      <w:tr>
        <w:tc>
          <w:tcPr/>
          <w:bookmarkStart w:id="152" w:name="fig-continuemeasuregrowthpda"/>
          <w:p>
            <w:pPr>
              <w:pStyle w:val="Compact"/>
              <w:jc w:val="center"/>
            </w:pPr>
            <w:r>
              <w:drawing>
                <wp:inline>
                  <wp:extent cx="5334000" cy="3733799"/>
                  <wp:effectExtent b="0" l="0" r="0" t="0"/>
                  <wp:docPr descr="" title="" id="150" name="Picture"/>
                  <a:graphic>
                    <a:graphicData uri="http://schemas.openxmlformats.org/drawingml/2006/picture">
                      <pic:pic>
                        <pic:nvPicPr>
                          <pic:cNvPr descr="images/ContinueMeasuringGrowthPDA.png" id="151" name="Picture"/>
                          <pic:cNvPicPr>
                            <a:picLocks noChangeArrowheads="1" noChangeAspect="1"/>
                          </pic:cNvPicPr>
                        </pic:nvPicPr>
                        <pic:blipFill>
                          <a:blip r:embed="rId14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Measure Growth on Your PDA Plates. Measure new growth at each segment starting at the end of the water agar plug and ending at the edge of the growth. Image the plate from top and bottom. Record measurements and images in your lab notebook. Figure created with BioRender.com.</w:t>
            </w:r>
          </w:p>
          <w:bookmarkEnd w:id="152"/>
        </w:tc>
      </w:tr>
    </w:tbl>
    <w:p>
      <w:pPr>
        <w:pStyle w:val="Compact"/>
        <w:numPr>
          <w:ilvl w:val="0"/>
          <w:numId w:val="1149"/>
        </w:numPr>
      </w:pPr>
      <w:r>
        <w:t xml:space="preserve">We will use these cultures to set up stress tests (Zn assay and temperature assay) and for molecular identification.</w:t>
      </w:r>
    </w:p>
    <w:bookmarkEnd w:id="153"/>
    <w:bookmarkStart w:id="154" w:name="part-i-zn-stress-assay"/>
    <w:p>
      <w:pPr>
        <w:pStyle w:val="Heading4"/>
      </w:pPr>
      <w:r>
        <w:t xml:space="preserve">Part I: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w:t>
      </w:r>
      <w:r>
        <w:t xml:space="preserve"> </w:t>
      </w:r>
      <w:r>
        <w:rPr>
          <w:b/>
          <w:bCs/>
        </w:rPr>
        <w:t xml:space="preserve">Zn tolerance</w:t>
      </w:r>
      <w:r>
        <w:t xml:space="preserve"> </w:t>
      </w:r>
      <w:r>
        <w:t xml:space="preserve">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bookmarkEnd w:id="154"/>
    <w:bookmarkStart w:id="155" w:name="objectives"/>
    <w:p>
      <w:pPr>
        <w:pStyle w:val="Heading4"/>
      </w:pPr>
      <w:r>
        <w:t xml:space="preserve">Objectives</w:t>
      </w:r>
    </w:p>
    <w:p>
      <w:pPr>
        <w:pStyle w:val="Compact"/>
        <w:numPr>
          <w:ilvl w:val="0"/>
          <w:numId w:val="1150"/>
        </w:numPr>
      </w:pPr>
      <w:r>
        <w:t xml:space="preserve">Determine if the fungal isolates are tolerant of Zn.</w:t>
      </w:r>
    </w:p>
    <w:p>
      <w:pPr>
        <w:pStyle w:val="Compact"/>
        <w:numPr>
          <w:ilvl w:val="0"/>
          <w:numId w:val="1150"/>
        </w:numPr>
      </w:pPr>
      <w:r>
        <w:t xml:space="preserve">Measure how different concentrations of Zn influence fungal growth rates.</w:t>
      </w:r>
    </w:p>
    <w:bookmarkEnd w:id="155"/>
    <w:bookmarkStart w:id="160" w:name="materials-and-equipment-5"/>
    <w:p>
      <w:pPr>
        <w:pStyle w:val="Heading4"/>
      </w:pPr>
      <w:r>
        <w:t xml:space="preserve">Materials and Equipment</w:t>
      </w:r>
    </w:p>
    <w:p>
      <w:pPr>
        <w:pStyle w:val="Compact"/>
        <w:numPr>
          <w:ilvl w:val="0"/>
          <w:numId w:val="1151"/>
        </w:numPr>
      </w:pPr>
      <w:r>
        <w:t xml:space="preserve">Pure fungal cultures</w:t>
      </w:r>
    </w:p>
    <w:p>
      <w:pPr>
        <w:pStyle w:val="Compact"/>
        <w:numPr>
          <w:ilvl w:val="0"/>
          <w:numId w:val="1152"/>
        </w:numPr>
      </w:pPr>
      <w:r>
        <w:t xml:space="preserve">PDA 0 mM Zn + antibiotics</w:t>
      </w:r>
    </w:p>
    <w:p>
      <w:pPr>
        <w:pStyle w:val="Compact"/>
        <w:numPr>
          <w:ilvl w:val="0"/>
          <w:numId w:val="1153"/>
        </w:numPr>
      </w:pPr>
      <w:r>
        <w:t xml:space="preserve">PDA 1 mM Zn + antibiotics</w:t>
      </w:r>
    </w:p>
    <w:p>
      <w:pPr>
        <w:pStyle w:val="Compact"/>
        <w:numPr>
          <w:ilvl w:val="0"/>
          <w:numId w:val="1154"/>
        </w:numPr>
      </w:pPr>
      <w:r>
        <w:t xml:space="preserve">PDA 10 mM Zn + antibiotics</w:t>
      </w:r>
    </w:p>
    <w:p>
      <w:pPr>
        <w:pStyle w:val="Compact"/>
        <w:numPr>
          <w:ilvl w:val="0"/>
          <w:numId w:val="1155"/>
        </w:numPr>
      </w:pPr>
      <w:r>
        <w:t xml:space="preserve">Fine tip Sharpie or marker</w:t>
      </w:r>
    </w:p>
    <w:p>
      <w:pPr>
        <w:pStyle w:val="Compact"/>
        <w:numPr>
          <w:ilvl w:val="0"/>
          <w:numId w:val="1156"/>
        </w:numPr>
      </w:pPr>
      <w:r>
        <w:t xml:space="preserve">Agar cutting tool or whole punch</w:t>
      </w:r>
    </w:p>
    <w:p>
      <w:pPr>
        <w:pStyle w:val="Compact"/>
        <w:numPr>
          <w:ilvl w:val="0"/>
          <w:numId w:val="1157"/>
        </w:numPr>
      </w:pPr>
      <w:r>
        <w:t xml:space="preserve">Ethanol jar for sterilization</w:t>
      </w:r>
    </w:p>
    <w:p>
      <w:pPr>
        <w:pStyle w:val="Compact"/>
        <w:numPr>
          <w:ilvl w:val="0"/>
          <w:numId w:val="1158"/>
        </w:numPr>
      </w:pPr>
      <w:r>
        <w:t xml:space="preserve">Parafilm</w:t>
      </w:r>
    </w:p>
    <w:p>
      <w:pPr>
        <w:pStyle w:val="Compact"/>
        <w:numPr>
          <w:ilvl w:val="0"/>
          <w:numId w:val="1159"/>
        </w:numPr>
      </w:pPr>
      <w:r>
        <w:t xml:space="preserve">Incubators set to room temperature (28 °C)</w:t>
      </w:r>
    </w:p>
    <w:p>
      <w:pPr>
        <w:pStyle w:val="FirstParagraph"/>
      </w:pPr>
      <w:r>
        <w:rPr>
          <w:b/>
          <w:bCs/>
        </w:rPr>
        <w:t xml:space="preserve">Procedure:</w:t>
      </w:r>
    </w:p>
    <w:p>
      <w:pPr>
        <w:pStyle w:val="Compact"/>
        <w:numPr>
          <w:ilvl w:val="0"/>
          <w:numId w:val="1160"/>
        </w:numPr>
      </w:pPr>
      <w:r>
        <w:t xml:space="preserve">Label your plates with identifying information</w:t>
      </w:r>
    </w:p>
    <w:p>
      <w:pPr>
        <w:pStyle w:val="Compact"/>
        <w:numPr>
          <w:ilvl w:val="0"/>
          <w:numId w:val="1160"/>
        </w:numPr>
      </w:pPr>
      <w:r>
        <w:t xml:space="preserve">On the bottom of each plate, draw four lines that intersect in the center of the plate</w:t>
      </w:r>
    </w:p>
    <w:p>
      <w:pPr>
        <w:pStyle w:val="Compact"/>
        <w:numPr>
          <w:ilvl w:val="0"/>
          <w:numId w:val="1160"/>
        </w:numPr>
      </w:pPr>
      <w:r>
        <w:t xml:space="preserve">Punch (agar punch or p1000 tip)and extract three equally sized pieces of growth from the edge of your pure culture and place one in the center of each of the Zn plates. Refer to</w:t>
      </w:r>
      <w:r>
        <w:t xml:space="preserve"> </w:t>
      </w:r>
      <w:hyperlink w:anchor="fig-ZincToleranceAssay">
        <w:r>
          <w:rPr>
            <w:rStyle w:val="Hyperlink"/>
          </w:rPr>
          <w:t xml:space="preserve">Figure 8</w:t>
        </w:r>
      </w:hyperlink>
      <w:r>
        <w:t xml:space="preserve"> </w:t>
      </w:r>
      <w:r>
        <w:t xml:space="preserve">for an example of how to set up your plates.</w:t>
      </w:r>
    </w:p>
    <w:tbl>
      <w:tblPr>
        <w:tblStyle w:val="Table"/>
        <w:tblW w:type="pct" w:w="5000"/>
        <w:tblLayout w:type="fixed"/>
        <w:tblLook w:firstRow="0" w:lastRow="0" w:firstColumn="0" w:lastColumn="0" w:noHBand="0" w:noVBand="0" w:val="0000"/>
      </w:tblPr>
      <w:tblGrid>
        <w:gridCol w:w="7920"/>
      </w:tblGrid>
      <w:tr>
        <w:tc>
          <w:tcPr/>
          <w:bookmarkStart w:id="159" w:name="fig-ZincToleranceAssay"/>
          <w:p>
            <w:pPr>
              <w:pStyle w:val="Compact"/>
              <w:jc w:val="center"/>
            </w:pPr>
            <w:r>
              <w:drawing>
                <wp:inline>
                  <wp:extent cx="5334000" cy="3733799"/>
                  <wp:effectExtent b="0" l="0" r="0" t="0"/>
                  <wp:docPr descr="" title="" id="157" name="Picture"/>
                  <a:graphic>
                    <a:graphicData uri="http://schemas.openxmlformats.org/drawingml/2006/picture">
                      <pic:pic>
                        <pic:nvPicPr>
                          <pic:cNvPr descr="images/ZincToleranceAssay.png" id="158" name="Picture"/>
                          <pic:cNvPicPr>
                            <a:picLocks noChangeArrowheads="1" noChangeAspect="1"/>
                          </pic:cNvPicPr>
                        </pic:nvPicPr>
                        <pic:blipFill>
                          <a:blip r:embed="rId15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Transfer Fungal Growth for Zn Stress Assay. Label three PDA plates with identifying information and the concentration of Zn. Use a sterile tip or agar punch to extract three equally sized pieces of growth from your pure culture (PDA plate for growth assay). Transfer the pieces to the Zn plates and position in the center of the plate Repeat the procedure for a second pure culture. Figure created with BioRender.com.</w:t>
            </w:r>
          </w:p>
          <w:bookmarkEnd w:id="159"/>
        </w:tc>
      </w:tr>
    </w:tbl>
    <w:p>
      <w:pPr>
        <w:pStyle w:val="Compact"/>
        <w:numPr>
          <w:ilvl w:val="0"/>
          <w:numId w:val="1161"/>
        </w:numPr>
      </w:pPr>
      <w:r>
        <w:t xml:space="preserve">Close and Parafilm your plates</w:t>
      </w:r>
    </w:p>
    <w:p>
      <w:pPr>
        <w:pStyle w:val="Compact"/>
        <w:numPr>
          <w:ilvl w:val="0"/>
          <w:numId w:val="1161"/>
        </w:numPr>
      </w:pPr>
      <w:r>
        <w:t xml:space="preserve">Carefully, flip the plates over and trace the cube using a fine tip Sharpie</w:t>
      </w:r>
    </w:p>
    <w:p>
      <w:pPr>
        <w:pStyle w:val="Compact"/>
        <w:numPr>
          <w:ilvl w:val="0"/>
          <w:numId w:val="1161"/>
        </w:numPr>
      </w:pPr>
      <w:r>
        <w:t xml:space="preserve">Place the plate (unflipped) at room temperature in the dark and observe growth over the next days.</w:t>
      </w:r>
    </w:p>
    <w:p>
      <w:pPr>
        <w:pStyle w:val="Compact"/>
        <w:numPr>
          <w:ilvl w:val="0"/>
          <w:numId w:val="1161"/>
        </w:numPr>
      </w:pPr>
      <w:r>
        <w:t xml:space="preserve">Repeat the procedure for a second pure culture if you have one available. This will allow you to compare the growth responses of different isolates to Zn stress.</w:t>
      </w:r>
    </w:p>
    <w:bookmarkEnd w:id="160"/>
    <w:bookmarkStart w:id="161" w:name="part-ii-fungal-microscopy"/>
    <w:p>
      <w:pPr>
        <w:pStyle w:val="Heading4"/>
      </w:pPr>
      <w:r>
        <w:t xml:space="preserve">Part II: Fungal Microscopy</w:t>
      </w:r>
    </w:p>
    <w:p>
      <w:pPr>
        <w:pStyle w:val="FirstParagraph"/>
      </w:pPr>
      <w:r>
        <w:t xml:space="preserve">In this lab session, we will perform microscopic examinations of the fungal cultures to analyze their</w:t>
      </w:r>
      <w:r>
        <w:t xml:space="preserve"> </w:t>
      </w:r>
      <w:r>
        <w:rPr>
          <w:b/>
          <w:bCs/>
        </w:rPr>
        <w:t xml:space="preserve">morphology and cellular characteristics</w:t>
      </w:r>
      <w:r>
        <w:t xml:space="preserve">.</w:t>
      </w:r>
    </w:p>
    <w:p>
      <w:pPr>
        <w:pStyle w:val="BodyText"/>
      </w:pPr>
      <w:r>
        <w:t xml:space="preserve">We will prepare slides of our fungal isolates and use a compound microscope to observe their structures. This will allow us to identify key features such as hyphal structure, spore formation, and other morphological traits that can help in the identification and characterization of the fungi. By comparing these microscopic observations with known fungal characteristics, we can gain insights into the diversity and taxonomy of our isolates.</w:t>
      </w:r>
    </w:p>
    <w:bookmarkEnd w:id="161"/>
    <w:bookmarkStart w:id="162" w:name="objectives-1"/>
    <w:p>
      <w:pPr>
        <w:pStyle w:val="Heading4"/>
      </w:pPr>
      <w:r>
        <w:t xml:space="preserve">Objectives</w:t>
      </w:r>
    </w:p>
    <w:p>
      <w:pPr>
        <w:pStyle w:val="Compact"/>
        <w:numPr>
          <w:ilvl w:val="0"/>
          <w:numId w:val="1162"/>
        </w:numPr>
      </w:pPr>
      <w:r>
        <w:t xml:space="preserve">Prepare slides of fungal cultures for microscopic examination.</w:t>
      </w:r>
    </w:p>
    <w:p>
      <w:pPr>
        <w:pStyle w:val="Compact"/>
        <w:numPr>
          <w:ilvl w:val="0"/>
          <w:numId w:val="1162"/>
        </w:numPr>
      </w:pPr>
      <w:r>
        <w:t xml:space="preserve">Document and analyze the morphological characteristics of the fungal isolates under the microscope.</w:t>
      </w:r>
    </w:p>
    <w:bookmarkEnd w:id="162"/>
    <w:bookmarkStart w:id="166" w:name="materials-and-equipment-6"/>
    <w:p>
      <w:pPr>
        <w:pStyle w:val="Heading4"/>
      </w:pPr>
      <w:r>
        <w:t xml:space="preserve">Materials and Equipment</w:t>
      </w:r>
    </w:p>
    <w:p>
      <w:pPr>
        <w:pStyle w:val="Compact"/>
        <w:numPr>
          <w:ilvl w:val="0"/>
          <w:numId w:val="1163"/>
        </w:numPr>
      </w:pPr>
      <w:r>
        <w:t xml:space="preserve">Pure fungal cultures</w:t>
      </w:r>
    </w:p>
    <w:p>
      <w:pPr>
        <w:pStyle w:val="Compact"/>
        <w:numPr>
          <w:ilvl w:val="0"/>
          <w:numId w:val="1164"/>
        </w:numPr>
      </w:pPr>
      <w:r>
        <w:t xml:space="preserve">Microscope slides and cover slips</w:t>
      </w:r>
    </w:p>
    <w:p>
      <w:pPr>
        <w:pStyle w:val="Compact"/>
        <w:numPr>
          <w:ilvl w:val="0"/>
          <w:numId w:val="1165"/>
        </w:numPr>
      </w:pPr>
      <w:r>
        <w:t xml:space="preserve">Staining reagents (e.g., lactophenol cotton blue)</w:t>
      </w:r>
    </w:p>
    <w:p>
      <w:pPr>
        <w:pStyle w:val="Compact"/>
        <w:numPr>
          <w:ilvl w:val="0"/>
          <w:numId w:val="1166"/>
        </w:numPr>
      </w:pPr>
      <w:r>
        <w:t xml:space="preserve">Hardy Diagnostics BlueMount, Permanent Fungal Stain, Lactophenol Cotton Blue with PVA (Cat.#Z137)</w:t>
      </w:r>
    </w:p>
    <w:p>
      <w:pPr>
        <w:pStyle w:val="Compact"/>
        <w:numPr>
          <w:ilvl w:val="0"/>
          <w:numId w:val="1167"/>
        </w:numPr>
      </w:pPr>
      <w:r>
        <w:t xml:space="preserve">Compound microscope with appropriate magnification</w:t>
      </w:r>
    </w:p>
    <w:p>
      <w:pPr>
        <w:pStyle w:val="Compact"/>
        <w:numPr>
          <w:ilvl w:val="0"/>
          <w:numId w:val="1168"/>
        </w:numPr>
      </w:pPr>
      <w:r>
        <w:t xml:space="preserve">Fine tip Sharpie or marker</w:t>
      </w:r>
    </w:p>
    <w:p>
      <w:pPr>
        <w:pStyle w:val="Compact"/>
        <w:numPr>
          <w:ilvl w:val="0"/>
          <w:numId w:val="1169"/>
        </w:numPr>
      </w:pPr>
      <w:r>
        <w:t xml:space="preserve">Agar cutting tool and whole punch</w:t>
      </w:r>
    </w:p>
    <w:p>
      <w:pPr>
        <w:pStyle w:val="Compact"/>
        <w:numPr>
          <w:ilvl w:val="0"/>
          <w:numId w:val="1170"/>
        </w:numPr>
      </w:pPr>
      <w:r>
        <w:t xml:space="preserve">Ethanol jar</w:t>
      </w:r>
    </w:p>
    <w:p>
      <w:pPr>
        <w:pStyle w:val="Compact"/>
        <w:numPr>
          <w:ilvl w:val="0"/>
          <w:numId w:val="1171"/>
        </w:numPr>
      </w:pPr>
      <w:r>
        <w:t xml:space="preserve">Parafilm</w:t>
      </w:r>
    </w:p>
    <w:p>
      <w:pPr>
        <w:pStyle w:val="Compact"/>
        <w:numPr>
          <w:ilvl w:val="0"/>
          <w:numId w:val="1172"/>
        </w:numPr>
      </w:pPr>
      <w:r>
        <w:t xml:space="preserve">Sterile tip or forceps for handling fungal samples</w:t>
      </w:r>
    </w:p>
    <w:p>
      <w:pPr>
        <w:pStyle w:val="FirstParagraph"/>
      </w:pPr>
      <w:r>
        <w:rPr>
          <w:b/>
          <w:bCs/>
        </w:rPr>
        <w:t xml:space="preserve">Procedure:</w:t>
      </w:r>
      <w:r>
        <w:t xml:space="preserve"> </w:t>
      </w:r>
      <w:r>
        <w:t xml:space="preserve">Adapted from Hardy Diagnostics Fungal Stain Protocol: BlueMount™, Permanent Fungal Stain, Lactophenol Cotton Blue with PVA, Hardy Diagnostics</w:t>
      </w:r>
      <w:r>
        <w:t xml:space="preserve"> </w:t>
      </w:r>
      <w:hyperlink r:id="rId163">
        <w:r>
          <w:rPr>
            <w:rStyle w:val="Hyperlink"/>
          </w:rPr>
          <w:t xml:space="preserve">BlueMount Permanent Fungal Stain</w:t>
        </w:r>
      </w:hyperlink>
      <w:r>
        <w:t xml:space="preserve">.</w:t>
      </w:r>
      <w:r>
        <w:t xml:space="preserve"> </w:t>
      </w:r>
      <w:r>
        <w:t xml:space="preserve">1. Place one drop of BlueMount™ in the center of a clean slide.</w:t>
      </w:r>
      <w:r>
        <w:t xml:space="preserve"> </w:t>
      </w:r>
      <w:r>
        <w:t xml:space="preserve">2. Remove a fragment of the fungus colony 2-3 mm from the colony edge using an innoculating loop or p1000 tip.</w:t>
      </w:r>
      <w:r>
        <w:t xml:space="preserve"> </w:t>
      </w:r>
      <w:r>
        <w:t xml:space="preserve">3. Place the fragment in the drop of stain and tease gently</w:t>
      </w:r>
      <w:r>
        <w:t xml:space="preserve"> </w:t>
      </w:r>
      <w:r>
        <w:t xml:space="preserve">4. Place the fragment in the drop of stain and tease gently.</w:t>
      </w:r>
      <w:r>
        <w:t xml:space="preserve"> </w:t>
      </w:r>
      <w:r>
        <w:t xml:space="preserve">5. Apply a coverslip.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warning.png" id="1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 not push down or tap the cover slip as this may dislodge the conidia from the conidiophores.</w:t>
            </w:r>
          </w:p>
          <w:p/>
        </w:tc>
      </w:tr>
    </w:tbl>
    <w:p>
      <w:pPr>
        <w:pStyle w:val="Compact"/>
        <w:numPr>
          <w:ilvl w:val="0"/>
          <w:numId w:val="1173"/>
        </w:numPr>
      </w:pPr>
      <w:r>
        <w:t xml:space="preserve">Examine the preparation under low and high, dry magnification for the presence of characteristic mycelia and fruiting structures. Consult appropriate references for diagnostic features of fungi isolated in clinical and non-clinical specimens.</w:t>
      </w:r>
    </w:p>
    <w:p>
      <w:pPr>
        <w:pStyle w:val="Compact"/>
        <w:numPr>
          <w:ilvl w:val="0"/>
          <w:numId w:val="1173"/>
        </w:numPr>
      </w:pPr>
      <w:r>
        <w:t xml:space="preserve">Document your observations by drawing the structures you see and taking notes on their characteristics (e.g., shape, size, color, arrangement).</w:t>
      </w:r>
    </w:p>
    <w:p>
      <w:pPr>
        <w:pStyle w:val="Compact"/>
        <w:numPr>
          <w:ilvl w:val="0"/>
          <w:numId w:val="1173"/>
        </w:numPr>
      </w:pPr>
      <w:r>
        <w:t xml:space="preserve">Compare your observations with known fungal characteristics to help identify and classify your isolates.</w:t>
      </w:r>
    </w:p>
    <w:bookmarkEnd w:id="166"/>
    <w:bookmarkEnd w:id="167"/>
    <w:bookmarkStart w:id="168" w:name="part-iiitemperature-assays"/>
    <w:p>
      <w:pPr>
        <w:pStyle w:val="Heading3"/>
      </w:pPr>
      <w:r>
        <w:t xml:space="preserve">Part III:Temperature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 ] Pure cultures (2 per student)</w:t>
      </w:r>
      <w:r>
        <w:t xml:space="preserve"> </w:t>
      </w:r>
      <w:r>
        <w:t xml:space="preserve">- [ ] PDA with antibiotics (6 per student)</w:t>
      </w:r>
      <w:r>
        <w:t xml:space="preserve"> </w:t>
      </w:r>
      <w:r>
        <w:t xml:space="preserve">- [ ] Fine tip Sharpie or marker</w:t>
      </w:r>
      <w:r>
        <w:t xml:space="preserve"> </w:t>
      </w:r>
      <w:r>
        <w:t xml:space="preserve">- [ ] Culture cutting tool</w:t>
      </w:r>
      <w:r>
        <w:t xml:space="preserve"> </w:t>
      </w:r>
      <w:r>
        <w:t xml:space="preserve">- [ ] Ethanol jar</w:t>
      </w:r>
    </w:p>
    <w:p>
      <w:pPr>
        <w:pStyle w:val="BodyText"/>
      </w:pPr>
      <w:r>
        <w:rPr>
          <w:b/>
          <w:bCs/>
        </w:rPr>
        <w:t xml:space="preserve">Procedure:</w:t>
      </w:r>
      <w:r>
        <w:t xml:space="preserve"> </w:t>
      </w:r>
      <w:r>
        <w:t xml:space="preserve">1. Label your plates with identifying information and growth temperatures (two per temperature)</w:t>
      </w:r>
      <w:r>
        <w:t xml:space="preserve"> </w:t>
      </w:r>
      <w:r>
        <w:t xml:space="preserve">2. On the bottom of each plate, draw four lines that intersect in the center of the plate.</w:t>
      </w:r>
      <w:r>
        <w:t xml:space="preserve"> </w:t>
      </w:r>
      <w:r>
        <w:t xml:space="preserve">3. Cut out three 0.5 cm chunks from the edge of your pure culture and place one in the center of each of the temperature plates</w:t>
      </w:r>
      <w:r>
        <w:t xml:space="preserve"> </w:t>
      </w:r>
      <w:r>
        <w:t xml:space="preserve">4. Close and parafilm your plates</w:t>
      </w:r>
      <w:r>
        <w:t xml:space="preserve"> </w:t>
      </w:r>
      <w:r>
        <w:t xml:space="preserve">5. Carefully, flip the plates over and trace the cube using a fine-tip marker</w:t>
      </w:r>
      <w:r>
        <w:t xml:space="preserve"> </w:t>
      </w:r>
      <w:r>
        <w:t xml:space="preserve">6. Bring your plates to the front of the class and place them (unflipped) in the correct box for incubation</w:t>
      </w:r>
    </w:p>
    <w:bookmarkEnd w:id="168"/>
    <w:bookmarkStart w:id="169"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 ] Fine tip Sharpie</w:t>
      </w:r>
      <w:r>
        <w:t xml:space="preserve"> </w:t>
      </w:r>
      <w:r>
        <w:t xml:space="preserve">- [ ] Three Zn culture plates</w:t>
      </w:r>
      <w:r>
        <w:t xml:space="preserve"> </w:t>
      </w:r>
      <w:r>
        <w:t xml:space="preserve">- [ ] Three temperature culture plates</w:t>
      </w:r>
      <w:r>
        <w:t xml:space="preserve"> </w:t>
      </w:r>
      <w:r>
        <w:t xml:space="preserve">- [ ] Ruler to measure growth in mm (mm ruler)</w:t>
      </w:r>
    </w:p>
    <w:p>
      <w:pPr>
        <w:pStyle w:val="BodyText"/>
      </w:pPr>
      <w:r>
        <w:rPr>
          <w:b/>
          <w:bCs/>
        </w:rPr>
        <w:t xml:space="preserve">Procedure:</w:t>
      </w:r>
      <w:r>
        <w:t xml:space="preserve"> </w:t>
      </w:r>
      <w:r>
        <w:t xml:space="preserve">1. On the bottom of the plate, trace the edge of your fungal culture</w:t>
      </w:r>
      <w:r>
        <w:t xml:space="preserve"> </w:t>
      </w:r>
      <w:r>
        <w:t xml:space="preserve">2. Measure, in mm, new growth at each of the four edges along the lines</w:t>
      </w:r>
      <w:r>
        <w:t xml:space="preserve"> </w:t>
      </w:r>
      <w:r>
        <w:t xml:space="preserve">3. Average the eight measurements to get the average growth and determine the average growth rate (distance/time)</w:t>
      </w:r>
    </w:p>
    <w:bookmarkEnd w:id="169"/>
    <w:bookmarkEnd w:id="170"/>
    <w:bookmarkEnd w:id="171"/>
    <w:bookmarkStart w:id="199"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tip.png" id="1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76" w:name="X1f9141d941555e98bd81ab73b3543cfd3247ac1"/>
    <w:p>
      <w:pPr>
        <w:pStyle w:val="Heading2"/>
      </w:pPr>
      <w:r>
        <w:t xml:space="preserve">Module 4.1 – DNA Sequencing and Species Identification Instructor Resources</w:t>
      </w:r>
    </w:p>
    <w:bookmarkStart w:id="175" w:name="Xf2d43db359788ca93a2d8fe43440f1f2685953f"/>
    <w:p>
      <w:pPr>
        <w:pStyle w:val="Heading3"/>
      </w:pPr>
      <w:r>
        <w:t xml:space="preserve">Instructor Laboratory Preparation Instructions</w:t>
      </w:r>
    </w:p>
    <w:bookmarkStart w:id="174" w:name="materials-1"/>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74"/>
        </w:numPr>
      </w:pPr>
      <w:r>
        <w:t xml:space="preserve">☐ Gloves</w:t>
      </w:r>
    </w:p>
    <w:p>
      <w:pPr>
        <w:pStyle w:val="Compact"/>
        <w:numPr>
          <w:ilvl w:val="0"/>
          <w:numId w:val="1174"/>
        </w:numPr>
      </w:pPr>
      <w:r>
        <w:t xml:space="preserve">☐ Sharpie</w:t>
      </w:r>
    </w:p>
    <w:p>
      <w:pPr>
        <w:pStyle w:val="Compact"/>
        <w:numPr>
          <w:ilvl w:val="0"/>
          <w:numId w:val="1174"/>
        </w:numPr>
      </w:pPr>
      <w:r>
        <w:t xml:space="preserve">☐ Thermal cycler</w:t>
      </w:r>
    </w:p>
    <w:p>
      <w:pPr>
        <w:pStyle w:val="Compact"/>
        <w:numPr>
          <w:ilvl w:val="0"/>
          <w:numId w:val="1174"/>
        </w:numPr>
      </w:pPr>
      <w:r>
        <w:t xml:space="preserve">☐ Vortex</w:t>
      </w:r>
    </w:p>
    <w:p>
      <w:pPr>
        <w:pStyle w:val="Compact"/>
        <w:numPr>
          <w:ilvl w:val="0"/>
          <w:numId w:val="1174"/>
        </w:numPr>
      </w:pPr>
      <w:r>
        <w:t xml:space="preserve">☐ Centrifuge for PCR and microfuge tubes</w:t>
      </w:r>
    </w:p>
    <w:p>
      <w:pPr>
        <w:pStyle w:val="Compact"/>
        <w:numPr>
          <w:ilvl w:val="0"/>
          <w:numId w:val="1174"/>
        </w:numPr>
      </w:pPr>
      <w:r>
        <w:t xml:space="preserve">☐ Heat block/thermomixer for 1.5-2.0 ml microfuge tubes</w:t>
      </w:r>
    </w:p>
    <w:p>
      <w:pPr>
        <w:pStyle w:val="Compact"/>
        <w:numPr>
          <w:ilvl w:val="0"/>
          <w:numId w:val="1174"/>
        </w:numPr>
      </w:pPr>
      <w:r>
        <w:t xml:space="preserve">☐ 1.5mL microcentrifuge tubes (Eppendorf DNA LoBind)</w:t>
      </w:r>
    </w:p>
    <w:p>
      <w:pPr>
        <w:pStyle w:val="Compact"/>
        <w:numPr>
          <w:ilvl w:val="0"/>
          <w:numId w:val="1174"/>
        </w:numPr>
      </w:pPr>
      <w:r>
        <w:t xml:space="preserve">☐ 0.2 mL PCR tubes</w:t>
      </w:r>
    </w:p>
    <w:p>
      <w:pPr>
        <w:pStyle w:val="Compact"/>
        <w:numPr>
          <w:ilvl w:val="0"/>
          <w:numId w:val="1174"/>
        </w:numPr>
      </w:pPr>
      <w:r>
        <w:t xml:space="preserve">☐ Microfuge and PCR tube racks</w:t>
      </w:r>
    </w:p>
    <w:p>
      <w:pPr>
        <w:pStyle w:val="Compact"/>
        <w:numPr>
          <w:ilvl w:val="0"/>
          <w:numId w:val="1174"/>
        </w:numPr>
      </w:pPr>
      <w:r>
        <w:t xml:space="preserve">☐ Labeling tape</w:t>
      </w:r>
    </w:p>
    <w:p>
      <w:pPr>
        <w:pStyle w:val="Compact"/>
        <w:numPr>
          <w:ilvl w:val="0"/>
          <w:numId w:val="1174"/>
        </w:numPr>
      </w:pPr>
      <w:r>
        <w:t xml:space="preserve">☐ Monarch® Spin gDNA Extraction Kit (New England BioLabs,T3010S)</w:t>
      </w:r>
    </w:p>
    <w:p>
      <w:pPr>
        <w:pStyle w:val="Compact"/>
        <w:numPr>
          <w:ilvl w:val="0"/>
          <w:numId w:val="1174"/>
        </w:numPr>
      </w:pPr>
      <w:r>
        <w:t xml:space="preserve">☐ MetaPolyzyme, DNA free (Millipore Sigma, MAC4LDF-5X1VL)</w:t>
      </w:r>
    </w:p>
    <w:p>
      <w:pPr>
        <w:pStyle w:val="Compact"/>
        <w:numPr>
          <w:ilvl w:val="0"/>
          <w:numId w:val="1174"/>
        </w:numPr>
      </w:pPr>
      <w:r>
        <w:t xml:space="preserve">☐ TE Buffer</w:t>
      </w:r>
    </w:p>
    <w:p>
      <w:pPr>
        <w:pStyle w:val="Compact"/>
        <w:numPr>
          <w:ilvl w:val="0"/>
          <w:numId w:val="1174"/>
        </w:numPr>
      </w:pPr>
      <w:r>
        <w:t xml:space="preserve">☐ CTAB solution (100 ml, Promega, MC1411)</w:t>
      </w:r>
    </w:p>
    <w:p>
      <w:pPr>
        <w:pStyle w:val="Compact"/>
        <w:numPr>
          <w:ilvl w:val="0"/>
          <w:numId w:val="1174"/>
        </w:numPr>
      </w:pPr>
      <w:r>
        <w:t xml:space="preserve">☐ Parafilm</w:t>
      </w:r>
    </w:p>
    <w:p>
      <w:pPr>
        <w:pStyle w:val="Compact"/>
        <w:numPr>
          <w:ilvl w:val="0"/>
          <w:numId w:val="1174"/>
        </w:numPr>
      </w:pPr>
      <w:r>
        <w:t xml:space="preserve">☐ 70% ETOH</w:t>
      </w:r>
    </w:p>
    <w:p>
      <w:pPr>
        <w:pStyle w:val="Compact"/>
        <w:numPr>
          <w:ilvl w:val="0"/>
          <w:numId w:val="1174"/>
        </w:numPr>
      </w:pPr>
      <w:r>
        <w:t xml:space="preserve">☐ 1-10, 20-200, and 100-1000 µL micropipettors</w:t>
      </w:r>
    </w:p>
    <w:p>
      <w:pPr>
        <w:pStyle w:val="Compact"/>
        <w:numPr>
          <w:ilvl w:val="0"/>
          <w:numId w:val="1174"/>
        </w:numPr>
      </w:pPr>
      <w:r>
        <w:t xml:space="preserve">☐ 1-10, 20-200, and 100-1000 µL micropipette tips (preferably filtered)</w:t>
      </w:r>
    </w:p>
    <w:p>
      <w:pPr>
        <w:pStyle w:val="Compact"/>
        <w:numPr>
          <w:ilvl w:val="0"/>
          <w:numId w:val="1174"/>
        </w:numPr>
      </w:pPr>
      <w:r>
        <w:t xml:space="preserve">☐ Kimwipes</w:t>
      </w:r>
    </w:p>
    <w:p>
      <w:pPr>
        <w:pStyle w:val="Compact"/>
        <w:numPr>
          <w:ilvl w:val="0"/>
          <w:numId w:val="1174"/>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75"/>
        </w:numPr>
      </w:pPr>
      <w:r>
        <w:t xml:space="preserve">ITS1f: 5’-CTTGGTCATTTAGAGGAAGTAA-3’</w:t>
      </w:r>
    </w:p>
    <w:p>
      <w:pPr>
        <w:pStyle w:val="Compact"/>
        <w:numPr>
          <w:ilvl w:val="1"/>
          <w:numId w:val="1175"/>
        </w:numPr>
      </w:pPr>
      <w:r>
        <w:t xml:space="preserve">ITS4: 5’-TCCTCCGCTTATTGATATGC-3’</w:t>
      </w:r>
    </w:p>
    <w:p>
      <w:pPr>
        <w:pStyle w:val="Compact"/>
        <w:numPr>
          <w:ilvl w:val="1"/>
          <w:numId w:val="1175"/>
        </w:numPr>
      </w:pPr>
      <w:r>
        <w:t xml:space="preserve">5.8SR: 5’-CGCTGCGTTCTTCATCG-3’</w:t>
      </w:r>
    </w:p>
    <w:p>
      <w:pPr>
        <w:pStyle w:val="Compact"/>
        <w:numPr>
          <w:ilvl w:val="1"/>
          <w:numId w:val="1175"/>
        </w:numPr>
      </w:pPr>
      <w:r>
        <w:t xml:space="preserve">fITS7: 5’-GTGARTCATCGAATCTTTG-3’</w:t>
      </w:r>
    </w:p>
    <w:p>
      <w:pPr>
        <w:pStyle w:val="Compact"/>
        <w:numPr>
          <w:ilvl w:val="0"/>
          <w:numId w:val="1174"/>
        </w:numPr>
      </w:pPr>
      <w:r>
        <w:t xml:space="preserve">☐ Q5® Hot Start High-Fidelity 2X Master Mix - 100 reactions(New England BioLabs, M0494S)</w:t>
      </w:r>
    </w:p>
    <w:p>
      <w:pPr>
        <w:pStyle w:val="Compact"/>
        <w:numPr>
          <w:ilvl w:val="0"/>
          <w:numId w:val="1174"/>
        </w:numPr>
      </w:pPr>
      <w:r>
        <w:t xml:space="preserve">☐ PCR water (New England BioLabs, B1500S)</w:t>
      </w:r>
    </w:p>
    <w:p>
      <w:pPr>
        <w:pStyle w:val="Compact"/>
        <w:numPr>
          <w:ilvl w:val="0"/>
          <w:numId w:val="1174"/>
        </w:numPr>
      </w:pPr>
      <w:r>
        <w:t xml:space="preserve">☐ Exo-CIP Rapid PCR Cleanup Kit - 100 reactions (New England BioLabs, E1050S)</w:t>
      </w:r>
    </w:p>
    <w:p>
      <w:pPr>
        <w:pStyle w:val="Compact"/>
        <w:numPr>
          <w:ilvl w:val="0"/>
          <w:numId w:val="1174"/>
        </w:numPr>
      </w:pPr>
      <w:r>
        <w:t xml:space="preserve">☐ E-Gel system with 1.2% agarose gels (ThermoFisher, G4010010) or similar gel electrophoresis system</w:t>
      </w:r>
    </w:p>
    <w:p>
      <w:pPr>
        <w:pStyle w:val="Compact"/>
        <w:numPr>
          <w:ilvl w:val="0"/>
          <w:numId w:val="1174"/>
        </w:numPr>
      </w:pPr>
      <w:r>
        <w:t xml:space="preserve">☐ E-Gel™ Sizing DNA Ladder (ThermoFisher, 10488100)</w:t>
      </w:r>
    </w:p>
    <w:p>
      <w:pPr>
        <w:pStyle w:val="Compact"/>
        <w:numPr>
          <w:ilvl w:val="0"/>
          <w:numId w:val="1174"/>
        </w:numPr>
      </w:pPr>
      <w:r>
        <w:t xml:space="preserve">☐ DNA quantification system (for example, Qubit Fluorometer with dsDNA HS Assay Kit, ThermoFisher, Q32851)</w:t>
      </w:r>
    </w:p>
    <w:p>
      <w:pPr>
        <w:pStyle w:val="Compact"/>
        <w:numPr>
          <w:ilvl w:val="0"/>
          <w:numId w:val="1174"/>
        </w:numPr>
      </w:pPr>
      <w:r>
        <w:t xml:space="preserve">☐ Access to Sanger sequencing services (for example, Genewiz, Eurofins, Eton, or similar provider).</w:t>
      </w:r>
    </w:p>
    <w:p>
      <w:pPr>
        <w:pStyle w:val="Compact"/>
        <w:numPr>
          <w:ilvl w:val="0"/>
          <w:numId w:val="1174"/>
        </w:numPr>
      </w:pPr>
      <w:r>
        <w:t xml:space="preserve">☐ Rapid Barcoding Kit v14 (Oxford Nanopore Technologies), SQK-RBK114.24 or similar kit for long-read sequencing (optional)</w:t>
      </w:r>
    </w:p>
    <w:p>
      <w:pPr>
        <w:pStyle w:val="Compact"/>
        <w:numPr>
          <w:ilvl w:val="0"/>
          <w:numId w:val="1174"/>
        </w:numPr>
      </w:pPr>
      <w:r>
        <w:t xml:space="preserve">☐ MinION sequencing device</w:t>
      </w:r>
    </w:p>
    <w:p>
      <w:pPr>
        <w:pStyle w:val="Compact"/>
        <w:numPr>
          <w:ilvl w:val="0"/>
          <w:numId w:val="1174"/>
        </w:numPr>
      </w:pPr>
      <w:r>
        <w:t xml:space="preserve">☐ MinION flow cells (R10.4.1 or similar, Oxford Nanopore Technologies, FLO-MIN114)</w:t>
      </w:r>
    </w:p>
    <w:p>
      <w:pPr>
        <w:pStyle w:val="Compact"/>
        <w:numPr>
          <w:ilvl w:val="0"/>
          <w:numId w:val="1174"/>
        </w:numPr>
      </w:pPr>
      <w:r>
        <w:t xml:space="preserve">☐ Ultrapure BSA 50mg/ml (ThermoFisher, AM2616) for long-read sequencing</w:t>
      </w:r>
    </w:p>
    <w:p>
      <w:pPr>
        <w:pStyle w:val="Compact"/>
        <w:numPr>
          <w:ilvl w:val="0"/>
          <w:numId w:val="1174"/>
        </w:numPr>
      </w:pPr>
      <w:r>
        <w:t xml:space="preserve">☐ 1.5mL microcentrifuge tubes (Eppendorf DNA LoBind) for long-read sequencing</w:t>
      </w:r>
    </w:p>
    <w:p>
      <w:pPr>
        <w:pStyle w:val="Compact"/>
        <w:numPr>
          <w:ilvl w:val="0"/>
          <w:numId w:val="1174"/>
        </w:numPr>
      </w:pPr>
      <w:r>
        <w:t xml:space="preserve">0.2 mL PCR tubes for long-read sequencing</w:t>
      </w:r>
    </w:p>
    <w:p>
      <w:pPr>
        <w:pStyle w:val="Compact"/>
        <w:numPr>
          <w:ilvl w:val="0"/>
          <w:numId w:val="1174"/>
        </w:numPr>
      </w:pPr>
      <w:r>
        <w:t xml:space="preserve">Magnetic rack for 1.5ml microcentrifuge tubes (for example, ThermoFisher DynaMag-2, 12321D) for long-read sequencing</w:t>
      </w:r>
    </w:p>
    <w:p>
      <w:pPr>
        <w:pStyle w:val="Compact"/>
        <w:numPr>
          <w:ilvl w:val="0"/>
          <w:numId w:val="1174"/>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74"/>
    <w:bookmarkEnd w:id="175"/>
    <w:bookmarkEnd w:id="176"/>
    <w:bookmarkStart w:id="198" w:name="X84ab9f30f319591ed283388a48344a8ca0af377"/>
    <w:p>
      <w:pPr>
        <w:pStyle w:val="Heading2"/>
      </w:pPr>
      <w:r>
        <w:t xml:space="preserve">Module 4.2 – DNA Sequencing and Species Identification</w:t>
      </w:r>
    </w:p>
    <w:bookmarkStart w:id="177" w:name="purpose-3"/>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77"/>
    <w:bookmarkStart w:id="178" w:name="learning-goals-3"/>
    <w:p>
      <w:pPr>
        <w:pStyle w:val="Heading3"/>
      </w:pPr>
      <w:r>
        <w:t xml:space="preserve">Learning Goals</w:t>
      </w:r>
    </w:p>
    <w:p>
      <w:pPr>
        <w:pStyle w:val="Compact"/>
        <w:numPr>
          <w:ilvl w:val="0"/>
          <w:numId w:val="1176"/>
        </w:numPr>
      </w:pPr>
      <w:r>
        <w:t xml:space="preserve">Practice extracting fungal DNA</w:t>
      </w:r>
    </w:p>
    <w:p>
      <w:pPr>
        <w:pStyle w:val="Compact"/>
        <w:numPr>
          <w:ilvl w:val="0"/>
          <w:numId w:val="1176"/>
        </w:numPr>
      </w:pPr>
      <w:r>
        <w:t xml:space="preserve">Successfully PCR amplify fungal ITS</w:t>
      </w:r>
    </w:p>
    <w:p>
      <w:pPr>
        <w:pStyle w:val="Compact"/>
        <w:numPr>
          <w:ilvl w:val="0"/>
          <w:numId w:val="1176"/>
        </w:numPr>
      </w:pPr>
      <w:r>
        <w:t xml:space="preserve">Learn to BLAST ITS sequence to identify fungal isolates</w:t>
      </w:r>
    </w:p>
    <w:bookmarkEnd w:id="178"/>
    <w:bookmarkStart w:id="182" w:name="part-i-dna-extraction"/>
    <w:p>
      <w:pPr>
        <w:pStyle w:val="Heading3"/>
      </w:pPr>
      <w:r>
        <w:t xml:space="preserve">Part I: DNA Extraction</w:t>
      </w:r>
    </w:p>
    <w:bookmarkStart w:id="179"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79"/>
    <w:bookmarkStart w:id="180" w:name="materials-2"/>
    <w:p>
      <w:pPr>
        <w:pStyle w:val="Heading4"/>
      </w:pPr>
      <w:r>
        <w:t xml:space="preserve">Materials</w:t>
      </w:r>
    </w:p>
    <w:p>
      <w:pPr>
        <w:pStyle w:val="Compact"/>
        <w:numPr>
          <w:ilvl w:val="0"/>
          <w:numId w:val="1177"/>
        </w:numPr>
      </w:pPr>
      <w:r>
        <w:t xml:space="preserve">☐ Fungal isolates</w:t>
      </w:r>
    </w:p>
    <w:p>
      <w:pPr>
        <w:pStyle w:val="Compact"/>
        <w:numPr>
          <w:ilvl w:val="0"/>
          <w:numId w:val="1177"/>
        </w:numPr>
      </w:pPr>
      <w:r>
        <w:t xml:space="preserve">[ ]0.2 mL PCR tubes</w:t>
      </w:r>
    </w:p>
    <w:p>
      <w:pPr>
        <w:pStyle w:val="Compact"/>
        <w:numPr>
          <w:ilvl w:val="0"/>
          <w:numId w:val="1177"/>
        </w:numPr>
      </w:pPr>
      <w:r>
        <w:t xml:space="preserve">[ ]P20 micropipette with tips</w:t>
      </w:r>
    </w:p>
    <w:p>
      <w:pPr>
        <w:pStyle w:val="Compact"/>
        <w:numPr>
          <w:ilvl w:val="0"/>
          <w:numId w:val="1177"/>
        </w:numPr>
      </w:pPr>
      <w:r>
        <w:t xml:space="preserve">[ ]DNA extraction kit (New England BioLabs, Monarch® Spin gDNA Extraction Kit, T3010S)</w:t>
      </w:r>
    </w:p>
    <w:p>
      <w:pPr>
        <w:pStyle w:val="Compact"/>
        <w:numPr>
          <w:ilvl w:val="0"/>
          <w:numId w:val="1177"/>
        </w:numPr>
      </w:pPr>
      <w:r>
        <w:t xml:space="preserve">[ ]DNA quantification system (for example, Qubit Fluorometer with dsDNA HS Assay Kit, ThermoFisher, Q32851)</w:t>
      </w:r>
    </w:p>
    <w:p>
      <w:pPr>
        <w:pStyle w:val="Compact"/>
        <w:numPr>
          <w:ilvl w:val="0"/>
          <w:numId w:val="1177"/>
        </w:numPr>
      </w:pPr>
      <w:r>
        <w:t xml:space="preserve">[ ]Ethanol jar</w:t>
      </w:r>
    </w:p>
    <w:p>
      <w:pPr>
        <w:pStyle w:val="Compact"/>
        <w:numPr>
          <w:ilvl w:val="0"/>
          <w:numId w:val="1177"/>
        </w:numPr>
      </w:pPr>
      <w:r>
        <w:t xml:space="preserve">[ ]Loop, pick, and forceps</w:t>
      </w:r>
    </w:p>
    <w:bookmarkEnd w:id="180"/>
    <w:bookmarkStart w:id="181" w:name="procedures"/>
    <w:p>
      <w:pPr>
        <w:pStyle w:val="Heading4"/>
      </w:pPr>
      <w:r>
        <w:t xml:space="preserve">Procedures</w:t>
      </w:r>
    </w:p>
    <w:p>
      <w:pPr>
        <w:pStyle w:val="Compact"/>
        <w:numPr>
          <w:ilvl w:val="0"/>
          <w:numId w:val="1178"/>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78"/>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78"/>
        </w:numPr>
      </w:pPr>
      <w:r>
        <w:t xml:space="preserve">Close the snap-caps and incubate at 65 °C for 10 minutes followed by 95 °C for 10 minutes.</w:t>
      </w:r>
    </w:p>
    <w:p>
      <w:pPr>
        <w:pStyle w:val="Compact"/>
        <w:numPr>
          <w:ilvl w:val="0"/>
          <w:numId w:val="1178"/>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81"/>
    <w:bookmarkEnd w:id="182"/>
    <w:bookmarkStart w:id="187" w:name="part-ii-polymerase-chain-reaction-pcr"/>
    <w:p>
      <w:pPr>
        <w:pStyle w:val="Heading3"/>
      </w:pPr>
      <w:r>
        <w:t xml:space="preserve">Part II: Polymerase Chain Reaction (PCR)</w:t>
      </w:r>
    </w:p>
    <w:bookmarkStart w:id="183"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83"/>
    <w:bookmarkStart w:id="184" w:name="materials-3"/>
    <w:p>
      <w:pPr>
        <w:pStyle w:val="Heading4"/>
      </w:pPr>
      <w:r>
        <w:t xml:space="preserve">Materials</w:t>
      </w:r>
    </w:p>
    <w:p>
      <w:pPr>
        <w:pStyle w:val="Compact"/>
        <w:numPr>
          <w:ilvl w:val="0"/>
          <w:numId w:val="1179"/>
        </w:numPr>
      </w:pPr>
      <w:r>
        <w:t xml:space="preserve">DNA extraction kit</w:t>
      </w:r>
    </w:p>
    <w:p>
      <w:pPr>
        <w:pStyle w:val="Compact"/>
        <w:numPr>
          <w:ilvl w:val="0"/>
          <w:numId w:val="1180"/>
        </w:numPr>
      </w:pPr>
      <w:r>
        <w:t xml:space="preserve">Control DNA sample</w:t>
      </w:r>
    </w:p>
    <w:p>
      <w:pPr>
        <w:pStyle w:val="Compact"/>
        <w:numPr>
          <w:ilvl w:val="0"/>
          <w:numId w:val="1181"/>
        </w:numPr>
      </w:pPr>
      <w:r>
        <w:t xml:space="preserve">0.2 mL PCR tubes</w:t>
      </w:r>
    </w:p>
    <w:p>
      <w:pPr>
        <w:pStyle w:val="Compact"/>
        <w:numPr>
          <w:ilvl w:val="0"/>
          <w:numId w:val="1182"/>
        </w:numPr>
      </w:pPr>
      <w:r>
        <w:t xml:space="preserve">P10 micropipette with tips</w:t>
      </w:r>
    </w:p>
    <w:p>
      <w:pPr>
        <w:pStyle w:val="Compact"/>
        <w:numPr>
          <w:ilvl w:val="0"/>
          <w:numId w:val="1183"/>
        </w:numPr>
      </w:pPr>
      <w:r>
        <w:t xml:space="preserve">P20 micropipette with tips</w:t>
      </w:r>
    </w:p>
    <w:p>
      <w:pPr>
        <w:pStyle w:val="Compact"/>
        <w:numPr>
          <w:ilvl w:val="0"/>
          <w:numId w:val="1184"/>
        </w:numPr>
      </w:pPr>
      <w:r>
        <w:t xml:space="preserve">P200 micropipette with tips</w:t>
      </w:r>
    </w:p>
    <w:p>
      <w:pPr>
        <w:pStyle w:val="Compact"/>
        <w:numPr>
          <w:ilvl w:val="0"/>
          <w:numId w:val="1185"/>
        </w:numPr>
      </w:pPr>
      <w:r>
        <w:t xml:space="preserve">P1000 micropipette with tips</w:t>
      </w:r>
    </w:p>
    <w:p>
      <w:pPr>
        <w:pStyle w:val="Compact"/>
        <w:numPr>
          <w:ilvl w:val="0"/>
          <w:numId w:val="1186"/>
        </w:numPr>
      </w:pPr>
      <w:r>
        <w:t xml:space="preserve">Master mix containing buffer (MgCl2, dNTPs, primers, polymerase enzyme)</w:t>
      </w:r>
    </w:p>
    <w:p>
      <w:pPr>
        <w:pStyle w:val="Compact"/>
        <w:numPr>
          <w:ilvl w:val="0"/>
          <w:numId w:val="1187"/>
        </w:numPr>
      </w:pPr>
      <w:r>
        <w:t xml:space="preserve">PCR tube centrifuge</w:t>
      </w:r>
    </w:p>
    <w:p>
      <w:pPr>
        <w:pStyle w:val="Compact"/>
        <w:numPr>
          <w:ilvl w:val="0"/>
          <w:numId w:val="1188"/>
        </w:numPr>
      </w:pPr>
      <w:r>
        <w:t xml:space="preserve">Thermal cycler</w:t>
      </w:r>
    </w:p>
    <w:bookmarkEnd w:id="184"/>
    <w:bookmarkStart w:id="185"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89"/>
        </w:numPr>
      </w:pPr>
      <w:r>
        <w:t xml:space="preserve">Dilute DNA 1:10 (2 µl of DNA + 18 µL of DS)</w:t>
      </w:r>
    </w:p>
    <w:p>
      <w:pPr>
        <w:pStyle w:val="Compact"/>
        <w:numPr>
          <w:ilvl w:val="0"/>
          <w:numId w:val="1189"/>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89"/>
        </w:numPr>
      </w:pPr>
      <w:r>
        <w:t xml:space="preserve">Spin down your tubes before placing them in the thermal cycler. Run the reaction and observe the temperature cycles. After the reactions are finished, we will store your PCR products at -20 °C.</w:t>
      </w:r>
    </w:p>
    <w:bookmarkEnd w:id="185"/>
    <w:bookmarkStart w:id="186" w:name="X7a9437114b66a535474c7c1f8d36e2e2fb635f1"/>
    <w:p>
      <w:pPr>
        <w:pStyle w:val="Heading4"/>
      </w:pPr>
      <w:r>
        <w:t xml:space="preserve">PCR Troubleshooting after Gel Electrophoresis</w:t>
      </w:r>
    </w:p>
    <w:p>
      <w:pPr>
        <w:pStyle w:val="Compact"/>
        <w:numPr>
          <w:ilvl w:val="0"/>
          <w:numId w:val="1190"/>
        </w:numPr>
      </w:pPr>
      <w:r>
        <w:t xml:space="preserve">No amplification on any samples: check primers, polymerase, and other reagents.</w:t>
      </w:r>
    </w:p>
    <w:p>
      <w:pPr>
        <w:pStyle w:val="Compact"/>
        <w:numPr>
          <w:ilvl w:val="0"/>
          <w:numId w:val="1190"/>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90"/>
        </w:numPr>
      </w:pPr>
      <w:r>
        <w:t xml:space="preserve">Weak or multiple bands, smear: Mispriming from the incorrect program. Check primer concentration: an imbalance of primers can lead to multiple bands.</w:t>
      </w:r>
    </w:p>
    <w:bookmarkEnd w:id="186"/>
    <w:bookmarkEnd w:id="187"/>
    <w:bookmarkStart w:id="192"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88"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88"/>
    <w:bookmarkStart w:id="189" w:name="materials-needed-1"/>
    <w:p>
      <w:pPr>
        <w:pStyle w:val="Heading4"/>
      </w:pPr>
      <w:r>
        <w:t xml:space="preserve">Materials Needed</w:t>
      </w:r>
    </w:p>
    <w:p>
      <w:pPr>
        <w:pStyle w:val="Compact"/>
        <w:numPr>
          <w:ilvl w:val="0"/>
          <w:numId w:val="1191"/>
        </w:numPr>
      </w:pPr>
      <w:r>
        <w:t xml:space="preserve">Agarose</w:t>
      </w:r>
    </w:p>
    <w:p>
      <w:pPr>
        <w:pStyle w:val="Compact"/>
        <w:numPr>
          <w:ilvl w:val="0"/>
          <w:numId w:val="1191"/>
        </w:numPr>
      </w:pPr>
      <w:r>
        <w:t xml:space="preserve">1X TAE (or TE, TBE, or SB) buffer to make gels and running buffer</w:t>
      </w:r>
      <w:r>
        <w:t xml:space="preserve"> </w:t>
      </w:r>
      <w:r>
        <w:t xml:space="preserve">Note: Use the same buffer for making and running the gel</w:t>
      </w:r>
    </w:p>
    <w:p>
      <w:pPr>
        <w:pStyle w:val="Compact"/>
        <w:numPr>
          <w:ilvl w:val="0"/>
          <w:numId w:val="1191"/>
        </w:numPr>
      </w:pPr>
      <w:r>
        <w:t xml:space="preserve">SYBR Safe to visualize DNA</w:t>
      </w:r>
    </w:p>
    <w:p>
      <w:pPr>
        <w:pStyle w:val="Compact"/>
        <w:numPr>
          <w:ilvl w:val="0"/>
          <w:numId w:val="1191"/>
        </w:numPr>
      </w:pPr>
      <w:r>
        <w:t xml:space="preserve">250 mL Erlenmeyer Flask</w:t>
      </w:r>
    </w:p>
    <w:p>
      <w:pPr>
        <w:pStyle w:val="Compact"/>
        <w:numPr>
          <w:ilvl w:val="0"/>
          <w:numId w:val="1191"/>
        </w:numPr>
      </w:pPr>
      <w:r>
        <w:t xml:space="preserve">P20 micropipette with tips</w:t>
      </w:r>
    </w:p>
    <w:p>
      <w:pPr>
        <w:pStyle w:val="Compact"/>
        <w:numPr>
          <w:ilvl w:val="0"/>
          <w:numId w:val="1191"/>
        </w:numPr>
      </w:pPr>
      <w:r>
        <w:t xml:space="preserve">PCR products</w:t>
      </w:r>
    </w:p>
    <w:p>
      <w:pPr>
        <w:pStyle w:val="Compact"/>
        <w:numPr>
          <w:ilvl w:val="0"/>
          <w:numId w:val="1191"/>
        </w:numPr>
      </w:pPr>
      <w:r>
        <w:t xml:space="preserve">100 bp Ladder</w:t>
      </w:r>
    </w:p>
    <w:p>
      <w:pPr>
        <w:pStyle w:val="Compact"/>
        <w:numPr>
          <w:ilvl w:val="0"/>
          <w:numId w:val="1191"/>
        </w:numPr>
      </w:pPr>
      <w:r>
        <w:t xml:space="preserve">Digital Balance</w:t>
      </w:r>
    </w:p>
    <w:p>
      <w:pPr>
        <w:pStyle w:val="Compact"/>
        <w:numPr>
          <w:ilvl w:val="0"/>
          <w:numId w:val="1191"/>
        </w:numPr>
      </w:pPr>
      <w:r>
        <w:t xml:space="preserve">Weigh Boats</w:t>
      </w:r>
    </w:p>
    <w:p>
      <w:pPr>
        <w:pStyle w:val="Compact"/>
        <w:numPr>
          <w:ilvl w:val="0"/>
          <w:numId w:val="1191"/>
        </w:numPr>
      </w:pPr>
      <w:r>
        <w:t xml:space="preserve">Gel rigs</w:t>
      </w:r>
    </w:p>
    <w:p>
      <w:pPr>
        <w:pStyle w:val="Compact"/>
        <w:numPr>
          <w:ilvl w:val="0"/>
          <w:numId w:val="1191"/>
        </w:numPr>
      </w:pPr>
      <w:r>
        <w:t xml:space="preserve">Gel comb</w:t>
      </w:r>
    </w:p>
    <w:p>
      <w:pPr>
        <w:pStyle w:val="Compact"/>
        <w:numPr>
          <w:ilvl w:val="0"/>
          <w:numId w:val="1191"/>
        </w:numPr>
      </w:pPr>
      <w:r>
        <w:t xml:space="preserve">Power source</w:t>
      </w:r>
    </w:p>
    <w:bookmarkEnd w:id="189"/>
    <w:bookmarkStart w:id="190" w:name="X27e3611931edb00682f71c58d3e85dfeecf25c4"/>
    <w:p>
      <w:pPr>
        <w:pStyle w:val="Heading4"/>
      </w:pPr>
      <w:r>
        <w:t xml:space="preserve">Gel Preparation Protocol (Prep gel at least 20 minutes prior to use)</w:t>
      </w:r>
    </w:p>
    <w:p>
      <w:pPr>
        <w:pStyle w:val="Compact"/>
        <w:numPr>
          <w:ilvl w:val="0"/>
          <w:numId w:val="1192"/>
        </w:numPr>
      </w:pPr>
      <w:r>
        <w:t xml:space="preserve">Measure 100 mL of 1x TE buffer in an Erlenmeyer flask.</w:t>
      </w:r>
    </w:p>
    <w:p>
      <w:pPr>
        <w:pStyle w:val="Compact"/>
        <w:numPr>
          <w:ilvl w:val="0"/>
          <w:numId w:val="1192"/>
        </w:numPr>
      </w:pPr>
      <w:r>
        <w:t xml:space="preserve">Add 1 gram of agarose to the buffer.</w:t>
      </w:r>
    </w:p>
    <w:p>
      <w:pPr>
        <w:pStyle w:val="Compact"/>
        <w:numPr>
          <w:ilvl w:val="0"/>
          <w:numId w:val="1192"/>
        </w:numPr>
      </w:pPr>
      <w:r>
        <w:t xml:space="preserve">Microwave for 30-second intervals.</w:t>
      </w:r>
    </w:p>
    <w:p>
      <w:pPr>
        <w:pStyle w:val="Compact"/>
        <w:numPr>
          <w:ilvl w:val="0"/>
          <w:numId w:val="1192"/>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92"/>
        </w:numPr>
      </w:pPr>
      <w:r>
        <w:t xml:space="preserve">Once all the agarose is melted, let sit on the counter until it cools enough to handle. Don’t let it cool too long as it will solidify.</w:t>
      </w:r>
    </w:p>
    <w:p>
      <w:pPr>
        <w:pStyle w:val="Compact"/>
        <w:numPr>
          <w:ilvl w:val="0"/>
          <w:numId w:val="1192"/>
        </w:numPr>
      </w:pPr>
      <w:r>
        <w:t xml:space="preserve">Set up the agarose mold and add a comb.</w:t>
      </w:r>
    </w:p>
    <w:p>
      <w:pPr>
        <w:pStyle w:val="Compact"/>
        <w:numPr>
          <w:ilvl w:val="0"/>
          <w:numId w:val="1192"/>
        </w:numPr>
      </w:pPr>
      <w:r>
        <w:t xml:space="preserve">Once the agarose has cooled to the touch. Pour into the mold. Make sure the agarose is approximately 1/3 to 1/2 way up the combs.</w:t>
      </w:r>
    </w:p>
    <w:p>
      <w:pPr>
        <w:pStyle w:val="Compact"/>
        <w:numPr>
          <w:ilvl w:val="0"/>
          <w:numId w:val="1192"/>
        </w:numPr>
      </w:pPr>
      <w:r>
        <w:t xml:space="preserve">If bubbles are present, use a micropipette tip to draw them to the sides of the gel.</w:t>
      </w:r>
    </w:p>
    <w:p>
      <w:pPr>
        <w:pStyle w:val="Compact"/>
        <w:numPr>
          <w:ilvl w:val="0"/>
          <w:numId w:val="1192"/>
        </w:numPr>
      </w:pPr>
      <w:r>
        <w:t xml:space="preserve">Allow approximately 20 minutes for the gel to solidify and become somewhat translucent.</w:t>
      </w:r>
    </w:p>
    <w:p>
      <w:pPr>
        <w:pStyle w:val="Compact"/>
        <w:numPr>
          <w:ilvl w:val="0"/>
          <w:numId w:val="1192"/>
        </w:numPr>
      </w:pPr>
      <w:r>
        <w:t xml:space="preserve">Gently remove the comb.</w:t>
      </w:r>
    </w:p>
    <w:p>
      <w:pPr>
        <w:pStyle w:val="Compact"/>
        <w:numPr>
          <w:ilvl w:val="0"/>
          <w:numId w:val="1192"/>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92"/>
        </w:numPr>
      </w:pPr>
      <w:r>
        <w:t xml:space="preserve">Gels can be wrapped in saran wrap and stored for approximately 1 week.</w:t>
      </w:r>
    </w:p>
    <w:bookmarkEnd w:id="190"/>
    <w:bookmarkStart w:id="191" w:name="gel-loading"/>
    <w:p>
      <w:pPr>
        <w:pStyle w:val="Heading4"/>
      </w:pPr>
      <w:r>
        <w:t xml:space="preserve">Gel Loading</w:t>
      </w:r>
    </w:p>
    <w:p>
      <w:pPr>
        <w:pStyle w:val="Compact"/>
        <w:numPr>
          <w:ilvl w:val="0"/>
          <w:numId w:val="1193"/>
        </w:numPr>
      </w:pPr>
      <w:r>
        <w:t xml:space="preserve">Fill the gel rig with 1X TAE (or equivalent) buffer until it covers the surface of the gel.</w:t>
      </w:r>
    </w:p>
    <w:p>
      <w:pPr>
        <w:pStyle w:val="Compact"/>
        <w:numPr>
          <w:ilvl w:val="0"/>
          <w:numId w:val="1193"/>
        </w:numPr>
      </w:pPr>
      <w:r>
        <w:t xml:space="preserve">Make a map of your samples in your gel.</w:t>
      </w:r>
    </w:p>
    <w:p>
      <w:pPr>
        <w:pStyle w:val="Compact"/>
        <w:numPr>
          <w:ilvl w:val="0"/>
          <w:numId w:val="1193"/>
        </w:numPr>
      </w:pPr>
      <w:r>
        <w:t xml:space="preserve">Load Gel</w:t>
      </w:r>
    </w:p>
    <w:p>
      <w:pPr>
        <w:pStyle w:val="Compact"/>
        <w:numPr>
          <w:ilvl w:val="1"/>
          <w:numId w:val="1194"/>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94"/>
        </w:numPr>
      </w:pPr>
      <w:r>
        <w:t xml:space="preserve">PCR product with loading dye: Draw up 5 μL of PCR product using micropipette.</w:t>
      </w:r>
    </w:p>
    <w:p>
      <w:pPr>
        <w:pStyle w:val="Compact"/>
        <w:numPr>
          <w:ilvl w:val="0"/>
          <w:numId w:val="1193"/>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93"/>
        </w:numPr>
      </w:pPr>
      <w:r>
        <w:t xml:space="preserve">Be sure to reserve one well per row for a standardized DNA ladder.</w:t>
      </w:r>
    </w:p>
    <w:p>
      <w:pPr>
        <w:pStyle w:val="Compact"/>
        <w:numPr>
          <w:ilvl w:val="0"/>
          <w:numId w:val="1193"/>
        </w:numPr>
      </w:pPr>
      <w:r>
        <w:t xml:space="preserve">Run at 300 volts for about 15 minutes</w:t>
      </w:r>
    </w:p>
    <w:p>
      <w:pPr>
        <w:pStyle w:val="Compact"/>
        <w:numPr>
          <w:ilvl w:val="1"/>
          <w:numId w:val="1195"/>
        </w:numPr>
      </w:pPr>
      <w:r>
        <w:t xml:space="preserve">Keep an eye on the migration of your PCR product across the gel to ensure it doesn’t run off the other end of the gel.</w:t>
      </w:r>
    </w:p>
    <w:p>
      <w:pPr>
        <w:pStyle w:val="Compact"/>
        <w:numPr>
          <w:ilvl w:val="0"/>
          <w:numId w:val="1193"/>
        </w:numPr>
      </w:pPr>
      <w:r>
        <w:t xml:space="preserve">Visualize with UV light.</w:t>
      </w:r>
    </w:p>
    <w:bookmarkEnd w:id="191"/>
    <w:bookmarkEnd w:id="192"/>
    <w:bookmarkStart w:id="193"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93"/>
    <w:bookmarkStart w:id="194"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94"/>
    <w:bookmarkStart w:id="196" w:name="X119230681215c553508703bd9b858aabc863314"/>
    <w:p>
      <w:pPr>
        <w:pStyle w:val="Heading3"/>
      </w:pPr>
      <w:r>
        <w:t xml:space="preserve">Part VI: Identifying Species using DNA Barcode</w:t>
      </w:r>
    </w:p>
    <w:bookmarkStart w:id="195"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96"/>
        </w:numPr>
      </w:pPr>
      <w:r>
        <w:t xml:space="preserve">Go to NCBI: https://www.ncbi.nlm.nih.gov/.</w:t>
      </w:r>
    </w:p>
    <w:p>
      <w:pPr>
        <w:pStyle w:val="Compact"/>
        <w:numPr>
          <w:ilvl w:val="0"/>
          <w:numId w:val="1196"/>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97"/>
        </w:numPr>
      </w:pPr>
      <w:r>
        <w:t xml:space="preserve">BLAST = Basic Local Alignment Search Tool</w:t>
      </w:r>
    </w:p>
    <w:p>
      <w:pPr>
        <w:pStyle w:val="Compact"/>
        <w:numPr>
          <w:ilvl w:val="0"/>
          <w:numId w:val="1196"/>
        </w:numPr>
      </w:pPr>
      <w:r>
        <w:t xml:space="preserve">Click on the Nucleotide BLAST image.</w:t>
      </w:r>
    </w:p>
    <w:p>
      <w:pPr>
        <w:pStyle w:val="Compact"/>
        <w:numPr>
          <w:ilvl w:val="1"/>
          <w:numId w:val="1198"/>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96"/>
        </w:numPr>
      </w:pPr>
      <w:r>
        <w:t xml:space="preserve">Paste your sequence data into the big space under</w:t>
      </w:r>
      <w:r>
        <w:t xml:space="preserve"> </w:t>
      </w:r>
      <w:r>
        <w:t xml:space="preserve">“Enter Query Sequence”</w:t>
      </w:r>
      <w:r>
        <w:t xml:space="preserve">.</w:t>
      </w:r>
    </w:p>
    <w:p>
      <w:pPr>
        <w:pStyle w:val="Compact"/>
        <w:numPr>
          <w:ilvl w:val="1"/>
          <w:numId w:val="1199"/>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96"/>
        </w:numPr>
      </w:pPr>
      <w:r>
        <w:t xml:space="preserve">Under Choose Search Set you can keep it under</w:t>
      </w:r>
      <w:r>
        <w:t xml:space="preserve"> </w:t>
      </w:r>
      <w:r>
        <w:t xml:space="preserve">“Standard databases (nr etc.)”</w:t>
      </w:r>
      <w:r>
        <w:t xml:space="preserve">.</w:t>
      </w:r>
    </w:p>
    <w:p>
      <w:pPr>
        <w:pStyle w:val="Compact"/>
        <w:numPr>
          <w:ilvl w:val="1"/>
          <w:numId w:val="1200"/>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96"/>
        </w:numPr>
      </w:pPr>
      <w:r>
        <w:t xml:space="preserve">Select the</w:t>
      </w:r>
      <w:r>
        <w:t xml:space="preserve"> </w:t>
      </w:r>
      <w:r>
        <w:t xml:space="preserve">“BLAST”</w:t>
      </w:r>
      <w:r>
        <w:t xml:space="preserve"> </w:t>
      </w:r>
      <w:r>
        <w:t xml:space="preserve">button at the end.</w:t>
      </w:r>
    </w:p>
    <w:p>
      <w:pPr>
        <w:pStyle w:val="Compact"/>
        <w:numPr>
          <w:ilvl w:val="1"/>
          <w:numId w:val="1201"/>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201"/>
        </w:numPr>
      </w:pPr>
      <w:r>
        <w:t xml:space="preserve">Percent Identity = What percent of your sequence (query sequence) is identical to the matched sequence.</w:t>
      </w:r>
    </w:p>
    <w:p>
      <w:pPr>
        <w:pStyle w:val="Compact"/>
        <w:numPr>
          <w:ilvl w:val="1"/>
          <w:numId w:val="1201"/>
        </w:numPr>
      </w:pPr>
      <w:r>
        <w:t xml:space="preserve">Query Cover = How much of the query sequence covers the matched sequence.</w:t>
      </w:r>
    </w:p>
    <w:p>
      <w:pPr>
        <w:pStyle w:val="Compact"/>
        <w:numPr>
          <w:ilvl w:val="1"/>
          <w:numId w:val="1201"/>
        </w:numPr>
      </w:pPr>
      <w:r>
        <w:t xml:space="preserve">E value = The probability that this match occurred by chance in the provided database.</w:t>
      </w:r>
    </w:p>
    <w:p>
      <w:pPr>
        <w:pStyle w:val="Compact"/>
        <w:numPr>
          <w:ilvl w:val="0"/>
          <w:numId w:val="1196"/>
        </w:numPr>
      </w:pPr>
      <w:r>
        <w:t xml:space="preserve">Review the results.</w:t>
      </w:r>
    </w:p>
    <w:p>
      <w:pPr>
        <w:pStyle w:val="Compact"/>
        <w:numPr>
          <w:ilvl w:val="1"/>
          <w:numId w:val="1202"/>
        </w:numPr>
      </w:pPr>
      <w:r>
        <w:t xml:space="preserve">What is the</w:t>
      </w:r>
      <w:r>
        <w:t xml:space="preserve"> </w:t>
      </w:r>
      <w:r>
        <w:t xml:space="preserve">“top hit”</w:t>
      </w:r>
      <w:r>
        <w:t xml:space="preserve">?</w:t>
      </w:r>
    </w:p>
    <w:p>
      <w:pPr>
        <w:pStyle w:val="Compact"/>
        <w:numPr>
          <w:ilvl w:val="1"/>
          <w:numId w:val="1202"/>
        </w:numPr>
      </w:pPr>
      <w:r>
        <w:t xml:space="preserve">How much support is provided for this hit given the current database used?</w:t>
      </w:r>
    </w:p>
    <w:p>
      <w:pPr>
        <w:pStyle w:val="Compact"/>
        <w:numPr>
          <w:ilvl w:val="1"/>
          <w:numId w:val="1202"/>
        </w:numPr>
      </w:pPr>
      <w:r>
        <w:t xml:space="preserve">What is the taxonomic ID of this result? What kind of fungi are these?</w:t>
      </w:r>
    </w:p>
    <w:p>
      <w:pPr>
        <w:pStyle w:val="Compact"/>
        <w:numPr>
          <w:ilvl w:val="1"/>
          <w:numId w:val="1202"/>
        </w:numPr>
      </w:pPr>
      <w:r>
        <w:t xml:space="preserve">You may google the names and search under Wikipedia to get a better understanding of these organisms and what is known.</w:t>
      </w:r>
    </w:p>
    <w:bookmarkEnd w:id="195"/>
    <w:bookmarkEnd w:id="196"/>
    <w:bookmarkStart w:id="197"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97"/>
    <w:bookmarkEnd w:id="198"/>
    <w:bookmarkEnd w:id="199"/>
    <w:bookmarkStart w:id="213"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tip.png" id="20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204" w:name="X0d17ba572a281133a22d073b368b9fbe73454ca"/>
    <w:p>
      <w:pPr>
        <w:pStyle w:val="Heading2"/>
      </w:pPr>
      <w:r>
        <w:t xml:space="preserve">Module 5.1 – Tissue Preparation for Genome Sequencing</w:t>
      </w:r>
    </w:p>
    <w:bookmarkStart w:id="203" w:name="Xaadd1af7be5342dd14d66f9d9ba06249647885a"/>
    <w:p>
      <w:pPr>
        <w:pStyle w:val="Heading3"/>
      </w:pPr>
      <w:r>
        <w:t xml:space="preserve">Instructor Laboratory Preparation Instructions</w:t>
      </w:r>
    </w:p>
    <w:bookmarkStart w:id="202" w:name="materials-and-equipment-7"/>
    <w:p>
      <w:pPr>
        <w:pStyle w:val="Heading4"/>
      </w:pPr>
      <w:r>
        <w:t xml:space="preserve">Materials and Equipment</w:t>
      </w:r>
    </w:p>
    <w:p>
      <w:pPr>
        <w:pStyle w:val="Compact"/>
        <w:numPr>
          <w:ilvl w:val="0"/>
          <w:numId w:val="1203"/>
        </w:numPr>
      </w:pPr>
      <w:r>
        <w:t xml:space="preserve">Autoclave</w:t>
      </w:r>
    </w:p>
    <w:p>
      <w:pPr>
        <w:pStyle w:val="Compact"/>
        <w:numPr>
          <w:ilvl w:val="0"/>
          <w:numId w:val="1204"/>
        </w:numPr>
      </w:pPr>
      <w:r>
        <w:t xml:space="preserve">Laminar Flow Hood (if available)</w:t>
      </w:r>
    </w:p>
    <w:p>
      <w:pPr>
        <w:pStyle w:val="Compact"/>
        <w:numPr>
          <w:ilvl w:val="0"/>
          <w:numId w:val="1205"/>
        </w:numPr>
      </w:pPr>
      <w:r>
        <w:t xml:space="preserve">Cellophane</w:t>
      </w:r>
    </w:p>
    <w:p>
      <w:pPr>
        <w:pStyle w:val="Compact"/>
        <w:numPr>
          <w:ilvl w:val="0"/>
          <w:numId w:val="1206"/>
        </w:numPr>
      </w:pPr>
      <w:r>
        <w:t xml:space="preserve">100x15mm Petri Dishes</w:t>
      </w:r>
    </w:p>
    <w:p>
      <w:pPr>
        <w:pStyle w:val="Compact"/>
        <w:numPr>
          <w:ilvl w:val="0"/>
          <w:numId w:val="1207"/>
        </w:numPr>
      </w:pPr>
      <w:r>
        <w:t xml:space="preserve">60x15mm Petri Dishes</w:t>
      </w:r>
    </w:p>
    <w:p>
      <w:pPr>
        <w:pStyle w:val="Compact"/>
        <w:numPr>
          <w:ilvl w:val="0"/>
          <w:numId w:val="1208"/>
        </w:numPr>
      </w:pPr>
      <w:r>
        <w:t xml:space="preserve">Agar, Bacteriological</w:t>
      </w:r>
    </w:p>
    <w:p>
      <w:pPr>
        <w:pStyle w:val="Compact"/>
        <w:numPr>
          <w:ilvl w:val="0"/>
          <w:numId w:val="1209"/>
        </w:numPr>
      </w:pPr>
      <w:r>
        <w:t xml:space="preserve">Potato Dextrose Agar (PDA) media</w:t>
      </w:r>
    </w:p>
    <w:p>
      <w:pPr>
        <w:pStyle w:val="Compact"/>
        <w:numPr>
          <w:ilvl w:val="0"/>
          <w:numId w:val="1210"/>
        </w:numPr>
      </w:pPr>
      <w:r>
        <w:t xml:space="preserve">Alcohol for sterilization</w:t>
      </w:r>
    </w:p>
    <w:p>
      <w:pPr>
        <w:pStyle w:val="Compact"/>
        <w:numPr>
          <w:ilvl w:val="0"/>
          <w:numId w:val="1211"/>
        </w:numPr>
      </w:pPr>
      <w:r>
        <w:t xml:space="preserve">Forceps</w:t>
      </w:r>
    </w:p>
    <w:p>
      <w:pPr>
        <w:pStyle w:val="Compact"/>
        <w:numPr>
          <w:ilvl w:val="0"/>
          <w:numId w:val="1212"/>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202"/>
    <w:bookmarkEnd w:id="203"/>
    <w:bookmarkEnd w:id="204"/>
    <w:bookmarkStart w:id="212" w:name="Xc8205bcafd44c2f0f2777871d0b670e5430cb18"/>
    <w:p>
      <w:pPr>
        <w:pStyle w:val="Heading2"/>
      </w:pPr>
      <w:r>
        <w:t xml:space="preserve">Module 5.2 – Tissue Preparation for Genome Sequencing</w:t>
      </w:r>
    </w:p>
    <w:bookmarkStart w:id="205" w:name="purpose-4"/>
    <w:p>
      <w:pPr>
        <w:pStyle w:val="Heading3"/>
      </w:pPr>
      <w:r>
        <w:t xml:space="preserve">Purpose</w:t>
      </w:r>
    </w:p>
    <w:p>
      <w:pPr>
        <w:pStyle w:val="FirstParagraph"/>
      </w:pPr>
      <w:r>
        <w:t xml:space="preserve">This protocol guides you through the culturing and harvesting of fungal tissue for molecular applications.</w:t>
      </w:r>
    </w:p>
    <w:bookmarkEnd w:id="205"/>
    <w:bookmarkStart w:id="206"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206"/>
    <w:bookmarkStart w:id="207" w:name="sub-culturing-on-cellophane"/>
    <w:p>
      <w:pPr>
        <w:pStyle w:val="Heading3"/>
      </w:pPr>
      <w:r>
        <w:t xml:space="preserve">Sub-Culturing on Cellophane</w:t>
      </w:r>
    </w:p>
    <w:p>
      <w:pPr>
        <w:pStyle w:val="Compact"/>
        <w:numPr>
          <w:ilvl w:val="0"/>
          <w:numId w:val="1213"/>
        </w:numPr>
      </w:pPr>
      <w:r>
        <w:t xml:space="preserve">Clean your workspace as described previously. Work under flames or in a laminar flow hood if available.</w:t>
      </w:r>
    </w:p>
    <w:p>
      <w:pPr>
        <w:pStyle w:val="Compact"/>
        <w:numPr>
          <w:ilvl w:val="0"/>
          <w:numId w:val="1213"/>
        </w:numPr>
      </w:pPr>
      <w:r>
        <w:t xml:space="preserve">Label your Cellophane lined Petri Dish appropriately.</w:t>
      </w:r>
    </w:p>
    <w:p>
      <w:pPr>
        <w:pStyle w:val="Compact"/>
        <w:numPr>
          <w:ilvl w:val="0"/>
          <w:numId w:val="1213"/>
        </w:numPr>
      </w:pPr>
      <w:r>
        <w:t xml:space="preserve">Sterilize implements (forceps and scalpel).</w:t>
      </w:r>
    </w:p>
    <w:p>
      <w:pPr>
        <w:pStyle w:val="Compact"/>
        <w:numPr>
          <w:ilvl w:val="0"/>
          <w:numId w:val="1213"/>
        </w:numPr>
      </w:pPr>
      <w:r>
        <w:t xml:space="preserve">Scrape mycelia from PDA plates that you have been growing. Be sure to avoid transferring any media as much as possible.</w:t>
      </w:r>
    </w:p>
    <w:p>
      <w:pPr>
        <w:pStyle w:val="Compact"/>
        <w:numPr>
          <w:ilvl w:val="1"/>
          <w:numId w:val="1214"/>
        </w:numPr>
      </w:pPr>
      <w:r>
        <w:t xml:space="preserve">Leaving the assay plate on the bench space, remove the parafilm of the inoculation plate and slightly crack open the lid using your non-dominant hand.</w:t>
      </w:r>
    </w:p>
    <w:p>
      <w:pPr>
        <w:pStyle w:val="Compact"/>
        <w:numPr>
          <w:ilvl w:val="1"/>
          <w:numId w:val="1214"/>
        </w:numPr>
      </w:pPr>
      <w:r>
        <w:t xml:space="preserve">Insert your forceps into the crack of the Petri dish and attempt to sample some mycelium.</w:t>
      </w:r>
    </w:p>
    <w:p>
      <w:pPr>
        <w:pStyle w:val="Compact"/>
        <w:numPr>
          <w:ilvl w:val="2"/>
          <w:numId w:val="1215"/>
        </w:numPr>
      </w:pPr>
      <w:r>
        <w:t xml:space="preserve">If you are unable to remove mycelia with your forceps, use your scalpel to remove mycelia with the least amount of agar possible.</w:t>
      </w:r>
    </w:p>
    <w:p>
      <w:pPr>
        <w:pStyle w:val="Compact"/>
        <w:numPr>
          <w:ilvl w:val="0"/>
          <w:numId w:val="1213"/>
        </w:numPr>
      </w:pPr>
      <w:r>
        <w:t xml:space="preserve">Transfer the mycelia to a Petri dish with cellophane.</w:t>
      </w:r>
    </w:p>
    <w:p>
      <w:pPr>
        <w:pStyle w:val="Compact"/>
        <w:numPr>
          <w:ilvl w:val="1"/>
          <w:numId w:val="1216"/>
        </w:numPr>
      </w:pPr>
      <w:r>
        <w:t xml:space="preserve">Carefully remove the chunk of agar. Replace the lid. Slide the sample plate away. Slide a cellophane plate towards you.</w:t>
      </w:r>
    </w:p>
    <w:p>
      <w:pPr>
        <w:pStyle w:val="Compact"/>
        <w:numPr>
          <w:ilvl w:val="1"/>
          <w:numId w:val="1216"/>
        </w:numPr>
      </w:pPr>
      <w:r>
        <w:t xml:space="preserve">Crack open the cellophane plate using your non-dominant hand, and carefully insert the forceps with the agar and mycelium.</w:t>
      </w:r>
    </w:p>
    <w:p>
      <w:pPr>
        <w:pStyle w:val="Compact"/>
        <w:numPr>
          <w:ilvl w:val="1"/>
          <w:numId w:val="1216"/>
        </w:numPr>
      </w:pPr>
      <w:r>
        <w:t xml:space="preserve">To deposit the agar onto the PDA agar, submerge the forceps into the agar on the plate. This should force the agar and mycelium from your forceps, onto the PDA agar.</w:t>
      </w:r>
    </w:p>
    <w:p>
      <w:pPr>
        <w:pStyle w:val="Compact"/>
        <w:numPr>
          <w:ilvl w:val="1"/>
          <w:numId w:val="1216"/>
        </w:numPr>
      </w:pPr>
      <w:r>
        <w:t xml:space="preserve">Pull your forceps straight out to leave the agar and mycelium on the plate.</w:t>
      </w:r>
    </w:p>
    <w:p>
      <w:pPr>
        <w:pStyle w:val="Compact"/>
        <w:numPr>
          <w:ilvl w:val="1"/>
          <w:numId w:val="1216"/>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213"/>
        </w:numPr>
      </w:pPr>
      <w:r>
        <w:t xml:space="preserve">Seal Petri dish with parafilm.</w:t>
      </w:r>
    </w:p>
    <w:p>
      <w:pPr>
        <w:pStyle w:val="Compact"/>
        <w:numPr>
          <w:ilvl w:val="0"/>
          <w:numId w:val="1213"/>
        </w:numPr>
      </w:pPr>
      <w:r>
        <w:t xml:space="preserve">Allow fungi to fill the cellophane.</w:t>
      </w:r>
    </w:p>
    <w:p>
      <w:pPr>
        <w:pStyle w:val="Compact"/>
        <w:numPr>
          <w:ilvl w:val="0"/>
          <w:numId w:val="1213"/>
        </w:numPr>
      </w:pPr>
      <w:r>
        <w:t xml:space="preserve">Repeat this process with all fungal isolates that will be sent for genome sequencing.</w:t>
      </w:r>
    </w:p>
    <w:bookmarkEnd w:id="207"/>
    <w:bookmarkStart w:id="208"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208"/>
    <w:bookmarkStart w:id="209" w:name="student-lab-supplies"/>
    <w:p>
      <w:pPr>
        <w:pStyle w:val="Heading3"/>
      </w:pPr>
      <w:r>
        <w:t xml:space="preserve">Student Lab Supplies</w:t>
      </w:r>
    </w:p>
    <w:p>
      <w:pPr>
        <w:pStyle w:val="Compact"/>
        <w:numPr>
          <w:ilvl w:val="0"/>
          <w:numId w:val="1217"/>
        </w:numPr>
      </w:pPr>
      <w:r>
        <w:t xml:space="preserve">1.5 ml Eppendorf tubes</w:t>
      </w:r>
    </w:p>
    <w:p>
      <w:pPr>
        <w:pStyle w:val="Compact"/>
        <w:numPr>
          <w:ilvl w:val="0"/>
          <w:numId w:val="1218"/>
        </w:numPr>
      </w:pPr>
      <w:r>
        <w:t xml:space="preserve">Sharpie</w:t>
      </w:r>
    </w:p>
    <w:p>
      <w:pPr>
        <w:pStyle w:val="Compact"/>
        <w:numPr>
          <w:ilvl w:val="0"/>
          <w:numId w:val="1219"/>
        </w:numPr>
      </w:pPr>
      <w:r>
        <w:t xml:space="preserve">Scalpel</w:t>
      </w:r>
    </w:p>
    <w:p>
      <w:pPr>
        <w:pStyle w:val="Compact"/>
        <w:numPr>
          <w:ilvl w:val="0"/>
          <w:numId w:val="1220"/>
        </w:numPr>
      </w:pPr>
      <w:r>
        <w:t xml:space="preserve">Forceps</w:t>
      </w:r>
    </w:p>
    <w:p>
      <w:pPr>
        <w:pStyle w:val="Compact"/>
        <w:numPr>
          <w:ilvl w:val="0"/>
          <w:numId w:val="1221"/>
        </w:numPr>
      </w:pPr>
      <w:r>
        <w:t xml:space="preserve">Silica</w:t>
      </w:r>
    </w:p>
    <w:p>
      <w:pPr>
        <w:pStyle w:val="Compact"/>
        <w:numPr>
          <w:ilvl w:val="0"/>
          <w:numId w:val="1222"/>
        </w:numPr>
      </w:pPr>
      <w:r>
        <w:t xml:space="preserve">Probe</w:t>
      </w:r>
    </w:p>
    <w:bookmarkEnd w:id="209"/>
    <w:bookmarkStart w:id="210"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210"/>
    <w:bookmarkStart w:id="211" w:name="instructions-3"/>
    <w:p>
      <w:pPr>
        <w:pStyle w:val="Heading3"/>
      </w:pPr>
      <w:r>
        <w:t xml:space="preserve">Instructions</w:t>
      </w:r>
    </w:p>
    <w:p>
      <w:pPr>
        <w:pStyle w:val="Compact"/>
        <w:numPr>
          <w:ilvl w:val="0"/>
          <w:numId w:val="1223"/>
        </w:numPr>
      </w:pPr>
      <w:r>
        <w:t xml:space="preserve">You will be harvesting fungal tissue from the cellophane PDA petri dishes.</w:t>
      </w:r>
    </w:p>
    <w:p>
      <w:pPr>
        <w:pStyle w:val="Compact"/>
        <w:numPr>
          <w:ilvl w:val="0"/>
          <w:numId w:val="1223"/>
        </w:numPr>
      </w:pPr>
      <w:r>
        <w:t xml:space="preserve">Use a laminar flow hood or set up flames to create a sterile environment. Clean your sterile area.</w:t>
      </w:r>
    </w:p>
    <w:p>
      <w:pPr>
        <w:pStyle w:val="Compact"/>
        <w:numPr>
          <w:ilvl w:val="0"/>
          <w:numId w:val="1223"/>
        </w:numPr>
      </w:pPr>
      <w:r>
        <w:t xml:space="preserve">Light your flame source. Dip your harvesting implement(s) (scalpel, forceps, and/or probe) into alcohol. Flame your implements and let it cool.</w:t>
      </w:r>
    </w:p>
    <w:p>
      <w:pPr>
        <w:pStyle w:val="Compact"/>
        <w:numPr>
          <w:ilvl w:val="0"/>
          <w:numId w:val="122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22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223"/>
        </w:numPr>
      </w:pPr>
      <w:r>
        <w:t xml:space="preserve">Seal silica-filled jar with the lid. Allow the tissue to dry for 5-10 days.</w:t>
      </w:r>
    </w:p>
    <w:p>
      <w:pPr>
        <w:pStyle w:val="Compact"/>
        <w:numPr>
          <w:ilvl w:val="0"/>
          <w:numId w:val="1223"/>
        </w:numPr>
      </w:pPr>
      <w:r>
        <w:t xml:space="preserve">Once the tissue is dry, remove the Eppendorf tubes from the silica jar and close the lids.</w:t>
      </w:r>
    </w:p>
    <w:p>
      <w:pPr>
        <w:pStyle w:val="Compact"/>
        <w:numPr>
          <w:ilvl w:val="0"/>
          <w:numId w:val="1223"/>
        </w:numPr>
      </w:pPr>
      <w:r>
        <w:t xml:space="preserve">Proceed to the Sample submission module.</w:t>
      </w:r>
    </w:p>
    <w:bookmarkEnd w:id="211"/>
    <w:bookmarkEnd w:id="212"/>
    <w:bookmarkEnd w:id="213"/>
    <w:bookmarkStart w:id="222"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tip.png" id="21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21" w:name="module-6.1-myco-ed-sample-submission-sop"/>
    <w:p>
      <w:pPr>
        <w:pStyle w:val="Heading2"/>
      </w:pPr>
      <w:r>
        <w:t xml:space="preserve">Module 6.1 – Myco-Ed Sample Submission SOP</w:t>
      </w:r>
    </w:p>
    <w:bookmarkStart w:id="216" w:name="overview-2"/>
    <w:p>
      <w:pPr>
        <w:pStyle w:val="Heading3"/>
      </w:pPr>
      <w:r>
        <w:t xml:space="preserve">Overview</w:t>
      </w:r>
    </w:p>
    <w:p>
      <w:pPr>
        <w:pStyle w:val="FirstParagraph"/>
      </w:pPr>
      <w:r>
        <w:t xml:space="preserve">Use this document to submit fungal samples to Arizona Genomics Institute (AGI) for DNA extraction.</w:t>
      </w:r>
    </w:p>
    <w:bookmarkEnd w:id="216"/>
    <w:bookmarkStart w:id="217" w:name="definitions"/>
    <w:p>
      <w:pPr>
        <w:pStyle w:val="Heading3"/>
      </w:pPr>
      <w:r>
        <w:t xml:space="preserve">Definitions</w:t>
      </w:r>
    </w:p>
    <w:p>
      <w:pPr>
        <w:pStyle w:val="Compact"/>
        <w:numPr>
          <w:ilvl w:val="0"/>
          <w:numId w:val="1224"/>
        </w:numPr>
      </w:pPr>
      <w:r>
        <w:t xml:space="preserve">JGI = Joint Genomics Institute</w:t>
      </w:r>
    </w:p>
    <w:p>
      <w:pPr>
        <w:pStyle w:val="Compact"/>
        <w:numPr>
          <w:ilvl w:val="0"/>
          <w:numId w:val="1224"/>
        </w:numPr>
      </w:pPr>
      <w:r>
        <w:t xml:space="preserve">AGI = Arizona Genome Institute</w:t>
      </w:r>
    </w:p>
    <w:bookmarkEnd w:id="217"/>
    <w:bookmarkStart w:id="218" w:name="associated-documents"/>
    <w:p>
      <w:pPr>
        <w:pStyle w:val="Heading3"/>
      </w:pPr>
      <w:r>
        <w:t xml:space="preserve">Associated Documents</w:t>
      </w:r>
    </w:p>
    <w:p>
      <w:pPr>
        <w:pStyle w:val="FirstParagraph"/>
      </w:pPr>
      <w:r>
        <w:t xml:space="preserve">MycoEd Metadata Form</w:t>
      </w:r>
    </w:p>
    <w:bookmarkEnd w:id="218"/>
    <w:bookmarkStart w:id="219" w:name="process-steps"/>
    <w:p>
      <w:pPr>
        <w:pStyle w:val="Heading3"/>
      </w:pPr>
      <w:r>
        <w:t xml:space="preserve">Process Steps</w:t>
      </w:r>
    </w:p>
    <w:p>
      <w:pPr>
        <w:pStyle w:val="Compact"/>
        <w:numPr>
          <w:ilvl w:val="0"/>
          <w:numId w:val="1225"/>
        </w:numPr>
      </w:pPr>
      <w:r>
        <w:t xml:space="preserve">Create a JGI Single Sign on Account</w:t>
      </w:r>
    </w:p>
    <w:p>
      <w:pPr>
        <w:pStyle w:val="Compact"/>
        <w:numPr>
          <w:ilvl w:val="0"/>
          <w:numId w:val="1225"/>
        </w:numPr>
      </w:pPr>
      <w:r>
        <w:t xml:space="preserve">Email photos of the live tissue you intend to send AGI before collection to JTALAG@email.arizona.edu and kwbarry@lbl.gov.</w:t>
      </w:r>
    </w:p>
    <w:p>
      <w:pPr>
        <w:pStyle w:val="Compact"/>
        <w:numPr>
          <w:ilvl w:val="0"/>
          <w:numId w:val="1225"/>
        </w:numPr>
      </w:pPr>
      <w:r>
        <w:t xml:space="preserve">Make a copy of the MycoEd Metadata Form</w:t>
      </w:r>
    </w:p>
    <w:p>
      <w:pPr>
        <w:pStyle w:val="Compact"/>
        <w:numPr>
          <w:ilvl w:val="1"/>
          <w:numId w:val="1226"/>
        </w:numPr>
      </w:pPr>
      <w:r>
        <w:t xml:space="preserve">Click on MycoEd Metadata Form link</w:t>
      </w:r>
    </w:p>
    <w:p>
      <w:pPr>
        <w:pStyle w:val="Compact"/>
        <w:numPr>
          <w:ilvl w:val="1"/>
          <w:numId w:val="1226"/>
        </w:numPr>
      </w:pPr>
      <w:r>
        <w:t xml:space="preserve">Under file, select Make a Copy</w:t>
      </w:r>
    </w:p>
    <w:p>
      <w:pPr>
        <w:pStyle w:val="Compact"/>
        <w:numPr>
          <w:ilvl w:val="1"/>
          <w:numId w:val="1226"/>
        </w:numPr>
      </w:pPr>
      <w:r>
        <w:t xml:space="preserve">Rename your new copy [University][Instructor Last Name][MycoEd Metadata][Date]</w:t>
      </w:r>
    </w:p>
    <w:p>
      <w:pPr>
        <w:pStyle w:val="Compact"/>
        <w:numPr>
          <w:ilvl w:val="0"/>
          <w:numId w:val="1225"/>
        </w:numPr>
      </w:pPr>
      <w:r>
        <w:t xml:space="preserve">Fill out your copy of the MycoEd Metadata Form</w:t>
      </w:r>
    </w:p>
    <w:p>
      <w:pPr>
        <w:pStyle w:val="Compact"/>
        <w:numPr>
          <w:ilvl w:val="1"/>
          <w:numId w:val="1227"/>
        </w:numPr>
      </w:pPr>
      <w:r>
        <w:t xml:space="preserve">Professor is the instructor for the class and their email address</w:t>
      </w:r>
    </w:p>
    <w:p>
      <w:pPr>
        <w:pStyle w:val="Compact"/>
        <w:numPr>
          <w:ilvl w:val="1"/>
          <w:numId w:val="1227"/>
        </w:numPr>
      </w:pPr>
      <w:r>
        <w:t xml:space="preserve">Name of the University/Institution is your University/Institution</w:t>
      </w:r>
    </w:p>
    <w:p>
      <w:pPr>
        <w:pStyle w:val="Compact"/>
        <w:numPr>
          <w:ilvl w:val="1"/>
          <w:numId w:val="1227"/>
        </w:numPr>
      </w:pPr>
      <w:r>
        <w:t xml:space="preserve">Date submitted/shipped is the date you ship the samples to AGI</w:t>
      </w:r>
    </w:p>
    <w:p>
      <w:pPr>
        <w:pStyle w:val="Compact"/>
        <w:numPr>
          <w:ilvl w:val="1"/>
          <w:numId w:val="1227"/>
        </w:numPr>
      </w:pPr>
      <w:r>
        <w:t xml:space="preserve">JGI proposal name &amp; number is DS 509937 (already provided)</w:t>
      </w:r>
    </w:p>
    <w:p>
      <w:pPr>
        <w:pStyle w:val="Compact"/>
        <w:numPr>
          <w:ilvl w:val="0"/>
          <w:numId w:val="1225"/>
        </w:numPr>
      </w:pPr>
      <w:r>
        <w:t xml:space="preserve">Fill out Sample Table</w:t>
      </w:r>
    </w:p>
    <w:p>
      <w:pPr>
        <w:pStyle w:val="Compact"/>
        <w:numPr>
          <w:ilvl w:val="1"/>
          <w:numId w:val="1228"/>
        </w:numPr>
      </w:pPr>
      <w:r>
        <w:t xml:space="preserve">Enter requested metadata into the table</w:t>
      </w:r>
    </w:p>
    <w:p>
      <w:pPr>
        <w:pStyle w:val="Compact"/>
        <w:numPr>
          <w:ilvl w:val="1"/>
          <w:numId w:val="1228"/>
        </w:numPr>
      </w:pPr>
      <w:r>
        <w:t xml:space="preserve">Use one row per sample/tube</w:t>
      </w:r>
    </w:p>
    <w:p>
      <w:pPr>
        <w:pStyle w:val="Compact"/>
        <w:numPr>
          <w:ilvl w:val="1"/>
          <w:numId w:val="1228"/>
        </w:numPr>
      </w:pPr>
      <w:r>
        <w:t xml:space="preserve">Insert additional rows if needed</w:t>
      </w:r>
    </w:p>
    <w:p>
      <w:pPr>
        <w:pStyle w:val="Compact"/>
        <w:numPr>
          <w:ilvl w:val="1"/>
          <w:numId w:val="1228"/>
        </w:numPr>
      </w:pPr>
      <w:r>
        <w:t xml:space="preserve">Columns with gray field headers, B and D, will be filled out by JGI</w:t>
      </w:r>
    </w:p>
    <w:p>
      <w:pPr>
        <w:pStyle w:val="Compact"/>
        <w:numPr>
          <w:ilvl w:val="1"/>
          <w:numId w:val="1228"/>
        </w:numPr>
      </w:pPr>
      <w:r>
        <w:t xml:space="preserve">For Column C, Sample Name - please use below convention for naming: [University][Plant][Plant tissue] Metagenome [Sample ID]</w:t>
      </w:r>
    </w:p>
    <w:p>
      <w:pPr>
        <w:pStyle w:val="Compact"/>
        <w:numPr>
          <w:ilvl w:val="1"/>
          <w:numId w:val="1228"/>
        </w:numPr>
      </w:pPr>
      <w:r>
        <w:t xml:space="preserve">Column G is only needed if you are sending more than 22 samples</w:t>
      </w:r>
    </w:p>
    <w:p>
      <w:pPr>
        <w:pStyle w:val="Compact"/>
        <w:numPr>
          <w:ilvl w:val="1"/>
          <w:numId w:val="1228"/>
        </w:numPr>
      </w:pPr>
      <w:r>
        <w:t xml:space="preserve">Student is the full name of student that collected the sample and their email address</w:t>
      </w:r>
    </w:p>
    <w:p>
      <w:pPr>
        <w:pStyle w:val="Compact"/>
        <w:numPr>
          <w:ilvl w:val="1"/>
          <w:numId w:val="1228"/>
        </w:numPr>
      </w:pPr>
      <w:r>
        <w:t xml:space="preserve">Columns with Yellow Header, X-AF, will be filled out by AGI after DNA extraction</w:t>
      </w:r>
    </w:p>
    <w:p>
      <w:pPr>
        <w:pStyle w:val="Compact"/>
        <w:numPr>
          <w:ilvl w:val="0"/>
          <w:numId w:val="1225"/>
        </w:numPr>
      </w:pPr>
      <w:r>
        <w:t xml:space="preserve">Email form to AGI &amp; JGI</w:t>
      </w:r>
    </w:p>
    <w:p>
      <w:pPr>
        <w:pStyle w:val="Compact"/>
        <w:numPr>
          <w:ilvl w:val="1"/>
          <w:numId w:val="1229"/>
        </w:numPr>
      </w:pPr>
      <w:r>
        <w:t xml:space="preserve">Once all required metadata is provided, download a copy to excel</w:t>
      </w:r>
    </w:p>
    <w:p>
      <w:pPr>
        <w:pStyle w:val="Compact"/>
        <w:numPr>
          <w:ilvl w:val="1"/>
          <w:numId w:val="1229"/>
        </w:numPr>
      </w:pPr>
      <w:r>
        <w:t xml:space="preserve">Email a copy to Jayson at (jtalag@ag.arizona.edu ) and Kerrie (kwbarry@lbl.gov).</w:t>
      </w:r>
    </w:p>
    <w:p>
      <w:pPr>
        <w:pStyle w:val="Compact"/>
        <w:numPr>
          <w:ilvl w:val="1"/>
          <w:numId w:val="122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229"/>
        </w:numPr>
      </w:pPr>
      <w:r>
        <w:t xml:space="preserve">Include in your email your name, your college/university, the exact name of your samples (column D) that are ready to ship to AGI (and the rows in this sheet).</w:t>
      </w:r>
    </w:p>
    <w:p>
      <w:pPr>
        <w:pStyle w:val="Compact"/>
        <w:numPr>
          <w:ilvl w:val="1"/>
          <w:numId w:val="1229"/>
        </w:numPr>
      </w:pPr>
      <w:r>
        <w:t xml:space="preserve">Wait for approval/confirmation from AGI &amp; JGI.</w:t>
      </w:r>
    </w:p>
    <w:p>
      <w:pPr>
        <w:pStyle w:val="Compact"/>
        <w:numPr>
          <w:ilvl w:val="2"/>
          <w:numId w:val="1230"/>
        </w:numPr>
      </w:pPr>
      <w:r>
        <w:t xml:space="preserve">If needed make requested changed and email updated copy</w:t>
      </w:r>
    </w:p>
    <w:p>
      <w:pPr>
        <w:pStyle w:val="Compact"/>
        <w:numPr>
          <w:ilvl w:val="0"/>
          <w:numId w:val="1225"/>
        </w:numPr>
      </w:pPr>
      <w:r>
        <w:t xml:space="preserve">Prepare samples for shipment</w:t>
      </w:r>
    </w:p>
    <w:p>
      <w:pPr>
        <w:pStyle w:val="Compact"/>
        <w:numPr>
          <w:ilvl w:val="1"/>
          <w:numId w:val="1231"/>
        </w:numPr>
      </w:pPr>
    </w:p>
    <w:p>
      <w:pPr>
        <w:pStyle w:val="Compact"/>
        <w:numPr>
          <w:ilvl w:val="2"/>
          <w:numId w:val="123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231"/>
        </w:numPr>
      </w:pPr>
      <w:r>
        <w:t xml:space="preserve">Email FEDEX tracking # when your shipment is picked up.</w:t>
      </w:r>
    </w:p>
    <w:p>
      <w:pPr>
        <w:pStyle w:val="Compact"/>
        <w:numPr>
          <w:ilvl w:val="1"/>
          <w:numId w:val="123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219"/>
    <w:bookmarkStart w:id="220"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220"/>
    <w:bookmarkEnd w:id="221"/>
    <w:bookmarkEnd w:id="222"/>
    <w:bookmarkStart w:id="242"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tip.png" id="2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32" w:name="X46999d4e04aaa0bd6e7f1cf0936f3283e50c93c"/>
    <w:p>
      <w:pPr>
        <w:pStyle w:val="Heading2"/>
      </w:pPr>
      <w:r>
        <w:t xml:space="preserve">Module 7.1 – Sexual Reproduction in Ascomycota Genomic Analysis</w:t>
      </w:r>
    </w:p>
    <w:bookmarkStart w:id="225"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25"/>
    <w:bookmarkStart w:id="226" w:name="references"/>
    <w:p>
      <w:pPr>
        <w:pStyle w:val="Heading3"/>
      </w:pPr>
      <w:r>
        <w:t xml:space="preserve">References</w:t>
      </w:r>
    </w:p>
    <w:p>
      <w:pPr>
        <w:pStyle w:val="Compact"/>
        <w:numPr>
          <w:ilvl w:val="0"/>
          <w:numId w:val="1233"/>
        </w:numPr>
      </w:pPr>
      <w:r>
        <w:t xml:space="preserve">Casselton, L.A., Olesnicky, N.S., 1998. Molecular Genetics of Mating Recognition in Basidiomycete Fungi. Microbiol Mol Biol Rev., 62(1): 55–70. doi: 10.1128/mmbr.62.1.55-70.1998</w:t>
      </w:r>
    </w:p>
    <w:p>
      <w:pPr>
        <w:pStyle w:val="Compact"/>
        <w:numPr>
          <w:ilvl w:val="0"/>
          <w:numId w:val="1233"/>
        </w:numPr>
      </w:pPr>
      <w:r>
        <w:t xml:space="preserve">Cambareri, E.B., Singer, M.J., Selker, E.U., 1991. Recurrence of repeat-induced point mutation (RIP) in Neurospora crassa. Genetics, 127(4):699-710. doi: 10.1093/genetics/127.4.699.</w:t>
      </w:r>
    </w:p>
    <w:p>
      <w:pPr>
        <w:pStyle w:val="Compact"/>
        <w:numPr>
          <w:ilvl w:val="0"/>
          <w:numId w:val="1233"/>
        </w:numPr>
      </w:pPr>
      <w:r>
        <w:t xml:space="preserve">Metzenberg, R.L., Glass, N.L., 1990. Mating type and mating strategies in Neurospora. Bioessays. 1990 Feb;12(2):53-9. doi: 10.1002/bies.950120202.</w:t>
      </w:r>
    </w:p>
    <w:bookmarkEnd w:id="226"/>
    <w:bookmarkStart w:id="231" w:name="finding-mat-a"/>
    <w:p>
      <w:pPr>
        <w:pStyle w:val="Heading3"/>
      </w:pPr>
      <w:r>
        <w:t xml:space="preserve">Finding mat A</w:t>
      </w:r>
    </w:p>
    <w:bookmarkStart w:id="227"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23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23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234"/>
        </w:numPr>
      </w:pPr>
      <w:r>
        <w:t xml:space="preserve">Let’s find the location of this gene in the genome! Go to the Neucr2 MycoCosm portal (https://mycocosm.jgi.doe.gov/Neucr2) and search for it using the BLAST tool.</w:t>
      </w:r>
    </w:p>
    <w:p>
      <w:pPr>
        <w:pStyle w:val="Compact"/>
        <w:numPr>
          <w:ilvl w:val="0"/>
          <w:numId w:val="123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234"/>
        </w:numPr>
      </w:pPr>
      <w:r>
        <w:t xml:space="preserve">You should see two hits, each shown in a separate row.</w:t>
      </w:r>
    </w:p>
    <w:p>
      <w:pPr>
        <w:pStyle w:val="Compact"/>
        <w:numPr>
          <w:ilvl w:val="1"/>
          <w:numId w:val="123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235"/>
        </w:numPr>
      </w:pPr>
      <w:r>
        <w:t xml:space="preserve">The second column shows an alignment of that sequence against your query, which is helpful for seeing how well hits cover your query sequence.</w:t>
      </w:r>
    </w:p>
    <w:p>
      <w:pPr>
        <w:pStyle w:val="Compact"/>
        <w:numPr>
          <w:ilvl w:val="1"/>
          <w:numId w:val="1235"/>
        </w:numPr>
      </w:pPr>
      <w:r>
        <w:t xml:space="preserve">The score and EValue columns are also useful when assessing hit quality. Higher scores are better, and conversely, lower e-values are better.</w:t>
      </w:r>
    </w:p>
    <w:p>
      <w:pPr>
        <w:pStyle w:val="Compact"/>
        <w:numPr>
          <w:ilvl w:val="0"/>
          <w:numId w:val="123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23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23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23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23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23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23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23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234"/>
        </w:numPr>
      </w:pPr>
      <w:r>
        <w:t xml:space="preserve">Using the information on the protein page, can you find mat A-2 and mat-A3?</w:t>
      </w:r>
    </w:p>
    <w:p>
      <w:pPr>
        <w:pStyle w:val="Compact"/>
        <w:numPr>
          <w:ilvl w:val="0"/>
          <w:numId w:val="1234"/>
        </w:numPr>
      </w:pPr>
      <w:r>
        <w:t xml:space="preserve">At the mating type locus, do you notice anything interesting when exploring the read depth coverage plots (pink tracks) from related Neurospora genomes?</w:t>
      </w:r>
    </w:p>
    <w:p>
      <w:pPr>
        <w:pStyle w:val="Compact"/>
        <w:numPr>
          <w:ilvl w:val="0"/>
          <w:numId w:val="123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27"/>
    <w:bookmarkStart w:id="228"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23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23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23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23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23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23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28"/>
    <w:bookmarkStart w:id="229"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23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237"/>
        </w:numPr>
      </w:pPr>
      <w:r>
        <w:t xml:space="preserve">Let’s find it on the mat a genome portal you found earlier for N. tetrasperma strain FGSC 2509, (https://mycocosm.jgi.doe.gov/Neute_mat_a1).</w:t>
      </w:r>
    </w:p>
    <w:p>
      <w:pPr>
        <w:pStyle w:val="Compact"/>
        <w:numPr>
          <w:ilvl w:val="0"/>
          <w:numId w:val="123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237"/>
        </w:numPr>
      </w:pPr>
      <w:r>
        <w:t xml:space="preserve">The best hit is to N. tetrasperma protein ID 124723, can you explain why?</w:t>
      </w:r>
    </w:p>
    <w:p>
      <w:pPr>
        <w:pStyle w:val="Compact"/>
        <w:numPr>
          <w:ilvl w:val="0"/>
          <w:numId w:val="1237"/>
        </w:numPr>
      </w:pPr>
      <w:r>
        <w:t xml:space="preserve">Let’s revisit the Neucr2 mcl clustering page and search for this, again by typing portalID.proteinID (e.g. Neute_mat_a1.124723) in the search field.</w:t>
      </w:r>
    </w:p>
    <w:p>
      <w:pPr>
        <w:pStyle w:val="Compact"/>
        <w:numPr>
          <w:ilvl w:val="0"/>
          <w:numId w:val="123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237"/>
        </w:numPr>
      </w:pPr>
      <w:r>
        <w:t xml:space="preserve">It looks like our mat a gene is found in a region that is not present in any of the others, which are all the opposite mating type (mat A)!</w:t>
      </w:r>
    </w:p>
    <w:p>
      <w:pPr>
        <w:pStyle w:val="Compact"/>
        <w:numPr>
          <w:ilvl w:val="0"/>
          <w:numId w:val="1237"/>
        </w:numPr>
      </w:pPr>
      <w:r>
        <w:t xml:space="preserve">With this information, we can say that all our current evidence supports our hypothesis that fungal mating types are driven by presence/absence of specific genes, mat a and A in particular!</w:t>
      </w:r>
    </w:p>
    <w:bookmarkEnd w:id="229"/>
    <w:bookmarkStart w:id="230"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23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23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238"/>
        </w:numPr>
      </w:pPr>
      <w:r>
        <w:t xml:space="preserve">Go through the same exercise to search mcl clusters. Do you see a similar pattern to what we observed in N. crassa?</w:t>
      </w:r>
    </w:p>
    <w:p>
      <w:pPr>
        <w:pStyle w:val="Compact"/>
        <w:numPr>
          <w:ilvl w:val="0"/>
          <w:numId w:val="123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23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23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23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23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30"/>
    <w:bookmarkEnd w:id="231"/>
    <w:bookmarkEnd w:id="232"/>
    <w:bookmarkStart w:id="241" w:name="Xe7b646958662d93788a5fac43551e0623449021"/>
    <w:p>
      <w:pPr>
        <w:pStyle w:val="Heading2"/>
      </w:pPr>
      <w:r>
        <w:t xml:space="preserve">Module 7.2 – Fungal Natural Product Production Genomic Analysis</w:t>
      </w:r>
    </w:p>
    <w:bookmarkStart w:id="233"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33"/>
    <w:bookmarkStart w:id="234" w:name="references-1"/>
    <w:p>
      <w:pPr>
        <w:pStyle w:val="Heading3"/>
      </w:pPr>
      <w:r>
        <w:t xml:space="preserve">References</w:t>
      </w:r>
    </w:p>
    <w:p>
      <w:pPr>
        <w:pStyle w:val="Compact"/>
        <w:numPr>
          <w:ilvl w:val="0"/>
          <w:numId w:val="123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239"/>
        </w:numPr>
      </w:pPr>
      <w:r>
        <w:t xml:space="preserve">Seenivasan, A., Subhagar, S., Aravindan, R., Viruthagiri, T., 2008. Microbial Production and Biomedical Applications of Lovastatin. Indian J Pharm Sci. 2008, doi: 10.4103/0250-474X.49087</w:t>
      </w:r>
    </w:p>
    <w:p>
      <w:pPr>
        <w:pStyle w:val="Compact"/>
        <w:numPr>
          <w:ilvl w:val="0"/>
          <w:numId w:val="123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239"/>
        </w:numPr>
      </w:pPr>
      <w:r>
        <w:t xml:space="preserve">Strieker, M., Tanovic, A., Marahiel, M.A., 2010. Nonribosomal peptide synthetases: structures and dynamics. Current Opinion in Structural Biology 2010, 20:234–240</w:t>
      </w:r>
    </w:p>
    <w:p>
      <w:pPr>
        <w:pStyle w:val="Compact"/>
        <w:numPr>
          <w:ilvl w:val="0"/>
          <w:numId w:val="1239"/>
        </w:numPr>
      </w:pPr>
      <w:r>
        <w:t xml:space="preserve">Keller, N., 2019. Fungal secondary metabolism: regulation, function and drug discovery. Nature Reviews Microbiology, 17(3): 167–180. doi: 10.1038/s41579-018-0121-1</w:t>
      </w:r>
    </w:p>
    <w:bookmarkEnd w:id="234"/>
    <w:bookmarkStart w:id="237" w:name="X31643484012ee51f67fd2def9a4608ddd3c7490"/>
    <w:p>
      <w:pPr>
        <w:pStyle w:val="Heading3"/>
      </w:pPr>
      <w:r>
        <w:t xml:space="preserve">Finding the Penicillin Biosynthetic Gene Cluster</w:t>
      </w:r>
    </w:p>
    <w:bookmarkStart w:id="235" w:name="X27e5a65183f9483aec43514a5289c555b8e099a"/>
    <w:p>
      <w:pPr>
        <w:pStyle w:val="Heading4"/>
      </w:pPr>
      <w:r>
        <w:t xml:space="preserve">Locate the known cluster in P. chrysogenum</w:t>
      </w:r>
    </w:p>
    <w:p>
      <w:pPr>
        <w:pStyle w:val="Compact"/>
        <w:numPr>
          <w:ilvl w:val="0"/>
          <w:numId w:val="124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24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24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24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24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240"/>
        </w:numPr>
      </w:pPr>
      <w:r>
        <w:t xml:space="preserve">You should see a single hit! Click on the coordinates to view this region of the genome.</w:t>
      </w:r>
    </w:p>
    <w:p>
      <w:pPr>
        <w:pStyle w:val="Compact"/>
        <w:numPr>
          <w:ilvl w:val="0"/>
          <w:numId w:val="1240"/>
        </w:numPr>
      </w:pPr>
      <w:r>
        <w:t xml:space="preserve">Of course, we are searching for DNA that is mostly found in between these penicillin-related genes. Click -10x to get a bigger view of this locus.</w:t>
      </w:r>
    </w:p>
    <w:p>
      <w:pPr>
        <w:pStyle w:val="Compact"/>
        <w:numPr>
          <w:ilvl w:val="0"/>
          <w:numId w:val="124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24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24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35"/>
    <w:bookmarkStart w:id="236" w:name="X3367d9de4d4452f0e4500f817aabeb87e960cf9"/>
    <w:p>
      <w:pPr>
        <w:pStyle w:val="Heading4"/>
      </w:pPr>
      <w:r>
        <w:t xml:space="preserve">Find candidate Penicillin BGCs in related fungi</w:t>
      </w:r>
    </w:p>
    <w:p>
      <w:pPr>
        <w:pStyle w:val="Compact"/>
        <w:numPr>
          <w:ilvl w:val="0"/>
          <w:numId w:val="1241"/>
        </w:numPr>
      </w:pPr>
      <w:r>
        <w:t xml:space="preserve">With our NRPS bait in hand, let’s try to fish out similar genes in related fungi! But before we do, do you have any hypotheses about how often it will be found?</w:t>
      </w:r>
    </w:p>
    <w:p>
      <w:pPr>
        <w:pStyle w:val="Compact"/>
        <w:numPr>
          <w:ilvl w:val="0"/>
          <w:numId w:val="124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24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24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24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24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24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241"/>
        </w:numPr>
      </w:pPr>
      <w:r>
        <w:t xml:space="preserve">Can you find where hit quality begins to drop off? You can see by just looking at the top 10 that quality drops off really fast!</w:t>
      </w:r>
    </w:p>
    <w:p>
      <w:pPr>
        <w:pStyle w:val="Compact"/>
        <w:numPr>
          <w:ilvl w:val="0"/>
          <w:numId w:val="124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24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24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24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24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24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24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24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24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24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24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24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36"/>
    <w:bookmarkEnd w:id="237"/>
    <w:bookmarkStart w:id="240" w:name="characterize-myco-ed-bgcs"/>
    <w:p>
      <w:pPr>
        <w:pStyle w:val="Heading3"/>
      </w:pPr>
      <w:r>
        <w:t xml:space="preserve">Characterize Myco-Ed BGCs</w:t>
      </w:r>
    </w:p>
    <w:bookmarkStart w:id="238"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24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24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242"/>
        </w:numPr>
      </w:pPr>
      <w:r>
        <w:t xml:space="preserve">Let’s set a goal to describe the distribution of fungal BGC backbone genes, following the same workflow you just did for penicillin.</w:t>
      </w:r>
    </w:p>
    <w:p>
      <w:pPr>
        <w:pStyle w:val="Compact"/>
        <w:numPr>
          <w:ilvl w:val="0"/>
          <w:numId w:val="124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24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24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24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24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24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24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38"/>
    <w:bookmarkStart w:id="239" w:name="annotate-them"/>
    <w:p>
      <w:pPr>
        <w:pStyle w:val="Heading4"/>
      </w:pPr>
      <w:r>
        <w:t xml:space="preserve">Annotate them!</w:t>
      </w:r>
    </w:p>
    <w:p>
      <w:pPr>
        <w:pStyle w:val="Compact"/>
        <w:numPr>
          <w:ilvl w:val="0"/>
          <w:numId w:val="124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24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24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39"/>
    <w:bookmarkEnd w:id="240"/>
    <w:bookmarkEnd w:id="241"/>
    <w:bookmarkEnd w:id="242"/>
    <w:bookmarkStart w:id="244"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43">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44"/>
    <w:bookmarkStart w:id="245" w:name="carlos-c.-goller"/>
    <w:p>
      <w:pPr>
        <w:pStyle w:val="Heading1"/>
      </w:pPr>
      <w:r>
        <w:t xml:space="preserve">1. Carlos C. Goller</w:t>
      </w:r>
    </w:p>
    <w:bookmarkEnd w:id="245"/>
    <w:bookmarkStart w:id="248"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46"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46"/>
    <w:bookmarkStart w:id="247"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47"/>
    <w:bookmarkEnd w:id="248"/>
    <w:bookmarkStart w:id="255" w:name="references-2"/>
    <w:p>
      <w:pPr>
        <w:pStyle w:val="Heading1"/>
      </w:pPr>
      <w:r>
        <w:t xml:space="preserve">References</w:t>
      </w:r>
    </w:p>
    <w:bookmarkStart w:id="249" w:name="workbook-references"/>
    <w:p>
      <w:pPr>
        <w:pStyle w:val="Heading2"/>
      </w:pPr>
      <w:r>
        <w:t xml:space="preserve">Workbook References</w:t>
      </w:r>
    </w:p>
    <w:p>
      <w:pPr>
        <w:pStyle w:val="Compact"/>
        <w:numPr>
          <w:ilvl w:val="0"/>
          <w:numId w:val="1244"/>
        </w:numPr>
      </w:pPr>
      <w:r>
        <w:t xml:space="preserve">Honan, A., Wilson, A., Cobian, G., Branco, S., Mondo, S., Barry, K., Gremillion, S., Avis, P., Stewart, J., Dow, E., Knight, C., LaButti, K., Quandt, A., Talag, J., and Lofgren, L., 2025. Myco-Ed Protocols Booklet. protocols.io. https://doi.org/10.17504/protocols.io.rm7vzqd5xvx1/v1</w:t>
      </w:r>
    </w:p>
    <w:p>
      <w:pPr>
        <w:pStyle w:val="Compact"/>
        <w:numPr>
          <w:ilvl w:val="0"/>
          <w:numId w:val="1244"/>
        </w:numPr>
      </w:pPr>
      <w:r>
        <w:t xml:space="preserve">Hardy Diagnostics, 2026. BlueMount Permanent Fungal Stain, Lactophenol Cotton Blue with PVA (Cat. Z137): Product protocol and instructions. https://www.hardydiagnostics.com/assets/pdf/BlueMount_Permanent_Fungal_Stain_Lactophenol_Cotton_Blue_with_PVA.pdf</w:t>
      </w:r>
    </w:p>
    <w:bookmarkEnd w:id="249"/>
    <w:bookmarkStart w:id="254" w:name="module-7.1-references"/>
    <w:p>
      <w:pPr>
        <w:pStyle w:val="Heading2"/>
      </w:pPr>
      <w:r>
        <w:t xml:space="preserve">Module 7.1 References</w:t>
      </w:r>
    </w:p>
    <w:p>
      <w:pPr>
        <w:pStyle w:val="Compact"/>
        <w:numPr>
          <w:ilvl w:val="0"/>
          <w:numId w:val="1245"/>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245"/>
        </w:numPr>
      </w:pPr>
      <w:r>
        <w:t xml:space="preserve">Cambareri, E.B., Singer, M.J., Selker, E.U., 1991. Recurrence of repeat-induced point mutation (RIP) in Neurospora crassa. Genetics, 127(4): 699-710. https://doi.org/10.1093/genetics/127.4.699</w:t>
      </w:r>
    </w:p>
    <w:p>
      <w:pPr>
        <w:pStyle w:val="Compact"/>
        <w:numPr>
          <w:ilvl w:val="0"/>
          <w:numId w:val="1245"/>
        </w:numPr>
      </w:pPr>
      <w:r>
        <w:t xml:space="preserve">Metzenberg, R.L., Glass, N.L., 1990. Mating type and mating strategies in Neurospora. BioEssays, 12(2): 53-59. https://doi.org/10.1002/bies.950120202</w:t>
      </w:r>
    </w:p>
    <w:bookmarkStart w:id="253" w:name="refs"/>
    <w:bookmarkStart w:id="250"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50"/>
    <w:bookmarkStart w:id="252"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51">
        <w:r>
          <w:rPr>
            <w:rStyle w:val="Hyperlink"/>
          </w:rPr>
          <w:t xml:space="preserve">https://doi.org/10.17504/protocols.io.rm7vzqd5xvx1/v1</w:t>
        </w:r>
      </w:hyperlink>
      <w:r>
        <w:t xml:space="preserve">.</w:t>
      </w:r>
    </w:p>
    <w:bookmarkEnd w:id="252"/>
    <w:bookmarkEnd w:id="253"/>
    <w:bookmarkEnd w:id="254"/>
    <w:bookmarkEnd w:id="2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1" Target="media/rId111.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49" Target="media/rId149.png" /><Relationship Type="http://schemas.openxmlformats.org/officeDocument/2006/relationships/image" Id="rId127" Target="media/rId127.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156" Target="media/rId156.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1"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3"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1"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3"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2026-05-31T23:36:50Z</dcterms:created>
  <dcterms:modified xsi:type="dcterms:W3CDTF">2026-05-31T23:36:50Z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