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1.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4"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e5844f5ab285a87da3d858a2098466979cff330"/>
    <w:p>
      <w:pPr>
        <w:pStyle w:val="Heading2"/>
      </w:pPr>
      <w:r>
        <w:t xml:space="preserve">Module 4.1 – ITS Amplification, Sanger Sequencing, Nanopore Sequencing Resources</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1"/>
          <w:numId w:val="1209"/>
        </w:numPr>
      </w:pPr>
      <w:r>
        <w:t xml:space="preserve">5.8SR: 5’-CGCTGCGTTCTTCATCG-3’</w:t>
      </w:r>
    </w:p>
    <w:p>
      <w:pPr>
        <w:pStyle w:val="Compact"/>
        <w:numPr>
          <w:ilvl w:val="1"/>
          <w:numId w:val="1209"/>
        </w:numPr>
      </w:pPr>
      <w:r>
        <w:t xml:space="preserve">fITS7: 5’-GTGARTCATCGAATCTTTG-3’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Sizing DNA Ladder (ThermoFisher, 10488100)</w:t>
      </w:r>
    </w:p>
    <w:p>
      <w:pPr>
        <w:pStyle w:val="Compact"/>
        <w:numPr>
          <w:ilvl w:val="0"/>
          <w:numId w:val="1215"/>
        </w:numPr>
      </w:pPr>
      <w:r>
        <w:t xml:space="preserve">DNA quantification system (for example, Qubit Fluorometer with dsDNA HS Assay Kit, ThermoFisher, Q32851)</w:t>
      </w:r>
    </w:p>
    <w:p>
      <w:pPr>
        <w:pStyle w:val="Compact"/>
        <w:numPr>
          <w:ilvl w:val="0"/>
          <w:numId w:val="1216"/>
        </w:numPr>
      </w:pPr>
      <w:r>
        <w:t xml:space="preserve">Access to Sanger sequencing services (for example, Genewiz, Eurofins, Eton, or similar provider).</w:t>
      </w:r>
    </w:p>
    <w:p>
      <w:pPr>
        <w:pStyle w:val="Compact"/>
        <w:numPr>
          <w:ilvl w:val="0"/>
          <w:numId w:val="1217"/>
        </w:numPr>
      </w:pPr>
      <w:r>
        <w:t xml:space="preserve">Rapid Barcoding Kit v14 (Oxford Nanopore Technologies), SQK-RBK114.24 or similar kit for long-read sequencing (optional)</w:t>
      </w:r>
    </w:p>
    <w:p>
      <w:pPr>
        <w:pStyle w:val="Compact"/>
        <w:numPr>
          <w:ilvl w:val="0"/>
          <w:numId w:val="1218"/>
        </w:numPr>
      </w:pPr>
      <w:r>
        <w:t xml:space="preserve">MinION sequencing device</w:t>
      </w:r>
    </w:p>
    <w:p>
      <w:pPr>
        <w:pStyle w:val="Compact"/>
        <w:numPr>
          <w:ilvl w:val="0"/>
          <w:numId w:val="1219"/>
        </w:numPr>
      </w:pPr>
      <w:r>
        <w:t xml:space="preserve">MinION flow cells (R10.4.1 or similar, Oxford Nanopore Technologies, FLO-MIN114)</w:t>
      </w:r>
    </w:p>
    <w:p>
      <w:pPr>
        <w:pStyle w:val="Compact"/>
        <w:numPr>
          <w:ilvl w:val="0"/>
          <w:numId w:val="1220"/>
        </w:numPr>
      </w:pPr>
      <w:r>
        <w:t xml:space="preserve">Ultrapure BSA 50mg/ml (ThermoFisher, AM2616) for long-read sequencing</w:t>
      </w:r>
    </w:p>
    <w:p>
      <w:pPr>
        <w:pStyle w:val="Compact"/>
        <w:numPr>
          <w:ilvl w:val="0"/>
          <w:numId w:val="1221"/>
        </w:numPr>
      </w:pPr>
      <w:r>
        <w:t xml:space="preserve">1.5mL microcentrifuge tubes (Eppendorf DNA LoBind) for long-read sequencing</w:t>
      </w:r>
    </w:p>
    <w:p>
      <w:pPr>
        <w:pStyle w:val="Compact"/>
        <w:numPr>
          <w:ilvl w:val="0"/>
          <w:numId w:val="1222"/>
        </w:numPr>
      </w:pPr>
      <w:r>
        <w:t xml:space="preserve">Magnetic rack for 1.5ml microcentrifuge tubes (for example, ThermoFisher DynaMag-2, 12321D) for long-read sequencing</w:t>
      </w:r>
    </w:p>
    <w:p>
      <w:pPr>
        <w:pStyle w:val="Compact"/>
        <w:numPr>
          <w:ilvl w:val="0"/>
          <w:numId w:val="1223"/>
        </w:numPr>
      </w:pPr>
      <w:r>
        <w:t xml:space="preserve">Nuclease-free water and 100% ethanol to prepare 80% ethanol for long-read sequencing</w:t>
      </w:r>
    </w:p>
    <w:p>
      <w:pPr>
        <w:pStyle w:val="FirstParagraph"/>
      </w:pPr>
      <w:r>
        <w:rPr>
          <w:b/>
          <w:bCs/>
        </w:rPr>
        <w:t xml:space="preserve">Dilute and Prepare PCR Primers</w:t>
      </w:r>
      <w:r>
        <w:t xml:space="preserve"> </w:t>
      </w:r>
      <w:r>
        <w:t xml:space="preserve">- [ ] Verify the primers are correct and received at 100 µM. Label the tubes as</w:t>
      </w:r>
      <w:r>
        <w:t xml:space="preserve"> </w:t>
      </w:r>
      <w:r>
        <w:t xml:space="preserve">“Primer Stocks.”</w:t>
      </w:r>
      <w:r>
        <w:t xml:space="preserve"> </w:t>
      </w:r>
      <w:r>
        <w:t xml:space="preserve">- [ ] Label the tube according to the primer being added.</w:t>
      </w:r>
      <w:r>
        <w:t xml:space="preserve"> </w:t>
      </w:r>
      <w:r>
        <w:t xml:space="preserve">- [ ] Make 10 µM working stocks by diluting 20 µl of primer stock into 180 µl nuclease water.</w:t>
      </w:r>
    </w:p>
    <w:p>
      <w:pPr>
        <w:pStyle w:val="BodyText"/>
      </w:pPr>
      <w:r>
        <w:rPr>
          <w:b/>
          <w:bCs/>
        </w:rPr>
        <w:t xml:space="preserve">Prepare Metapolyzyme and DNA Extraction Reagents</w:t>
      </w:r>
    </w:p>
    <w:p>
      <w:pPr>
        <w:pStyle w:val="Compact"/>
        <w:numPr>
          <w:ilvl w:val="0"/>
          <w:numId w:val="1224"/>
        </w:numPr>
      </w:pPr>
      <w:r>
        <w:t xml:space="preserve">Dissolve Metapolyzyme vial in 100 µl of DNA-free PBS. Note that 10 µl of metapolyzyme is used per sample. You may need more than one vial.</w:t>
      </w:r>
    </w:p>
    <w:p>
      <w:pPr>
        <w:pStyle w:val="Compact"/>
        <w:numPr>
          <w:ilvl w:val="0"/>
          <w:numId w:val="1225"/>
        </w:numPr>
      </w:pPr>
      <w:r>
        <w:t xml:space="preserve">Distribute spin columns, Lo-bind tubes, collection tubes, TE buffer, PBS, and elution buffer to each group (enough for the number of samples per group)</w:t>
      </w:r>
    </w:p>
    <w:p>
      <w:pPr>
        <w:pStyle w:val="Compact"/>
        <w:numPr>
          <w:ilvl w:val="0"/>
          <w:numId w:val="1226"/>
        </w:numPr>
      </w:pPr>
      <w:r>
        <w:t xml:space="preserve">Prepare gel electrophoresis systems, loading dye, and DNA ladder as needed.</w:t>
      </w:r>
    </w:p>
    <w:p>
      <w:pPr>
        <w:pStyle w:val="Compact"/>
        <w:numPr>
          <w:ilvl w:val="0"/>
          <w:numId w:val="1227"/>
        </w:numPr>
      </w:pPr>
      <w:r>
        <w:t xml:space="preserve">Prepare PCR cleanup or NEB Exo-CIP™ Rapid PCR Cleanup Kit.</w:t>
      </w:r>
    </w:p>
    <w:p>
      <w:pPr>
        <w:pStyle w:val="Compact"/>
        <w:numPr>
          <w:ilvl w:val="0"/>
          <w:numId w:val="1228"/>
        </w:numPr>
      </w:pPr>
      <w:r>
        <w:t xml:space="preserve">Prepare materials for Sanger sequencing.</w:t>
      </w:r>
    </w:p>
    <w:p>
      <w:pPr>
        <w:pStyle w:val="Compact"/>
        <w:numPr>
          <w:ilvl w:val="0"/>
          <w:numId w:val="1229"/>
        </w:numPr>
      </w:pPr>
      <w:r>
        <w:t xml:space="preserve">Prepare Oxford Nanopore Technologies (ONT) device, flow cell(s), and kit.</w:t>
      </w:r>
    </w:p>
    <w:bookmarkEnd w:id="178"/>
    <w:bookmarkEnd w:id="179"/>
    <w:bookmarkEnd w:id="180"/>
    <w:bookmarkStart w:id="203" w:name="Xe4cb1c0c8a8296d9b573394530302419b9cfe99"/>
    <w:p>
      <w:pPr>
        <w:pStyle w:val="Heading2"/>
      </w:pPr>
      <w:r>
        <w:t xml:space="preserve">Module 4.2 – ITS Amplification and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0"/>
        </w:numPr>
      </w:pPr>
      <w:r>
        <w:t xml:space="preserve">Practice extracting fungal DNA</w:t>
      </w:r>
    </w:p>
    <w:p>
      <w:pPr>
        <w:pStyle w:val="Compact"/>
        <w:numPr>
          <w:ilvl w:val="0"/>
          <w:numId w:val="1230"/>
        </w:numPr>
      </w:pPr>
      <w:r>
        <w:t xml:space="preserve">Successfully PCR amplify fungal ITS</w:t>
      </w:r>
    </w:p>
    <w:p>
      <w:pPr>
        <w:pStyle w:val="Compact"/>
        <w:numPr>
          <w:ilvl w:val="0"/>
          <w:numId w:val="1230"/>
        </w:numPr>
      </w:pPr>
      <w:r>
        <w:t xml:space="preserve">Learn to BLAST ITS sequence to identify fungal isolates</w:t>
      </w:r>
    </w:p>
    <w:bookmarkEnd w:id="182"/>
    <w:bookmarkStart w:id="187" w:name="part-i-its-pcr-amplification"/>
    <w:p>
      <w:pPr>
        <w:pStyle w:val="Heading3"/>
      </w:pPr>
      <w:r>
        <w:t xml:space="preserve">Part I: ITS PCR Amplification</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1"/>
    <w:p>
      <w:pPr>
        <w:pStyle w:val="Heading4"/>
      </w:pPr>
      <w:r>
        <w:t xml:space="preserve">Materials</w:t>
      </w:r>
    </w:p>
    <w:p>
      <w:pPr>
        <w:pStyle w:val="Compact"/>
        <w:numPr>
          <w:ilvl w:val="0"/>
          <w:numId w:val="1231"/>
        </w:numPr>
      </w:pPr>
      <w:r>
        <w:t xml:space="preserve">Fungal isolates</w:t>
      </w:r>
    </w:p>
    <w:p>
      <w:pPr>
        <w:pStyle w:val="Compact"/>
        <w:numPr>
          <w:ilvl w:val="0"/>
          <w:numId w:val="1232"/>
        </w:numPr>
      </w:pPr>
      <w:r>
        <w:t xml:space="preserve">P1000 micropipette tips (sterile)</w:t>
      </w:r>
    </w:p>
    <w:p>
      <w:pPr>
        <w:pStyle w:val="Compact"/>
        <w:numPr>
          <w:ilvl w:val="0"/>
          <w:numId w:val="1233"/>
        </w:numPr>
      </w:pPr>
      <w:r>
        <w:t xml:space="preserve">0.2 mL PCR tubes</w:t>
      </w:r>
    </w:p>
    <w:p>
      <w:pPr>
        <w:pStyle w:val="Compact"/>
        <w:numPr>
          <w:ilvl w:val="0"/>
          <w:numId w:val="1234"/>
        </w:numPr>
      </w:pPr>
      <w:r>
        <w:t xml:space="preserve">P10, P20, P200, and P1000 micropipettes with tips</w:t>
      </w:r>
    </w:p>
    <w:p>
      <w:pPr>
        <w:pStyle w:val="Compact"/>
        <w:numPr>
          <w:ilvl w:val="0"/>
          <w:numId w:val="1235"/>
        </w:numPr>
      </w:pPr>
      <w:r>
        <w:t xml:space="preserve">Q5 Hot Start High-Fidelity 2X Master Mix (New England BioLabs, M0494S)</w:t>
      </w:r>
    </w:p>
    <w:p>
      <w:pPr>
        <w:pStyle w:val="Compact"/>
        <w:numPr>
          <w:ilvl w:val="0"/>
          <w:numId w:val="1236"/>
        </w:numPr>
      </w:pPr>
      <w:r>
        <w:t xml:space="preserve">DNA extraction kit (New England BioLabs, Monarch® Spin gDNA Extraction Kit, T3010S)</w:t>
      </w:r>
    </w:p>
    <w:p>
      <w:pPr>
        <w:pStyle w:val="Compact"/>
        <w:numPr>
          <w:ilvl w:val="0"/>
          <w:numId w:val="1237"/>
        </w:numPr>
      </w:pPr>
      <w:r>
        <w:t xml:space="preserve">Sterile loops</w:t>
      </w:r>
    </w:p>
    <w:p>
      <w:pPr>
        <w:pStyle w:val="Compact"/>
        <w:numPr>
          <w:ilvl w:val="0"/>
          <w:numId w:val="1238"/>
        </w:numPr>
      </w:pPr>
      <w:r>
        <w:t xml:space="preserve">DNA quantification system (for example, Qubit Fluorometer with dsDNA HS Assay Kit, ThermoFisher, Q32851)</w:t>
      </w:r>
    </w:p>
    <w:p>
      <w:pPr>
        <w:pStyle w:val="Compact"/>
        <w:numPr>
          <w:ilvl w:val="0"/>
          <w:numId w:val="1239"/>
        </w:numPr>
      </w:pPr>
      <w:r>
        <w:t xml:space="preserve">Nuclease-free water</w:t>
      </w:r>
    </w:p>
    <w:p>
      <w:pPr>
        <w:pStyle w:val="Compact"/>
        <w:numPr>
          <w:ilvl w:val="0"/>
          <w:numId w:val="1240"/>
        </w:numPr>
      </w:pPr>
      <w:r>
        <w:t xml:space="preserve">NEB Exo Cip™ Rapid PCR Cleanup Kit (New England BioLabs, E1050S)</w:t>
      </w:r>
    </w:p>
    <w:p>
      <w:pPr>
        <w:pStyle w:val="Compact"/>
        <w:numPr>
          <w:ilvl w:val="0"/>
          <w:numId w:val="1241"/>
        </w:numPr>
      </w:pPr>
      <w:r>
        <w:t xml:space="preserve">Thermocycler capable of reaching 95 °C</w:t>
      </w:r>
    </w:p>
    <w:bookmarkEnd w:id="184"/>
    <w:bookmarkStart w:id="185"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2"/>
        </w:numPr>
      </w:pPr>
      <w:r>
        <w:t xml:space="preserve">Using a P1000 tip, gently scratch the fungal culture to collect a small amount of mycelium.</w:t>
      </w:r>
    </w:p>
    <w:p>
      <w:pPr>
        <w:pStyle w:val="Compact"/>
        <w:numPr>
          <w:ilvl w:val="0"/>
          <w:numId w:val="1242"/>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2"/>
        </w:numPr>
      </w:pPr>
      <w:r>
        <w:t xml:space="preserve">Vortex to mix and then centrifuge briefly to collect the sample at the bottom of the tube.</w:t>
      </w:r>
    </w:p>
    <w:p>
      <w:pPr>
        <w:pStyle w:val="Compact"/>
        <w:numPr>
          <w:ilvl w:val="0"/>
          <w:numId w:val="1242"/>
        </w:numPr>
      </w:pPr>
      <w:r>
        <w:t xml:space="preserve">Place the tube in a thermocycler at 95 °C for 10 minutes and then 4 °C for 5 minutes. This will lyse the cells and release the DNA into the solution.</w:t>
      </w:r>
    </w:p>
    <w:p>
      <w:pPr>
        <w:pStyle w:val="Compact"/>
        <w:numPr>
          <w:ilvl w:val="0"/>
          <w:numId w:val="1242"/>
        </w:numPr>
      </w:pPr>
      <w:r>
        <w:t xml:space="preserve">Centrifuge the tube at maximum speed for 1 minute to pellet the cell debris.</w:t>
      </w:r>
    </w:p>
    <w:p>
      <w:pPr>
        <w:pStyle w:val="Compact"/>
        <w:numPr>
          <w:ilvl w:val="0"/>
          <w:numId w:val="1242"/>
        </w:numPr>
      </w:pPr>
      <w:r>
        <w:t xml:space="preserve">Carefully transfer 5.00 ul of the supernatant (which contains the DNA) to a new labeled PCR tube.</w:t>
      </w:r>
    </w:p>
    <w:p>
      <w:pPr>
        <w:pStyle w:val="Compact"/>
        <w:numPr>
          <w:ilvl w:val="0"/>
          <w:numId w:val="1242"/>
        </w:numPr>
      </w:pPr>
      <w:r>
        <w:t xml:space="preserve">Create a mastermix with your group that includes the following components for each reaction (50.00 µL total volume):</w:t>
      </w:r>
    </w:p>
    <w:p>
      <w:pPr>
        <w:pStyle w:val="Compact"/>
        <w:numPr>
          <w:ilvl w:val="1"/>
          <w:numId w:val="1243"/>
        </w:numPr>
      </w:pPr>
      <w:r>
        <w:t xml:space="preserve">25.00 µL of Q5 Hot Start High-Fidelity 2X Master Mix</w:t>
      </w:r>
    </w:p>
    <w:p>
      <w:pPr>
        <w:pStyle w:val="Compact"/>
        <w:numPr>
          <w:ilvl w:val="1"/>
          <w:numId w:val="1243"/>
        </w:numPr>
      </w:pPr>
      <w:r>
        <w:t xml:space="preserve">2.50 µL of forward primer (10 pmol/µL)</w:t>
      </w:r>
    </w:p>
    <w:p>
      <w:pPr>
        <w:pStyle w:val="Compact"/>
        <w:numPr>
          <w:ilvl w:val="1"/>
          <w:numId w:val="1243"/>
        </w:numPr>
      </w:pPr>
      <w:r>
        <w:t xml:space="preserve">2.50 µL of reverse primer (10 pmol/µL)</w:t>
      </w:r>
    </w:p>
    <w:p>
      <w:pPr>
        <w:pStyle w:val="Compact"/>
        <w:numPr>
          <w:ilvl w:val="1"/>
          <w:numId w:val="1243"/>
        </w:numPr>
      </w:pPr>
      <w:r>
        <w:t xml:space="preserve">10.00 µL of nuclease free water</w:t>
      </w:r>
    </w:p>
    <w:p>
      <w:pPr>
        <w:pStyle w:val="Compact"/>
        <w:numPr>
          <w:ilvl w:val="0"/>
          <w:numId w:val="1242"/>
        </w:numPr>
      </w:pPr>
      <w:r>
        <w:t xml:space="preserve">Aliquot 45.00 µL of your prepared mastermix into 0.2 mL snap-cap PCR tubes.</w:t>
      </w:r>
    </w:p>
    <w:p>
      <w:pPr>
        <w:pStyle w:val="Compact"/>
        <w:numPr>
          <w:ilvl w:val="0"/>
          <w:numId w:val="1242"/>
        </w:numPr>
      </w:pPr>
      <w:r>
        <w:t xml:space="preserve">Add 5.00 µL of your extracted DNA to the PCR tube containing the mastermix. Be sure to use a new pipette tip for each sample to avoid cross-contamination.</w:t>
      </w:r>
    </w:p>
    <w:p>
      <w:pPr>
        <w:pStyle w:val="Compact"/>
        <w:numPr>
          <w:ilvl w:val="0"/>
          <w:numId w:val="1242"/>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4"/>
        </w:numPr>
      </w:pPr>
      <w:r>
        <w:t xml:space="preserve">After the PCR program is complete, follow the ExoCIP protocol to prepare your DNA for Sanger sequencing. Then, store your PCR products at -20 °C.</w:t>
      </w:r>
    </w:p>
    <w:p>
      <w:pPr>
        <w:pStyle w:val="Compact"/>
        <w:numPr>
          <w:ilvl w:val="0"/>
          <w:numId w:val="1244"/>
        </w:numPr>
      </w:pPr>
      <w:r>
        <w:t xml:space="preserve">Transfer 5.00 µl of PCR product to a new PCR tube and add 1.00 µl of Exo-CIP A and 1.00 µl of Exo-CIP B, respectively. The final volume is 7.00 µl. Mix thoroughly and briefly centrifuge at 1000 x g.</w:t>
      </w:r>
    </w:p>
    <w:p>
      <w:pPr>
        <w:pStyle w:val="Compact"/>
        <w:numPr>
          <w:ilvl w:val="0"/>
          <w:numId w:val="1244"/>
        </w:numPr>
      </w:pPr>
      <w:r>
        <w:t xml:space="preserve">Incubate the reaction tube for 4 minutes at 37°C followed by 1 minute at 80°C. This will degrade the remaining primers and nucleotides and inactivate the Exo-CIP enzymes.</w:t>
      </w:r>
    </w:p>
    <w:p>
      <w:pPr>
        <w:pStyle w:val="Compact"/>
        <w:numPr>
          <w:ilvl w:val="0"/>
          <w:numId w:val="1244"/>
        </w:numPr>
      </w:pPr>
      <w:r>
        <w:t xml:space="preserve">Submit 5.00 µl (in a range of 15-200 fmol) of treated PCR product for sequencing with Eton Biosciences.</w:t>
      </w:r>
    </w:p>
    <w:bookmarkEnd w:id="185"/>
    <w:bookmarkStart w:id="186" w:name="X7a9437114b66a535474c7c1f8d36e2e2fb635f1"/>
    <w:p>
      <w:pPr>
        <w:pStyle w:val="Heading4"/>
      </w:pPr>
      <w:r>
        <w:t xml:space="preserve">PCR Troubleshooting after Gel Electrophoresis</w:t>
      </w:r>
    </w:p>
    <w:p>
      <w:pPr>
        <w:pStyle w:val="Compact"/>
        <w:numPr>
          <w:ilvl w:val="0"/>
          <w:numId w:val="1245"/>
        </w:numPr>
      </w:pPr>
      <w:r>
        <w:t xml:space="preserve">No amplification on any samples: check primers, polymerase, and other reagents.</w:t>
      </w:r>
    </w:p>
    <w:p>
      <w:pPr>
        <w:pStyle w:val="Compact"/>
        <w:numPr>
          <w:ilvl w:val="0"/>
          <w:numId w:val="124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45"/>
        </w:numPr>
      </w:pPr>
      <w:r>
        <w:t xml:space="preserve">Weak or multiple bands, smear: Mispriming from the incorrect program. Check primer concentration: an imbalance of primers can lead to multiple bands.</w:t>
      </w:r>
    </w:p>
    <w:bookmarkEnd w:id="186"/>
    <w:bookmarkEnd w:id="187"/>
    <w:bookmarkStart w:id="197" w:name="part-ii-gel-electrophoresis-introduction"/>
    <w:p>
      <w:pPr>
        <w:pStyle w:val="Heading3"/>
      </w:pPr>
      <w:r>
        <w:t xml:space="preserve">Part 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8" w:name="Xd8e70b3acd469489781fe4b7c52788877505f5c"/>
    <w:p>
      <w:pPr>
        <w:pStyle w:val="Heading4"/>
      </w:pPr>
      <w:r>
        <w:t xml:space="preserve">Prepare E-Gel and Gel Electrophoresis System</w:t>
      </w:r>
    </w:p>
    <w:bookmarkEnd w:id="188"/>
    <w:bookmarkStart w:id="189" w:name="materials-needed-1"/>
    <w:p>
      <w:pPr>
        <w:pStyle w:val="Heading4"/>
      </w:pPr>
      <w:r>
        <w:t xml:space="preserve">Materials Needed</w:t>
      </w:r>
    </w:p>
    <w:p>
      <w:pPr>
        <w:pStyle w:val="Compact"/>
        <w:numPr>
          <w:ilvl w:val="0"/>
          <w:numId w:val="1246"/>
        </w:numPr>
      </w:pPr>
      <w:r>
        <w:t xml:space="preserve">1% E-Gel™ EX precast gels (or 1.2% E-Gel) to visualize PCR products</w:t>
      </w:r>
    </w:p>
    <w:p>
      <w:pPr>
        <w:pStyle w:val="Compact"/>
        <w:numPr>
          <w:ilvl w:val="0"/>
          <w:numId w:val="1247"/>
        </w:numPr>
      </w:pPr>
      <w:r>
        <w:t xml:space="preserve">E-Gel™ 1kb Plus DNA Ladder (ThermoFisher, 10488018) or similar DNA ladder</w:t>
      </w:r>
    </w:p>
    <w:p>
      <w:pPr>
        <w:pStyle w:val="Compact"/>
        <w:numPr>
          <w:ilvl w:val="0"/>
          <w:numId w:val="1248"/>
        </w:numPr>
      </w:pPr>
      <w:r>
        <w:t xml:space="preserve">E-Gel™ Loading Dye (ThermoFisher, 10488100) or similar loading dye</w:t>
      </w:r>
    </w:p>
    <w:p>
      <w:pPr>
        <w:pStyle w:val="Compact"/>
        <w:numPr>
          <w:ilvl w:val="0"/>
          <w:numId w:val="1249"/>
        </w:numPr>
      </w:pPr>
      <w:r>
        <w:t xml:space="preserve">P20 micropipette with tips</w:t>
      </w:r>
    </w:p>
    <w:bookmarkEnd w:id="189"/>
    <w:bookmarkStart w:id="196" w:name="gel-loading"/>
    <w:p>
      <w:pPr>
        <w:pStyle w:val="Heading4"/>
      </w:pPr>
      <w:r>
        <w:t xml:space="preserve">Gel Loading</w:t>
      </w:r>
    </w:p>
    <w:p>
      <w:pPr>
        <w:pStyle w:val="FirstParagraph"/>
      </w:pPr>
      <w:r>
        <w:t xml:space="preserve">Watch this</w:t>
      </w:r>
      <w:r>
        <w:t xml:space="preserve"> </w:t>
      </w:r>
      <w:hyperlink r:id="rId190">
        <w:r>
          <w:rPr>
            <w:rStyle w:val="Hyperlink"/>
          </w:rPr>
          <w:t xml:space="preserve">video</w:t>
        </w:r>
      </w:hyperlink>
      <w:r>
        <w:t xml:space="preserve"> </w:t>
      </w:r>
      <w:r>
        <w:t xml:space="preserve">for a demonstration of how to load a gel.</w:t>
      </w:r>
    </w:p>
    <w:p>
      <w:pPr>
        <w:pStyle w:val="Compact"/>
        <w:numPr>
          <w:ilvl w:val="0"/>
          <w:numId w:val="1250"/>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0"/>
        </w:numPr>
      </w:pPr>
      <w:r>
        <w:t xml:space="preserve">Label your tubes and make a map of your samples in your gel.</w:t>
      </w:r>
    </w:p>
    <w:p>
      <w:pPr>
        <w:pStyle w:val="Compact"/>
        <w:numPr>
          <w:ilvl w:val="0"/>
          <w:numId w:val="1250"/>
        </w:numPr>
      </w:pPr>
      <w:r>
        <w:t xml:space="preserve">Load 20 μL of the DNA ladder into the first well of the gel. This will allow you to estimate the size of your PCR products.</w:t>
      </w:r>
    </w:p>
    <w:p>
      <w:pPr>
        <w:pStyle w:val="Compact"/>
        <w:numPr>
          <w:ilvl w:val="0"/>
          <w:numId w:val="1250"/>
        </w:numPr>
      </w:pPr>
      <w:r>
        <w:t xml:space="preserve">Load 20 μL of your PCR product into the remaining wells of the gel.</w:t>
      </w:r>
    </w:p>
    <w:p>
      <w:pPr>
        <w:pStyle w:val="Compact"/>
        <w:numPr>
          <w:ilvl w:val="0"/>
          <w:numId w:val="1250"/>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0"/>
        </w:numPr>
      </w:pPr>
      <w:r>
        <w:t xml:space="preserve">Be sure to reserve one well per row for a standardized DNA ladder.</w:t>
      </w:r>
    </w:p>
    <w:p>
      <w:pPr>
        <w:pStyle w:val="Compact"/>
        <w:numPr>
          <w:ilvl w:val="0"/>
          <w:numId w:val="1250"/>
        </w:numPr>
      </w:pPr>
      <w:r>
        <w:t xml:space="preserve">Run for about 10 minutes.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caution.png" id="193" name="Picture"/>
                          <pic:cNvPicPr>
                            <a:picLocks noChangeArrowheads="1" noChangeAspect="1"/>
                          </pic:cNvPicPr>
                        </pic:nvPicPr>
                        <pic:blipFill>
                          <a:blip r:embed="rId1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1"/>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important.png" id="19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196"/>
    <w:bookmarkEnd w:id="197"/>
    <w:bookmarkStart w:id="19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8"/>
    <w:bookmarkStart w:id="19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9"/>
    <w:bookmarkStart w:id="201" w:name="X119230681215c553508703bd9b858aabc863314"/>
    <w:p>
      <w:pPr>
        <w:pStyle w:val="Heading3"/>
      </w:pPr>
      <w:r>
        <w:t xml:space="preserve">Part VI: Identifying Species using DNA Barcode</w:t>
      </w:r>
    </w:p>
    <w:bookmarkStart w:id="20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2"/>
        </w:numPr>
      </w:pPr>
      <w:r>
        <w:t xml:space="preserve">Go to NCBI: https://www.ncbi.nlm.nih.gov/.</w:t>
      </w:r>
    </w:p>
    <w:p>
      <w:pPr>
        <w:pStyle w:val="Compact"/>
        <w:numPr>
          <w:ilvl w:val="0"/>
          <w:numId w:val="125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3"/>
        </w:numPr>
      </w:pPr>
      <w:r>
        <w:t xml:space="preserve">BLAST = Basic Local Alignment Search Tool</w:t>
      </w:r>
    </w:p>
    <w:p>
      <w:pPr>
        <w:pStyle w:val="Compact"/>
        <w:numPr>
          <w:ilvl w:val="0"/>
          <w:numId w:val="1252"/>
        </w:numPr>
      </w:pPr>
      <w:r>
        <w:t xml:space="preserve">Click on the Nucleotide BLAST image.</w:t>
      </w:r>
    </w:p>
    <w:p>
      <w:pPr>
        <w:pStyle w:val="Compact"/>
        <w:numPr>
          <w:ilvl w:val="1"/>
          <w:numId w:val="125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2"/>
        </w:numPr>
      </w:pPr>
      <w:r>
        <w:t xml:space="preserve">Paste your sequence data into the big space under</w:t>
      </w:r>
      <w:r>
        <w:t xml:space="preserve"> </w:t>
      </w:r>
      <w:r>
        <w:t xml:space="preserve">“Enter Query Sequence”</w:t>
      </w:r>
      <w:r>
        <w:t xml:space="preserve">.</w:t>
      </w:r>
    </w:p>
    <w:p>
      <w:pPr>
        <w:pStyle w:val="Compact"/>
        <w:numPr>
          <w:ilvl w:val="1"/>
          <w:numId w:val="125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2"/>
        </w:numPr>
      </w:pPr>
      <w:r>
        <w:t xml:space="preserve">Under Choose Search Set you can keep it under</w:t>
      </w:r>
      <w:r>
        <w:t xml:space="preserve"> </w:t>
      </w:r>
      <w:r>
        <w:t xml:space="preserve">“Standard databases (nr etc.)”</w:t>
      </w:r>
      <w:r>
        <w:t xml:space="preserve">.</w:t>
      </w:r>
    </w:p>
    <w:p>
      <w:pPr>
        <w:pStyle w:val="Compact"/>
        <w:numPr>
          <w:ilvl w:val="1"/>
          <w:numId w:val="125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2"/>
        </w:numPr>
      </w:pPr>
      <w:r>
        <w:t xml:space="preserve">Select the</w:t>
      </w:r>
      <w:r>
        <w:t xml:space="preserve"> </w:t>
      </w:r>
      <w:r>
        <w:t xml:space="preserve">“BLAST”</w:t>
      </w:r>
      <w:r>
        <w:t xml:space="preserve"> </w:t>
      </w:r>
      <w:r>
        <w:t xml:space="preserve">button at the end.</w:t>
      </w:r>
    </w:p>
    <w:p>
      <w:pPr>
        <w:pStyle w:val="Compact"/>
        <w:numPr>
          <w:ilvl w:val="1"/>
          <w:numId w:val="125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57"/>
        </w:numPr>
      </w:pPr>
      <w:r>
        <w:t xml:space="preserve">Percent Identity = What percent of your sequence (query sequence) is identical to the matched sequence.</w:t>
      </w:r>
    </w:p>
    <w:p>
      <w:pPr>
        <w:pStyle w:val="Compact"/>
        <w:numPr>
          <w:ilvl w:val="1"/>
          <w:numId w:val="1257"/>
        </w:numPr>
      </w:pPr>
      <w:r>
        <w:t xml:space="preserve">Query Cover = How much of the query sequence covers the matched sequence.</w:t>
      </w:r>
    </w:p>
    <w:p>
      <w:pPr>
        <w:pStyle w:val="Compact"/>
        <w:numPr>
          <w:ilvl w:val="1"/>
          <w:numId w:val="1257"/>
        </w:numPr>
      </w:pPr>
      <w:r>
        <w:t xml:space="preserve">E value = The probability that this match occurred by chance in the provided database.</w:t>
      </w:r>
    </w:p>
    <w:p>
      <w:pPr>
        <w:pStyle w:val="Compact"/>
        <w:numPr>
          <w:ilvl w:val="0"/>
          <w:numId w:val="1252"/>
        </w:numPr>
      </w:pPr>
      <w:r>
        <w:t xml:space="preserve">Review the results.</w:t>
      </w:r>
    </w:p>
    <w:p>
      <w:pPr>
        <w:pStyle w:val="Compact"/>
        <w:numPr>
          <w:ilvl w:val="1"/>
          <w:numId w:val="1258"/>
        </w:numPr>
      </w:pPr>
      <w:r>
        <w:t xml:space="preserve">What is the</w:t>
      </w:r>
      <w:r>
        <w:t xml:space="preserve"> </w:t>
      </w:r>
      <w:r>
        <w:t xml:space="preserve">“top hit”</w:t>
      </w:r>
      <w:r>
        <w:t xml:space="preserve">?</w:t>
      </w:r>
    </w:p>
    <w:p>
      <w:pPr>
        <w:pStyle w:val="Compact"/>
        <w:numPr>
          <w:ilvl w:val="1"/>
          <w:numId w:val="1258"/>
        </w:numPr>
      </w:pPr>
      <w:r>
        <w:t xml:space="preserve">How much support is provided for this hit given the current database used?</w:t>
      </w:r>
    </w:p>
    <w:p>
      <w:pPr>
        <w:pStyle w:val="Compact"/>
        <w:numPr>
          <w:ilvl w:val="1"/>
          <w:numId w:val="1258"/>
        </w:numPr>
      </w:pPr>
      <w:r>
        <w:t xml:space="preserve">What is the taxonomic ID of this result? What kind of fungi are these?</w:t>
      </w:r>
    </w:p>
    <w:p>
      <w:pPr>
        <w:pStyle w:val="Compact"/>
        <w:numPr>
          <w:ilvl w:val="1"/>
          <w:numId w:val="1258"/>
        </w:numPr>
      </w:pPr>
      <w:r>
        <w:t xml:space="preserve">You may google the names and search under Wikipedia to get a better understanding of these organisms and what is known.</w:t>
      </w:r>
    </w:p>
    <w:bookmarkEnd w:id="200"/>
    <w:bookmarkEnd w:id="201"/>
    <w:bookmarkStart w:id="20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202"/>
    <w:bookmarkEnd w:id="203"/>
    <w:bookmarkEnd w:id="204"/>
    <w:bookmarkStart w:id="218"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9" w:name="X0d17ba572a281133a22d073b368b9fbe73454ca"/>
    <w:p>
      <w:pPr>
        <w:pStyle w:val="Heading2"/>
      </w:pPr>
      <w:r>
        <w:t xml:space="preserve">Module 5.1 – Tissue Preparation for Genome Sequencing</w:t>
      </w:r>
    </w:p>
    <w:bookmarkStart w:id="208" w:name="X77a2a5cde368cdc7e0265278fa1fc26eefd1a5c"/>
    <w:p>
      <w:pPr>
        <w:pStyle w:val="Heading3"/>
      </w:pPr>
      <w:r>
        <w:t xml:space="preserve">Instructor Laboratory Preparation Instructions</w:t>
      </w:r>
    </w:p>
    <w:bookmarkStart w:id="207" w:name="materials-and-equipment-8"/>
    <w:p>
      <w:pPr>
        <w:pStyle w:val="Heading4"/>
      </w:pPr>
      <w:r>
        <w:t xml:space="preserve">Materials and Equipment</w:t>
      </w:r>
    </w:p>
    <w:p>
      <w:pPr>
        <w:pStyle w:val="Compact"/>
        <w:numPr>
          <w:ilvl w:val="0"/>
          <w:numId w:val="1259"/>
        </w:numPr>
      </w:pPr>
      <w:r>
        <w:t xml:space="preserve">Autoclave</w:t>
      </w:r>
    </w:p>
    <w:p>
      <w:pPr>
        <w:pStyle w:val="Compact"/>
        <w:numPr>
          <w:ilvl w:val="0"/>
          <w:numId w:val="1260"/>
        </w:numPr>
      </w:pPr>
      <w:r>
        <w:t xml:space="preserve">Laminar Flow Hood (if available)</w:t>
      </w:r>
    </w:p>
    <w:p>
      <w:pPr>
        <w:pStyle w:val="Compact"/>
        <w:numPr>
          <w:ilvl w:val="0"/>
          <w:numId w:val="1261"/>
        </w:numPr>
      </w:pPr>
      <w:r>
        <w:t xml:space="preserve">Cellophane</w:t>
      </w:r>
    </w:p>
    <w:p>
      <w:pPr>
        <w:pStyle w:val="Compact"/>
        <w:numPr>
          <w:ilvl w:val="0"/>
          <w:numId w:val="1262"/>
        </w:numPr>
      </w:pPr>
      <w:r>
        <w:t xml:space="preserve">100x15mm Petri Dishes</w:t>
      </w:r>
    </w:p>
    <w:p>
      <w:pPr>
        <w:pStyle w:val="Compact"/>
        <w:numPr>
          <w:ilvl w:val="0"/>
          <w:numId w:val="1263"/>
        </w:numPr>
      </w:pPr>
      <w:r>
        <w:t xml:space="preserve">60x15mm Petri Dishes</w:t>
      </w:r>
    </w:p>
    <w:p>
      <w:pPr>
        <w:pStyle w:val="Compact"/>
        <w:numPr>
          <w:ilvl w:val="0"/>
          <w:numId w:val="1264"/>
        </w:numPr>
      </w:pPr>
      <w:r>
        <w:t xml:space="preserve">Agar, Bacteriological</w:t>
      </w:r>
    </w:p>
    <w:p>
      <w:pPr>
        <w:pStyle w:val="Compact"/>
        <w:numPr>
          <w:ilvl w:val="0"/>
          <w:numId w:val="1265"/>
        </w:numPr>
      </w:pPr>
      <w:r>
        <w:t xml:space="preserve">Potato Dextrose Agar (PDA) media</w:t>
      </w:r>
    </w:p>
    <w:p>
      <w:pPr>
        <w:pStyle w:val="Compact"/>
        <w:numPr>
          <w:ilvl w:val="0"/>
          <w:numId w:val="1266"/>
        </w:numPr>
      </w:pPr>
      <w:r>
        <w:t xml:space="preserve">Alcohol for sterilization</w:t>
      </w:r>
    </w:p>
    <w:p>
      <w:pPr>
        <w:pStyle w:val="Compact"/>
        <w:numPr>
          <w:ilvl w:val="0"/>
          <w:numId w:val="1267"/>
        </w:numPr>
      </w:pPr>
      <w:r>
        <w:t xml:space="preserve">Forceps</w:t>
      </w:r>
    </w:p>
    <w:p>
      <w:pPr>
        <w:pStyle w:val="Compact"/>
        <w:numPr>
          <w:ilvl w:val="0"/>
          <w:numId w:val="126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7"/>
    <w:bookmarkEnd w:id="208"/>
    <w:bookmarkEnd w:id="209"/>
    <w:bookmarkStart w:id="217" w:name="Xc8205bcafd44c2f0f2777871d0b670e5430cb18"/>
    <w:p>
      <w:pPr>
        <w:pStyle w:val="Heading2"/>
      </w:pPr>
      <w:r>
        <w:t xml:space="preserve">Module 5.2 – Tissue Preparation for Genome Sequencing</w:t>
      </w:r>
    </w:p>
    <w:bookmarkStart w:id="210"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10"/>
    <w:bookmarkStart w:id="211"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1"/>
    <w:bookmarkStart w:id="212" w:name="sub-culturing-on-cellophane"/>
    <w:p>
      <w:pPr>
        <w:pStyle w:val="Heading3"/>
      </w:pPr>
      <w:r>
        <w:t xml:space="preserve">Sub-Culturing on Cellophane</w:t>
      </w:r>
    </w:p>
    <w:p>
      <w:pPr>
        <w:pStyle w:val="Compact"/>
        <w:numPr>
          <w:ilvl w:val="0"/>
          <w:numId w:val="1269"/>
        </w:numPr>
      </w:pPr>
      <w:r>
        <w:t xml:space="preserve">Clean your workspace as described previously. Work under flames or in a laminar flow hood if available.</w:t>
      </w:r>
    </w:p>
    <w:p>
      <w:pPr>
        <w:pStyle w:val="Compact"/>
        <w:numPr>
          <w:ilvl w:val="0"/>
          <w:numId w:val="1269"/>
        </w:numPr>
      </w:pPr>
      <w:r>
        <w:t xml:space="preserve">Label your Cellophane lined Petri Dish appropriately.</w:t>
      </w:r>
    </w:p>
    <w:p>
      <w:pPr>
        <w:pStyle w:val="Compact"/>
        <w:numPr>
          <w:ilvl w:val="0"/>
          <w:numId w:val="1269"/>
        </w:numPr>
      </w:pPr>
      <w:r>
        <w:t xml:space="preserve">Sterilize implements (forceps and scalpel).</w:t>
      </w:r>
    </w:p>
    <w:p>
      <w:pPr>
        <w:pStyle w:val="Compact"/>
        <w:numPr>
          <w:ilvl w:val="0"/>
          <w:numId w:val="1269"/>
        </w:numPr>
      </w:pPr>
      <w:r>
        <w:t xml:space="preserve">Scrape mycelia from PDA plates that you have been growing. Be sure to avoid transferring any media as much as possible.</w:t>
      </w:r>
    </w:p>
    <w:p>
      <w:pPr>
        <w:pStyle w:val="Compact"/>
        <w:numPr>
          <w:ilvl w:val="1"/>
          <w:numId w:val="1270"/>
        </w:numPr>
      </w:pPr>
      <w:r>
        <w:t xml:space="preserve">Leaving the assay plate on the bench space, remove the parafilm of the inoculation plate and slightly crack open the lid using your non-dominant hand.</w:t>
      </w:r>
    </w:p>
    <w:p>
      <w:pPr>
        <w:pStyle w:val="Compact"/>
        <w:numPr>
          <w:ilvl w:val="1"/>
          <w:numId w:val="1270"/>
        </w:numPr>
      </w:pPr>
      <w:r>
        <w:t xml:space="preserve">Insert your forceps into the crack of the Petri dish and attempt to sample some mycelium.</w:t>
      </w:r>
    </w:p>
    <w:p>
      <w:pPr>
        <w:pStyle w:val="Compact"/>
        <w:numPr>
          <w:ilvl w:val="2"/>
          <w:numId w:val="1271"/>
        </w:numPr>
      </w:pPr>
      <w:r>
        <w:t xml:space="preserve">If you are unable to remove mycelia with your forceps, use your scalpel to remove mycelia with the least amount of agar possible.</w:t>
      </w:r>
    </w:p>
    <w:p>
      <w:pPr>
        <w:pStyle w:val="Compact"/>
        <w:numPr>
          <w:ilvl w:val="0"/>
          <w:numId w:val="1269"/>
        </w:numPr>
      </w:pPr>
      <w:r>
        <w:t xml:space="preserve">Transfer the mycelia to a Petri dish with cellophane.</w:t>
      </w:r>
    </w:p>
    <w:p>
      <w:pPr>
        <w:pStyle w:val="Compact"/>
        <w:numPr>
          <w:ilvl w:val="1"/>
          <w:numId w:val="1272"/>
        </w:numPr>
      </w:pPr>
      <w:r>
        <w:t xml:space="preserve">Carefully remove the chunk of agar. Replace the lid. Slide the sample plate away. Slide a cellophane plate towards you.</w:t>
      </w:r>
    </w:p>
    <w:p>
      <w:pPr>
        <w:pStyle w:val="Compact"/>
        <w:numPr>
          <w:ilvl w:val="1"/>
          <w:numId w:val="1272"/>
        </w:numPr>
      </w:pPr>
      <w:r>
        <w:t xml:space="preserve">Crack open the cellophane plate using your non-dominant hand, and carefully insert the forceps with the agar and mycelium.</w:t>
      </w:r>
    </w:p>
    <w:p>
      <w:pPr>
        <w:pStyle w:val="Compact"/>
        <w:numPr>
          <w:ilvl w:val="1"/>
          <w:numId w:val="1272"/>
        </w:numPr>
      </w:pPr>
      <w:r>
        <w:t xml:space="preserve">To deposit the agar onto the PDA agar, submerge the forceps into the agar on the plate. This should force the agar and mycelium from your forceps, onto the PDA agar.</w:t>
      </w:r>
    </w:p>
    <w:p>
      <w:pPr>
        <w:pStyle w:val="Compact"/>
        <w:numPr>
          <w:ilvl w:val="1"/>
          <w:numId w:val="1272"/>
        </w:numPr>
      </w:pPr>
      <w:r>
        <w:t xml:space="preserve">Pull your forceps straight out to leave the agar and mycelium on the plate.</w:t>
      </w:r>
    </w:p>
    <w:p>
      <w:pPr>
        <w:pStyle w:val="Compact"/>
        <w:numPr>
          <w:ilvl w:val="1"/>
          <w:numId w:val="127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69"/>
        </w:numPr>
      </w:pPr>
      <w:r>
        <w:t xml:space="preserve">Seal Petri dish with parafilm.</w:t>
      </w:r>
    </w:p>
    <w:p>
      <w:pPr>
        <w:pStyle w:val="Compact"/>
        <w:numPr>
          <w:ilvl w:val="0"/>
          <w:numId w:val="1269"/>
        </w:numPr>
      </w:pPr>
      <w:r>
        <w:t xml:space="preserve">Allow fungi to fill the cellophane.</w:t>
      </w:r>
    </w:p>
    <w:p>
      <w:pPr>
        <w:pStyle w:val="Compact"/>
        <w:numPr>
          <w:ilvl w:val="0"/>
          <w:numId w:val="1269"/>
        </w:numPr>
      </w:pPr>
      <w:r>
        <w:t xml:space="preserve">Repeat this process with all fungal isolates that will be sent for genome sequencing.</w:t>
      </w:r>
    </w:p>
    <w:bookmarkEnd w:id="212"/>
    <w:bookmarkStart w:id="213"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3"/>
    <w:bookmarkStart w:id="214" w:name="student-lab-supplies"/>
    <w:p>
      <w:pPr>
        <w:pStyle w:val="Heading3"/>
      </w:pPr>
      <w:r>
        <w:t xml:space="preserve">Student Lab Supplies</w:t>
      </w:r>
    </w:p>
    <w:p>
      <w:pPr>
        <w:pStyle w:val="Compact"/>
        <w:numPr>
          <w:ilvl w:val="0"/>
          <w:numId w:val="1273"/>
        </w:numPr>
      </w:pPr>
      <w:r>
        <w:t xml:space="preserve">1.5 ml Eppendorf tubes</w:t>
      </w:r>
    </w:p>
    <w:p>
      <w:pPr>
        <w:pStyle w:val="Compact"/>
        <w:numPr>
          <w:ilvl w:val="0"/>
          <w:numId w:val="1274"/>
        </w:numPr>
      </w:pPr>
      <w:r>
        <w:t xml:space="preserve">Sharpie</w:t>
      </w:r>
    </w:p>
    <w:p>
      <w:pPr>
        <w:pStyle w:val="Compact"/>
        <w:numPr>
          <w:ilvl w:val="0"/>
          <w:numId w:val="1275"/>
        </w:numPr>
      </w:pPr>
      <w:r>
        <w:t xml:space="preserve">Scalpel</w:t>
      </w:r>
    </w:p>
    <w:p>
      <w:pPr>
        <w:pStyle w:val="Compact"/>
        <w:numPr>
          <w:ilvl w:val="0"/>
          <w:numId w:val="1276"/>
        </w:numPr>
      </w:pPr>
      <w:r>
        <w:t xml:space="preserve">Forceps</w:t>
      </w:r>
    </w:p>
    <w:p>
      <w:pPr>
        <w:pStyle w:val="Compact"/>
        <w:numPr>
          <w:ilvl w:val="0"/>
          <w:numId w:val="1277"/>
        </w:numPr>
      </w:pPr>
      <w:r>
        <w:t xml:space="preserve">Silica</w:t>
      </w:r>
    </w:p>
    <w:p>
      <w:pPr>
        <w:pStyle w:val="Compact"/>
        <w:numPr>
          <w:ilvl w:val="0"/>
          <w:numId w:val="1278"/>
        </w:numPr>
      </w:pPr>
      <w:r>
        <w:t xml:space="preserve">Probe</w:t>
      </w:r>
    </w:p>
    <w:bookmarkEnd w:id="214"/>
    <w:bookmarkStart w:id="215"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5"/>
    <w:bookmarkStart w:id="216" w:name="instructions-3"/>
    <w:p>
      <w:pPr>
        <w:pStyle w:val="Heading3"/>
      </w:pPr>
      <w:r>
        <w:t xml:space="preserve">Instructions</w:t>
      </w:r>
    </w:p>
    <w:p>
      <w:pPr>
        <w:pStyle w:val="Compact"/>
        <w:numPr>
          <w:ilvl w:val="0"/>
          <w:numId w:val="1279"/>
        </w:numPr>
      </w:pPr>
      <w:r>
        <w:t xml:space="preserve">You will be harvesting fungal tissue from the cellophane PDA petri dishes.</w:t>
      </w:r>
    </w:p>
    <w:p>
      <w:pPr>
        <w:pStyle w:val="Compact"/>
        <w:numPr>
          <w:ilvl w:val="0"/>
          <w:numId w:val="1279"/>
        </w:numPr>
      </w:pPr>
      <w:r>
        <w:t xml:space="preserve">Use a laminar flow hood or set up flames to create a sterile environment. Clean your sterile area.</w:t>
      </w:r>
    </w:p>
    <w:p>
      <w:pPr>
        <w:pStyle w:val="Compact"/>
        <w:numPr>
          <w:ilvl w:val="0"/>
          <w:numId w:val="1279"/>
        </w:numPr>
      </w:pPr>
      <w:r>
        <w:t xml:space="preserve">Light your flame source. Dip your harvesting implement(s) (scalpel, forceps, and/or probe) into alcohol. Flame your implements and let it cool.</w:t>
      </w:r>
    </w:p>
    <w:p>
      <w:pPr>
        <w:pStyle w:val="Compact"/>
        <w:numPr>
          <w:ilvl w:val="0"/>
          <w:numId w:val="127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7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79"/>
        </w:numPr>
      </w:pPr>
      <w:r>
        <w:t xml:space="preserve">Seal silica-filled jar with the lid. Allow the tissue to dry for 5-10 days.</w:t>
      </w:r>
    </w:p>
    <w:p>
      <w:pPr>
        <w:pStyle w:val="Compact"/>
        <w:numPr>
          <w:ilvl w:val="0"/>
          <w:numId w:val="1279"/>
        </w:numPr>
      </w:pPr>
      <w:r>
        <w:t xml:space="preserve">Once the tissue is dry, remove the Eppendorf tubes from the silica jar and close the lids.</w:t>
      </w:r>
    </w:p>
    <w:p>
      <w:pPr>
        <w:pStyle w:val="Compact"/>
        <w:numPr>
          <w:ilvl w:val="0"/>
          <w:numId w:val="1279"/>
        </w:numPr>
      </w:pPr>
      <w:r>
        <w:t xml:space="preserve">Proceed to the Sample submission module.</w:t>
      </w:r>
    </w:p>
    <w:bookmarkEnd w:id="216"/>
    <w:bookmarkEnd w:id="217"/>
    <w:bookmarkEnd w:id="218"/>
    <w:bookmarkStart w:id="227"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tip.png" id="2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6" w:name="module-6.1-myco-ed-sample-submission-sop"/>
    <w:p>
      <w:pPr>
        <w:pStyle w:val="Heading2"/>
      </w:pPr>
      <w:r>
        <w:t xml:space="preserve">Module 6.1 – Myco-Ed Sample Submission SOP</w:t>
      </w:r>
    </w:p>
    <w:bookmarkStart w:id="221" w:name="overview-2"/>
    <w:p>
      <w:pPr>
        <w:pStyle w:val="Heading3"/>
      </w:pPr>
      <w:r>
        <w:t xml:space="preserve">Overview</w:t>
      </w:r>
    </w:p>
    <w:p>
      <w:pPr>
        <w:pStyle w:val="FirstParagraph"/>
      </w:pPr>
      <w:r>
        <w:t xml:space="preserve">Use this document to submit fungal samples to Arizona Genomics Institute (AGI) for DNA extraction.</w:t>
      </w:r>
    </w:p>
    <w:bookmarkEnd w:id="221"/>
    <w:bookmarkStart w:id="222" w:name="definitions"/>
    <w:p>
      <w:pPr>
        <w:pStyle w:val="Heading3"/>
      </w:pPr>
      <w:r>
        <w:t xml:space="preserve">Definitions</w:t>
      </w:r>
    </w:p>
    <w:p>
      <w:pPr>
        <w:pStyle w:val="Compact"/>
        <w:numPr>
          <w:ilvl w:val="0"/>
          <w:numId w:val="1280"/>
        </w:numPr>
      </w:pPr>
      <w:r>
        <w:t xml:space="preserve">JGI = Joint Genomics Institute</w:t>
      </w:r>
    </w:p>
    <w:p>
      <w:pPr>
        <w:pStyle w:val="Compact"/>
        <w:numPr>
          <w:ilvl w:val="0"/>
          <w:numId w:val="1280"/>
        </w:numPr>
      </w:pPr>
      <w:r>
        <w:t xml:space="preserve">AGI = Arizona Genome Institute</w:t>
      </w:r>
    </w:p>
    <w:bookmarkEnd w:id="222"/>
    <w:bookmarkStart w:id="223" w:name="associated-documents"/>
    <w:p>
      <w:pPr>
        <w:pStyle w:val="Heading3"/>
      </w:pPr>
      <w:r>
        <w:t xml:space="preserve">Associated Documents</w:t>
      </w:r>
    </w:p>
    <w:p>
      <w:pPr>
        <w:pStyle w:val="FirstParagraph"/>
      </w:pPr>
      <w:r>
        <w:t xml:space="preserve">MycoEd Metadata Form</w:t>
      </w:r>
    </w:p>
    <w:bookmarkEnd w:id="223"/>
    <w:bookmarkStart w:id="224" w:name="process-steps"/>
    <w:p>
      <w:pPr>
        <w:pStyle w:val="Heading3"/>
      </w:pPr>
      <w:r>
        <w:t xml:space="preserve">Process Steps</w:t>
      </w:r>
    </w:p>
    <w:p>
      <w:pPr>
        <w:pStyle w:val="Compact"/>
        <w:numPr>
          <w:ilvl w:val="0"/>
          <w:numId w:val="1281"/>
        </w:numPr>
      </w:pPr>
      <w:r>
        <w:t xml:space="preserve">Create a JGI Single Sign on Account</w:t>
      </w:r>
    </w:p>
    <w:p>
      <w:pPr>
        <w:pStyle w:val="Compact"/>
        <w:numPr>
          <w:ilvl w:val="0"/>
          <w:numId w:val="1281"/>
        </w:numPr>
      </w:pPr>
      <w:r>
        <w:t xml:space="preserve">Email photos of the live tissue you intend to send AGI before collection to JTALAG@email.arizona.edu and kwbarry@lbl.gov.</w:t>
      </w:r>
    </w:p>
    <w:p>
      <w:pPr>
        <w:pStyle w:val="Compact"/>
        <w:numPr>
          <w:ilvl w:val="0"/>
          <w:numId w:val="1281"/>
        </w:numPr>
      </w:pPr>
      <w:r>
        <w:t xml:space="preserve">Make a copy of the MycoEd Metadata Form</w:t>
      </w:r>
    </w:p>
    <w:p>
      <w:pPr>
        <w:pStyle w:val="Compact"/>
        <w:numPr>
          <w:ilvl w:val="1"/>
          <w:numId w:val="1282"/>
        </w:numPr>
      </w:pPr>
      <w:r>
        <w:t xml:space="preserve">Click on MycoEd Metadata Form link</w:t>
      </w:r>
    </w:p>
    <w:p>
      <w:pPr>
        <w:pStyle w:val="Compact"/>
        <w:numPr>
          <w:ilvl w:val="1"/>
          <w:numId w:val="1282"/>
        </w:numPr>
      </w:pPr>
      <w:r>
        <w:t xml:space="preserve">Under file, select Make a Copy</w:t>
      </w:r>
    </w:p>
    <w:p>
      <w:pPr>
        <w:pStyle w:val="Compact"/>
        <w:numPr>
          <w:ilvl w:val="1"/>
          <w:numId w:val="1282"/>
        </w:numPr>
      </w:pPr>
      <w:r>
        <w:t xml:space="preserve">Rename your new copy [University][Instructor Last Name][MycoEd Metadata][Date]</w:t>
      </w:r>
    </w:p>
    <w:p>
      <w:pPr>
        <w:pStyle w:val="Compact"/>
        <w:numPr>
          <w:ilvl w:val="0"/>
          <w:numId w:val="1281"/>
        </w:numPr>
      </w:pPr>
      <w:r>
        <w:t xml:space="preserve">Fill out your copy of the MycoEd Metadata Form</w:t>
      </w:r>
    </w:p>
    <w:p>
      <w:pPr>
        <w:pStyle w:val="Compact"/>
        <w:numPr>
          <w:ilvl w:val="1"/>
          <w:numId w:val="1283"/>
        </w:numPr>
      </w:pPr>
      <w:r>
        <w:t xml:space="preserve">Professor is the instructor for the class and their email address</w:t>
      </w:r>
    </w:p>
    <w:p>
      <w:pPr>
        <w:pStyle w:val="Compact"/>
        <w:numPr>
          <w:ilvl w:val="1"/>
          <w:numId w:val="1283"/>
        </w:numPr>
      </w:pPr>
      <w:r>
        <w:t xml:space="preserve">Name of the University/Institution is your University/Institution</w:t>
      </w:r>
    </w:p>
    <w:p>
      <w:pPr>
        <w:pStyle w:val="Compact"/>
        <w:numPr>
          <w:ilvl w:val="1"/>
          <w:numId w:val="1283"/>
        </w:numPr>
      </w:pPr>
      <w:r>
        <w:t xml:space="preserve">Date submitted/shipped is the date you ship the samples to AGI</w:t>
      </w:r>
    </w:p>
    <w:p>
      <w:pPr>
        <w:pStyle w:val="Compact"/>
        <w:numPr>
          <w:ilvl w:val="1"/>
          <w:numId w:val="1283"/>
        </w:numPr>
      </w:pPr>
      <w:r>
        <w:t xml:space="preserve">JGI proposal name &amp; number is DS 509937 (already provided)</w:t>
      </w:r>
    </w:p>
    <w:p>
      <w:pPr>
        <w:pStyle w:val="Compact"/>
        <w:numPr>
          <w:ilvl w:val="0"/>
          <w:numId w:val="1281"/>
        </w:numPr>
      </w:pPr>
      <w:r>
        <w:t xml:space="preserve">Fill out Sample Table</w:t>
      </w:r>
    </w:p>
    <w:p>
      <w:pPr>
        <w:pStyle w:val="Compact"/>
        <w:numPr>
          <w:ilvl w:val="1"/>
          <w:numId w:val="1284"/>
        </w:numPr>
      </w:pPr>
      <w:r>
        <w:t xml:space="preserve">Enter requested metadata into the table</w:t>
      </w:r>
    </w:p>
    <w:p>
      <w:pPr>
        <w:pStyle w:val="Compact"/>
        <w:numPr>
          <w:ilvl w:val="1"/>
          <w:numId w:val="1284"/>
        </w:numPr>
      </w:pPr>
      <w:r>
        <w:t xml:space="preserve">Use one row per sample/tube</w:t>
      </w:r>
    </w:p>
    <w:p>
      <w:pPr>
        <w:pStyle w:val="Compact"/>
        <w:numPr>
          <w:ilvl w:val="1"/>
          <w:numId w:val="1284"/>
        </w:numPr>
      </w:pPr>
      <w:r>
        <w:t xml:space="preserve">Insert additional rows if needed</w:t>
      </w:r>
    </w:p>
    <w:p>
      <w:pPr>
        <w:pStyle w:val="Compact"/>
        <w:numPr>
          <w:ilvl w:val="1"/>
          <w:numId w:val="1284"/>
        </w:numPr>
      </w:pPr>
      <w:r>
        <w:t xml:space="preserve">Columns with gray field headers, B and D, will be filled out by JGI</w:t>
      </w:r>
    </w:p>
    <w:p>
      <w:pPr>
        <w:pStyle w:val="Compact"/>
        <w:numPr>
          <w:ilvl w:val="1"/>
          <w:numId w:val="1284"/>
        </w:numPr>
      </w:pPr>
      <w:r>
        <w:t xml:space="preserve">For Column C, Sample Name - please use below convention for naming: [University][Plant][Plant tissue] Metagenome [Sample ID]</w:t>
      </w:r>
    </w:p>
    <w:p>
      <w:pPr>
        <w:pStyle w:val="Compact"/>
        <w:numPr>
          <w:ilvl w:val="1"/>
          <w:numId w:val="1284"/>
        </w:numPr>
      </w:pPr>
      <w:r>
        <w:t xml:space="preserve">Column G is only needed if you are sending more than 22 samples</w:t>
      </w:r>
    </w:p>
    <w:p>
      <w:pPr>
        <w:pStyle w:val="Compact"/>
        <w:numPr>
          <w:ilvl w:val="1"/>
          <w:numId w:val="1284"/>
        </w:numPr>
      </w:pPr>
      <w:r>
        <w:t xml:space="preserve">Student is the full name of student that collected the sample and their email address</w:t>
      </w:r>
    </w:p>
    <w:p>
      <w:pPr>
        <w:pStyle w:val="Compact"/>
        <w:numPr>
          <w:ilvl w:val="1"/>
          <w:numId w:val="1284"/>
        </w:numPr>
      </w:pPr>
      <w:r>
        <w:t xml:space="preserve">Columns with Yellow Header, X-AF, will be filled out by AGI after DNA extraction</w:t>
      </w:r>
    </w:p>
    <w:p>
      <w:pPr>
        <w:pStyle w:val="Compact"/>
        <w:numPr>
          <w:ilvl w:val="0"/>
          <w:numId w:val="1281"/>
        </w:numPr>
      </w:pPr>
      <w:r>
        <w:t xml:space="preserve">Email form to AGI &amp; JGI</w:t>
      </w:r>
    </w:p>
    <w:p>
      <w:pPr>
        <w:pStyle w:val="Compact"/>
        <w:numPr>
          <w:ilvl w:val="1"/>
          <w:numId w:val="1285"/>
        </w:numPr>
      </w:pPr>
      <w:r>
        <w:t xml:space="preserve">Once all required metadata is provided, download a copy to excel</w:t>
      </w:r>
    </w:p>
    <w:p>
      <w:pPr>
        <w:pStyle w:val="Compact"/>
        <w:numPr>
          <w:ilvl w:val="1"/>
          <w:numId w:val="1285"/>
        </w:numPr>
      </w:pPr>
      <w:r>
        <w:t xml:space="preserve">Email a copy to Jayson at (jtalag@ag.arizona.edu ) and Kerrie (kwbarry@lbl.gov).</w:t>
      </w:r>
    </w:p>
    <w:p>
      <w:pPr>
        <w:pStyle w:val="Compact"/>
        <w:numPr>
          <w:ilvl w:val="1"/>
          <w:numId w:val="128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85"/>
        </w:numPr>
      </w:pPr>
      <w:r>
        <w:t xml:space="preserve">Include in your email your name, your college/university, the exact name of your samples (column D) that are ready to ship to AGI (and the rows in this sheet).</w:t>
      </w:r>
    </w:p>
    <w:p>
      <w:pPr>
        <w:pStyle w:val="Compact"/>
        <w:numPr>
          <w:ilvl w:val="1"/>
          <w:numId w:val="1285"/>
        </w:numPr>
      </w:pPr>
      <w:r>
        <w:t xml:space="preserve">Wait for approval/confirmation from AGI &amp; JGI.</w:t>
      </w:r>
    </w:p>
    <w:p>
      <w:pPr>
        <w:pStyle w:val="Compact"/>
        <w:numPr>
          <w:ilvl w:val="2"/>
          <w:numId w:val="1286"/>
        </w:numPr>
      </w:pPr>
      <w:r>
        <w:t xml:space="preserve">If needed make requested changed and email updated copy</w:t>
      </w:r>
    </w:p>
    <w:p>
      <w:pPr>
        <w:pStyle w:val="Compact"/>
        <w:numPr>
          <w:ilvl w:val="0"/>
          <w:numId w:val="1281"/>
        </w:numPr>
      </w:pPr>
      <w:r>
        <w:t xml:space="preserve">Prepare samples for shipment</w:t>
      </w:r>
    </w:p>
    <w:p>
      <w:pPr>
        <w:pStyle w:val="Compact"/>
        <w:numPr>
          <w:ilvl w:val="1"/>
          <w:numId w:val="1287"/>
        </w:numPr>
      </w:pPr>
    </w:p>
    <w:p>
      <w:pPr>
        <w:pStyle w:val="Compact"/>
        <w:numPr>
          <w:ilvl w:val="2"/>
          <w:numId w:val="128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87"/>
        </w:numPr>
      </w:pPr>
      <w:r>
        <w:t xml:space="preserve">Email FEDEX tracking # when your shipment is picked up.</w:t>
      </w:r>
    </w:p>
    <w:p>
      <w:pPr>
        <w:pStyle w:val="Compact"/>
        <w:numPr>
          <w:ilvl w:val="1"/>
          <w:numId w:val="128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4"/>
    <w:bookmarkStart w:id="22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5"/>
    <w:bookmarkEnd w:id="226"/>
    <w:bookmarkEnd w:id="227"/>
    <w:bookmarkStart w:id="247"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7" w:name="X46999d4e04aaa0bd6e7f1cf0936f3283e50c93c"/>
    <w:p>
      <w:pPr>
        <w:pStyle w:val="Heading2"/>
      </w:pPr>
      <w:r>
        <w:t xml:space="preserve">Module 7.1 – Sexual Reproduction in Ascomycota Genomic Analysis</w:t>
      </w:r>
    </w:p>
    <w:bookmarkStart w:id="230"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30"/>
    <w:bookmarkStart w:id="231" w:name="references"/>
    <w:p>
      <w:pPr>
        <w:pStyle w:val="Heading3"/>
      </w:pPr>
      <w:r>
        <w:t xml:space="preserve">References</w:t>
      </w:r>
    </w:p>
    <w:p>
      <w:pPr>
        <w:pStyle w:val="Compact"/>
        <w:numPr>
          <w:ilvl w:val="0"/>
          <w:numId w:val="1289"/>
        </w:numPr>
      </w:pPr>
      <w:r>
        <w:t xml:space="preserve">Casselton, L.A., Olesnicky, N.S., 1998. Molecular Genetics of Mating Recognition in Basidiomycete Fungi. Microbiol Mol Biol Rev., 62(1): 55–70. doi: 10.1128/mmbr.62.1.55-70.1998</w:t>
      </w:r>
    </w:p>
    <w:p>
      <w:pPr>
        <w:pStyle w:val="Compact"/>
        <w:numPr>
          <w:ilvl w:val="0"/>
          <w:numId w:val="1289"/>
        </w:numPr>
      </w:pPr>
      <w:r>
        <w:t xml:space="preserve">Cambareri, E.B., Singer, M.J., Selker, E.U., 1991. Recurrence of repeat-induced point mutation (RIP) in Neurospora crassa. Genetics, 127(4):699-710. doi: 10.1093/genetics/127.4.699.</w:t>
      </w:r>
    </w:p>
    <w:p>
      <w:pPr>
        <w:pStyle w:val="Compact"/>
        <w:numPr>
          <w:ilvl w:val="0"/>
          <w:numId w:val="1289"/>
        </w:numPr>
      </w:pPr>
      <w:r>
        <w:t xml:space="preserve">Metzenberg, R.L., Glass, N.L., 1990. Mating type and mating strategies in Neurospora. Bioessays. 1990 Feb;12(2):53-9. doi: 10.1002/bies.950120202.</w:t>
      </w:r>
    </w:p>
    <w:bookmarkEnd w:id="231"/>
    <w:bookmarkStart w:id="236" w:name="finding-mat-a"/>
    <w:p>
      <w:pPr>
        <w:pStyle w:val="Heading3"/>
      </w:pPr>
      <w:r>
        <w:t xml:space="preserve">Finding mat A</w:t>
      </w:r>
    </w:p>
    <w:bookmarkStart w:id="232"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9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9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90"/>
        </w:numPr>
      </w:pPr>
      <w:r>
        <w:t xml:space="preserve">Let’s find the location of this gene in the genome! Go to the Neucr2 MycoCosm portal (https://mycocosm.jgi.doe.gov/Neucr2) and search for it using the BLAST tool.</w:t>
      </w:r>
    </w:p>
    <w:p>
      <w:pPr>
        <w:pStyle w:val="Compact"/>
        <w:numPr>
          <w:ilvl w:val="0"/>
          <w:numId w:val="129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90"/>
        </w:numPr>
      </w:pPr>
      <w:r>
        <w:t xml:space="preserve">You should see two hits, each shown in a separate row.</w:t>
      </w:r>
    </w:p>
    <w:p>
      <w:pPr>
        <w:pStyle w:val="Compact"/>
        <w:numPr>
          <w:ilvl w:val="1"/>
          <w:numId w:val="129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91"/>
        </w:numPr>
      </w:pPr>
      <w:r>
        <w:t xml:space="preserve">The second column shows an alignment of that sequence against your query, which is helpful for seeing how well hits cover your query sequence.</w:t>
      </w:r>
    </w:p>
    <w:p>
      <w:pPr>
        <w:pStyle w:val="Compact"/>
        <w:numPr>
          <w:ilvl w:val="1"/>
          <w:numId w:val="1291"/>
        </w:numPr>
      </w:pPr>
      <w:r>
        <w:t xml:space="preserve">The score and EValue columns are also useful when assessing hit quality. Higher scores are better, and conversely, lower e-values are better.</w:t>
      </w:r>
    </w:p>
    <w:p>
      <w:pPr>
        <w:pStyle w:val="Compact"/>
        <w:numPr>
          <w:ilvl w:val="0"/>
          <w:numId w:val="129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9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9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9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9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9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9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9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90"/>
        </w:numPr>
      </w:pPr>
      <w:r>
        <w:t xml:space="preserve">Using the information on the protein page, can you find mat A-2 and mat-A3?</w:t>
      </w:r>
    </w:p>
    <w:p>
      <w:pPr>
        <w:pStyle w:val="Compact"/>
        <w:numPr>
          <w:ilvl w:val="0"/>
          <w:numId w:val="1290"/>
        </w:numPr>
      </w:pPr>
      <w:r>
        <w:t xml:space="preserve">At the mating type locus, do you notice anything interesting when exploring the read depth coverage plots (pink tracks) from related Neurospora genomes?</w:t>
      </w:r>
    </w:p>
    <w:p>
      <w:pPr>
        <w:pStyle w:val="Compact"/>
        <w:numPr>
          <w:ilvl w:val="0"/>
          <w:numId w:val="129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2"/>
    <w:bookmarkStart w:id="233"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3"/>
    <w:bookmarkStart w:id="234"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3"/>
        </w:numPr>
      </w:pPr>
      <w:r>
        <w:t xml:space="preserve">Let’s find it on the mat a genome portal you found earlier for N. tetrasperma strain FGSC 2509, (https://mycocosm.jgi.doe.gov/Neute_mat_a1).</w:t>
      </w:r>
    </w:p>
    <w:p>
      <w:pPr>
        <w:pStyle w:val="Compact"/>
        <w:numPr>
          <w:ilvl w:val="0"/>
          <w:numId w:val="129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3"/>
        </w:numPr>
      </w:pPr>
      <w:r>
        <w:t xml:space="preserve">The best hit is to N. tetrasperma protein ID 124723, can you explain why?</w:t>
      </w:r>
    </w:p>
    <w:p>
      <w:pPr>
        <w:pStyle w:val="Compact"/>
        <w:numPr>
          <w:ilvl w:val="0"/>
          <w:numId w:val="1293"/>
        </w:numPr>
      </w:pPr>
      <w:r>
        <w:t xml:space="preserve">Let’s revisit the Neucr2 mcl clustering page and search for this, again by typing portalID.proteinID (e.g. Neute_mat_a1.124723) in the search field.</w:t>
      </w:r>
    </w:p>
    <w:p>
      <w:pPr>
        <w:pStyle w:val="Compact"/>
        <w:numPr>
          <w:ilvl w:val="0"/>
          <w:numId w:val="129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3"/>
        </w:numPr>
      </w:pPr>
      <w:r>
        <w:t xml:space="preserve">It looks like our mat a gene is found in a region that is not present in any of the others, which are all the opposite mating type (mat A)!</w:t>
      </w:r>
    </w:p>
    <w:p>
      <w:pPr>
        <w:pStyle w:val="Compact"/>
        <w:numPr>
          <w:ilvl w:val="0"/>
          <w:numId w:val="1293"/>
        </w:numPr>
      </w:pPr>
      <w:r>
        <w:t xml:space="preserve">With this information, we can say that all our current evidence supports our hypothesis that fungal mating types are driven by presence/absence of specific genes, mat a and A in particular!</w:t>
      </w:r>
    </w:p>
    <w:bookmarkEnd w:id="234"/>
    <w:bookmarkStart w:id="235"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9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9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94"/>
        </w:numPr>
      </w:pPr>
      <w:r>
        <w:t xml:space="preserve">Go through the same exercise to search mcl clusters. Do you see a similar pattern to what we observed in N. crassa?</w:t>
      </w:r>
    </w:p>
    <w:p>
      <w:pPr>
        <w:pStyle w:val="Compact"/>
        <w:numPr>
          <w:ilvl w:val="0"/>
          <w:numId w:val="129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9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9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9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9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5"/>
    <w:bookmarkEnd w:id="236"/>
    <w:bookmarkEnd w:id="237"/>
    <w:bookmarkStart w:id="246" w:name="Xe7b646958662d93788a5fac43551e0623449021"/>
    <w:p>
      <w:pPr>
        <w:pStyle w:val="Heading2"/>
      </w:pPr>
      <w:r>
        <w:t xml:space="preserve">Module 7.2 – Fungal Natural Product Production Genomic Analysis</w:t>
      </w:r>
    </w:p>
    <w:bookmarkStart w:id="238"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8"/>
    <w:bookmarkStart w:id="239" w:name="references-1"/>
    <w:p>
      <w:pPr>
        <w:pStyle w:val="Heading3"/>
      </w:pPr>
      <w:r>
        <w:t xml:space="preserve">References</w:t>
      </w:r>
    </w:p>
    <w:p>
      <w:pPr>
        <w:pStyle w:val="Compact"/>
        <w:numPr>
          <w:ilvl w:val="0"/>
          <w:numId w:val="129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95"/>
        </w:numPr>
      </w:pPr>
      <w:r>
        <w:t xml:space="preserve">Seenivasan, A., Subhagar, S., Aravindan, R., Viruthagiri, T., 2008. Microbial Production and Biomedical Applications of Lovastatin. Indian J Pharm Sci. 2008, doi: 10.4103/0250-474X.49087</w:t>
      </w:r>
    </w:p>
    <w:p>
      <w:pPr>
        <w:pStyle w:val="Compact"/>
        <w:numPr>
          <w:ilvl w:val="0"/>
          <w:numId w:val="129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95"/>
        </w:numPr>
      </w:pPr>
      <w:r>
        <w:t xml:space="preserve">Strieker, M., Tanovic, A., Marahiel, M.A., 2010. Nonribosomal peptide synthetases: structures and dynamics. Current Opinion in Structural Biology 2010, 20:234–240</w:t>
      </w:r>
    </w:p>
    <w:p>
      <w:pPr>
        <w:pStyle w:val="Compact"/>
        <w:numPr>
          <w:ilvl w:val="0"/>
          <w:numId w:val="1295"/>
        </w:numPr>
      </w:pPr>
      <w:r>
        <w:t xml:space="preserve">Keller, N., 2019. Fungal secondary metabolism: regulation, function and drug discovery. Nature Reviews Microbiology, 17(3): 167–180. doi: 10.1038/s41579-018-0121-1</w:t>
      </w:r>
    </w:p>
    <w:bookmarkEnd w:id="239"/>
    <w:bookmarkStart w:id="242" w:name="X31643484012ee51f67fd2def9a4608ddd3c7490"/>
    <w:p>
      <w:pPr>
        <w:pStyle w:val="Heading3"/>
      </w:pPr>
      <w:r>
        <w:t xml:space="preserve">Finding the Penicillin Biosynthetic Gene Cluster</w:t>
      </w:r>
    </w:p>
    <w:bookmarkStart w:id="240" w:name="X27e5a65183f9483aec43514a5289c555b8e099a"/>
    <w:p>
      <w:pPr>
        <w:pStyle w:val="Heading4"/>
      </w:pPr>
      <w:r>
        <w:t xml:space="preserve">Locate the known cluster in P. chrysogenum</w:t>
      </w:r>
    </w:p>
    <w:p>
      <w:pPr>
        <w:pStyle w:val="Compact"/>
        <w:numPr>
          <w:ilvl w:val="0"/>
          <w:numId w:val="129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9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9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9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9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96"/>
        </w:numPr>
      </w:pPr>
      <w:r>
        <w:t xml:space="preserve">You should see a single hit! Click on the coordinates to view this region of the genome.</w:t>
      </w:r>
    </w:p>
    <w:p>
      <w:pPr>
        <w:pStyle w:val="Compact"/>
        <w:numPr>
          <w:ilvl w:val="0"/>
          <w:numId w:val="1296"/>
        </w:numPr>
      </w:pPr>
      <w:r>
        <w:t xml:space="preserve">Of course, we are searching for DNA that is mostly found in between these penicillin-related genes. Click -10x to get a bigger view of this locus.</w:t>
      </w:r>
    </w:p>
    <w:p>
      <w:pPr>
        <w:pStyle w:val="Compact"/>
        <w:numPr>
          <w:ilvl w:val="0"/>
          <w:numId w:val="129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9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9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40"/>
    <w:bookmarkStart w:id="241" w:name="X3367d9de4d4452f0e4500f817aabeb87e960cf9"/>
    <w:p>
      <w:pPr>
        <w:pStyle w:val="Heading4"/>
      </w:pPr>
      <w:r>
        <w:t xml:space="preserve">Find candidate Penicillin BGCs in related fungi</w:t>
      </w:r>
    </w:p>
    <w:p>
      <w:pPr>
        <w:pStyle w:val="Compact"/>
        <w:numPr>
          <w:ilvl w:val="0"/>
          <w:numId w:val="1297"/>
        </w:numPr>
      </w:pPr>
      <w:r>
        <w:t xml:space="preserve">With our NRPS bait in hand, let’s try to fish out similar genes in related fungi! But before we do, do you have any hypotheses about how often it will be found?</w:t>
      </w:r>
    </w:p>
    <w:p>
      <w:pPr>
        <w:pStyle w:val="Compact"/>
        <w:numPr>
          <w:ilvl w:val="0"/>
          <w:numId w:val="129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9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9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9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9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9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97"/>
        </w:numPr>
      </w:pPr>
      <w:r>
        <w:t xml:space="preserve">Can you find where hit quality begins to drop off? You can see by just looking at the top 10 that quality drops off really fast!</w:t>
      </w:r>
    </w:p>
    <w:p>
      <w:pPr>
        <w:pStyle w:val="Compact"/>
        <w:numPr>
          <w:ilvl w:val="0"/>
          <w:numId w:val="129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9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9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9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9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9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9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9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9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9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9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9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1"/>
    <w:bookmarkEnd w:id="242"/>
    <w:bookmarkStart w:id="245" w:name="characterize-myco-ed-bgcs"/>
    <w:p>
      <w:pPr>
        <w:pStyle w:val="Heading3"/>
      </w:pPr>
      <w:r>
        <w:t xml:space="preserve">Characterize Myco-Ed BGCs</w:t>
      </w:r>
    </w:p>
    <w:bookmarkStart w:id="243"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9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9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98"/>
        </w:numPr>
      </w:pPr>
      <w:r>
        <w:t xml:space="preserve">Let’s set a goal to describe the distribution of fungal BGC backbone genes, following the same workflow you just did for penicillin.</w:t>
      </w:r>
    </w:p>
    <w:p>
      <w:pPr>
        <w:pStyle w:val="Compact"/>
        <w:numPr>
          <w:ilvl w:val="0"/>
          <w:numId w:val="129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9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9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9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9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9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9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3"/>
    <w:bookmarkStart w:id="244" w:name="annotate-them"/>
    <w:p>
      <w:pPr>
        <w:pStyle w:val="Heading4"/>
      </w:pPr>
      <w:r>
        <w:t xml:space="preserve">Annotate them!</w:t>
      </w:r>
    </w:p>
    <w:p>
      <w:pPr>
        <w:pStyle w:val="Compact"/>
        <w:numPr>
          <w:ilvl w:val="0"/>
          <w:numId w:val="129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9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9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4"/>
    <w:bookmarkEnd w:id="245"/>
    <w:bookmarkEnd w:id="246"/>
    <w:bookmarkEnd w:id="247"/>
    <w:bookmarkStart w:id="249"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8">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9"/>
    <w:bookmarkStart w:id="250" w:name="carlos-c.-goller"/>
    <w:p>
      <w:pPr>
        <w:pStyle w:val="Heading1"/>
      </w:pPr>
      <w:r>
        <w:t xml:space="preserve">1. Carlos C. Goller</w:t>
      </w:r>
    </w:p>
    <w:bookmarkEnd w:id="250"/>
    <w:bookmarkStart w:id="253"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1"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1"/>
    <w:bookmarkStart w:id="252"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2"/>
    <w:bookmarkEnd w:id="253"/>
    <w:bookmarkStart w:id="260" w:name="references-2"/>
    <w:p>
      <w:pPr>
        <w:pStyle w:val="Heading1"/>
      </w:pPr>
      <w:r>
        <w:t xml:space="preserve">References</w:t>
      </w:r>
    </w:p>
    <w:bookmarkStart w:id="254" w:name="workbook-references"/>
    <w:p>
      <w:pPr>
        <w:pStyle w:val="Heading2"/>
      </w:pPr>
      <w:r>
        <w:t xml:space="preserve">Workbook References</w:t>
      </w:r>
    </w:p>
    <w:p>
      <w:pPr>
        <w:pStyle w:val="Compact"/>
        <w:numPr>
          <w:ilvl w:val="0"/>
          <w:numId w:val="1300"/>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00"/>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4"/>
    <w:bookmarkStart w:id="259" w:name="module-7.1-references"/>
    <w:p>
      <w:pPr>
        <w:pStyle w:val="Heading2"/>
      </w:pPr>
      <w:r>
        <w:t xml:space="preserve">Module 7.1 References</w:t>
      </w:r>
    </w:p>
    <w:p>
      <w:pPr>
        <w:pStyle w:val="Compact"/>
        <w:numPr>
          <w:ilvl w:val="0"/>
          <w:numId w:val="1301"/>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01"/>
        </w:numPr>
      </w:pPr>
      <w:r>
        <w:t xml:space="preserve">Cambareri, E.B., Singer, M.J., Selker, E.U., 1991. Recurrence of repeat-induced point mutation (RIP) in Neurospora crassa. Genetics, 127(4): 699-710. https://doi.org/10.1093/genetics/127.4.699</w:t>
      </w:r>
    </w:p>
    <w:p>
      <w:pPr>
        <w:pStyle w:val="Compact"/>
        <w:numPr>
          <w:ilvl w:val="0"/>
          <w:numId w:val="1301"/>
        </w:numPr>
      </w:pPr>
      <w:r>
        <w:t xml:space="preserve">Metzenberg, R.L., Glass, N.L., 1990. Mating type and mating strategies in Neurospora. BioEssays, 12(2): 53-59. https://doi.org/10.1002/bies.950120202</w:t>
      </w:r>
    </w:p>
    <w:bookmarkStart w:id="258" w:name="refs"/>
    <w:bookmarkStart w:id="255"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5"/>
    <w:bookmarkStart w:id="257"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6">
        <w:r>
          <w:rPr>
            <w:rStyle w:val="Hyperlink"/>
          </w:rPr>
          <w:t xml:space="preserve">https://doi.org/10.17504/protocols.io.rm7vzqd5xvx1/v1</w:t>
        </w:r>
      </w:hyperlink>
      <w:r>
        <w:t xml:space="preserve">.</w:t>
      </w:r>
    </w:p>
    <w:bookmarkEnd w:id="257"/>
    <w:bookmarkEnd w:id="258"/>
    <w:bookmarkEnd w:id="259"/>
    <w:bookmarkEnd w:id="2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
  </w:num>
  <w:num w:numId="1247">
    <w:abstractNumId w:val="992"/>
  </w:num>
  <w:num w:numId="1248">
    <w:abstractNumId w:val="992"/>
  </w:num>
  <w:num w:numId="1249">
    <w:abstractNumId w:val="992"/>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1" Target="media/rId191.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6"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8"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0"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6"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8"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0"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2026-06-03T01:51:35Z</dcterms:created>
  <dcterms:modified xsi:type="dcterms:W3CDTF">2026-06-03T01:51:35Z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