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lab-prep-overview"/>
    <w:p>
      <w:pPr>
        <w:pStyle w:val="Heading2"/>
      </w:pPr>
      <w:r>
        <w:t xml:space="preserve">Module 3.1 – Lab Prep Overview</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2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module-4.1-lab-prep-overview"/>
    <w:p>
      <w:pPr>
        <w:pStyle w:val="Heading2"/>
      </w:pPr>
      <w:r>
        <w:t xml:space="preserve">Module 4.1 – Lab Prep Overview</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 or marker for labeling tubes</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 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1kb Plus DNA Ladder (ThermoFisher, 10488018) or similar DNA ladder</w:t>
      </w:r>
    </w:p>
    <w:p>
      <w:pPr>
        <w:pStyle w:val="Compact"/>
        <w:numPr>
          <w:ilvl w:val="0"/>
          <w:numId w:val="1215"/>
        </w:numPr>
      </w:pPr>
      <w:r>
        <w:t xml:space="preserve">E-Gel™ Loading Dye (ThermoFisher, 10488100)</w:t>
      </w:r>
    </w:p>
    <w:p>
      <w:pPr>
        <w:pStyle w:val="Compact"/>
        <w:numPr>
          <w:ilvl w:val="0"/>
          <w:numId w:val="1216"/>
        </w:numPr>
      </w:pPr>
      <w:r>
        <w:t xml:space="preserve">DNA quantification system (for example, Qubit Fluorometer with dsDNA HS Assay Kit, ThermoFisher, Q32851)</w:t>
      </w:r>
    </w:p>
    <w:p>
      <w:pPr>
        <w:pStyle w:val="Compact"/>
        <w:numPr>
          <w:ilvl w:val="0"/>
          <w:numId w:val="1217"/>
        </w:numPr>
      </w:pPr>
      <w:r>
        <w:t xml:space="preserve">Access to Sanger sequencing services (for example, Genewiz, Eurofins, Eton, or similar provider).</w:t>
      </w:r>
    </w:p>
    <w:p>
      <w:pPr>
        <w:pStyle w:val="Compact"/>
        <w:numPr>
          <w:ilvl w:val="0"/>
          <w:numId w:val="1218"/>
        </w:numPr>
      </w:pPr>
      <w:r>
        <w:t xml:space="preserve">Rapid Barcoding Kit v14 (Oxford Nanopore Technologies), SQK-RBK114.24 or similar kit for long-read sequencing (optional)</w:t>
      </w:r>
    </w:p>
    <w:p>
      <w:pPr>
        <w:pStyle w:val="Compact"/>
        <w:numPr>
          <w:ilvl w:val="0"/>
          <w:numId w:val="1219"/>
        </w:numPr>
      </w:pPr>
      <w:r>
        <w:t xml:space="preserve">MinION sequencing device</w:t>
      </w:r>
    </w:p>
    <w:p>
      <w:pPr>
        <w:pStyle w:val="Compact"/>
        <w:numPr>
          <w:ilvl w:val="0"/>
          <w:numId w:val="1220"/>
        </w:numPr>
      </w:pPr>
      <w:r>
        <w:t xml:space="preserve">MinION flow cells (R10.4.1 or similar, Oxford Nanopore Technologies, FLO-MIN114)</w:t>
      </w:r>
    </w:p>
    <w:p>
      <w:pPr>
        <w:pStyle w:val="Compact"/>
        <w:numPr>
          <w:ilvl w:val="0"/>
          <w:numId w:val="1221"/>
        </w:numPr>
      </w:pPr>
      <w:r>
        <w:t xml:space="preserve">Ultrapure BSA 50 mg/ml (ThermoFisher, AM2616) for long-read sequencing</w:t>
      </w:r>
    </w:p>
    <w:p>
      <w:pPr>
        <w:pStyle w:val="Compact"/>
        <w:numPr>
          <w:ilvl w:val="0"/>
          <w:numId w:val="1222"/>
        </w:numPr>
      </w:pPr>
      <w:r>
        <w:t xml:space="preserve">1.5 mL microcentrifuge tubes (Eppendorf DNA LoBind) for long-read sequencing</w:t>
      </w:r>
    </w:p>
    <w:p>
      <w:pPr>
        <w:pStyle w:val="Compact"/>
        <w:numPr>
          <w:ilvl w:val="0"/>
          <w:numId w:val="1223"/>
        </w:numPr>
      </w:pPr>
      <w:r>
        <w:t xml:space="preserve">Magnetic rack for 1.5ml microcentrifuge tubes (for example, ThermoFisher DynaMag-2, 12321D) for long-read sequencing</w:t>
      </w:r>
    </w:p>
    <w:p>
      <w:pPr>
        <w:pStyle w:val="Compact"/>
        <w:numPr>
          <w:ilvl w:val="0"/>
          <w:numId w:val="1224"/>
        </w:numPr>
      </w:pPr>
      <w:r>
        <w:t xml:space="preserve">Nuclease-free water and 100% ethanol to prepare 80% ethanol for long-read sequencing</w:t>
      </w:r>
    </w:p>
    <w:p>
      <w:pPr>
        <w:pStyle w:val="FirstParagraph"/>
      </w:pPr>
      <w:r>
        <w:rPr>
          <w:b/>
          <w:bCs/>
        </w:rPr>
        <w:t xml:space="preserve">Dilute and Prepare PCR Primers</w:t>
      </w:r>
    </w:p>
    <w:p>
      <w:pPr>
        <w:pStyle w:val="Compact"/>
        <w:numPr>
          <w:ilvl w:val="0"/>
          <w:numId w:val="1225"/>
        </w:numPr>
      </w:pPr>
      <w:r>
        <w:t xml:space="preserve">Verify the primers are correct and received at 100 µM. Label the tubes as</w:t>
      </w:r>
      <w:r>
        <w:t xml:space="preserve"> </w:t>
      </w:r>
      <w:r>
        <w:t xml:space="preserve">“Primer Stocks.”</w:t>
      </w:r>
    </w:p>
    <w:p>
      <w:pPr>
        <w:pStyle w:val="Compact"/>
        <w:numPr>
          <w:ilvl w:val="0"/>
          <w:numId w:val="1226"/>
        </w:numPr>
      </w:pPr>
      <w:r>
        <w:t xml:space="preserve">Label the tube according to the primer being added.</w:t>
      </w:r>
    </w:p>
    <w:p>
      <w:pPr>
        <w:pStyle w:val="Compact"/>
        <w:numPr>
          <w:ilvl w:val="0"/>
          <w:numId w:val="1227"/>
        </w:numPr>
      </w:pPr>
      <w:r>
        <w:t xml:space="preserve">Make 10 µM working stocks by diluting 20 µl of primer stock into 180 µl nuclease water.</w:t>
      </w:r>
    </w:p>
    <w:p>
      <w:pPr>
        <w:pStyle w:val="FirstParagraph"/>
      </w:pPr>
      <w:r>
        <w:rPr>
          <w:b/>
          <w:bCs/>
        </w:rPr>
        <w:t xml:space="preserve">Prepare Metapolyzyme and DNA Extraction Reagents</w:t>
      </w:r>
    </w:p>
    <w:p>
      <w:pPr>
        <w:pStyle w:val="Compact"/>
        <w:numPr>
          <w:ilvl w:val="0"/>
          <w:numId w:val="1228"/>
        </w:numPr>
      </w:pPr>
      <w:r>
        <w:t xml:space="preserve">Dissolve Metapolyzyme vial in 100 µl of DNA-free PBS. Note that 10 µl of metapolyzyme is used per sample. You may need more than one vial.</w:t>
      </w:r>
    </w:p>
    <w:p>
      <w:pPr>
        <w:pStyle w:val="Compact"/>
        <w:numPr>
          <w:ilvl w:val="0"/>
          <w:numId w:val="1229"/>
        </w:numPr>
      </w:pPr>
      <w:r>
        <w:t xml:space="preserve">Distribute spin columns, Lo-bind tubes, collection tubes, TE buffer, PBS, and elution buffer to each group (enough for the number of samples per group)</w:t>
      </w:r>
    </w:p>
    <w:p>
      <w:pPr>
        <w:pStyle w:val="Compact"/>
        <w:numPr>
          <w:ilvl w:val="0"/>
          <w:numId w:val="1230"/>
        </w:numPr>
      </w:pPr>
      <w:r>
        <w:t xml:space="preserve">Prepare gel electrophoresis systems, loading dye, and DNA ladder as needed.</w:t>
      </w:r>
    </w:p>
    <w:p>
      <w:pPr>
        <w:pStyle w:val="Compact"/>
        <w:numPr>
          <w:ilvl w:val="0"/>
          <w:numId w:val="1231"/>
        </w:numPr>
      </w:pPr>
      <w:r>
        <w:t xml:space="preserve">Prepare PCR cleanup or NEB Exo-CIP™ Rapid PCR Cleanup Kit.</w:t>
      </w:r>
    </w:p>
    <w:p>
      <w:pPr>
        <w:pStyle w:val="Compact"/>
        <w:numPr>
          <w:ilvl w:val="0"/>
          <w:numId w:val="1232"/>
        </w:numPr>
      </w:pPr>
      <w:r>
        <w:t xml:space="preserve">Prepare materials for Sanger sequencing.</w:t>
      </w:r>
    </w:p>
    <w:p>
      <w:pPr>
        <w:pStyle w:val="Compact"/>
        <w:numPr>
          <w:ilvl w:val="0"/>
          <w:numId w:val="1233"/>
        </w:numPr>
      </w:pPr>
      <w:r>
        <w:t xml:space="preserve">Prepare Oxford Nanopore Technologies (ONT) device, flow cell(s), and kit.</w:t>
      </w:r>
    </w:p>
    <w:bookmarkEnd w:id="178"/>
    <w:bookmarkEnd w:id="179"/>
    <w:bookmarkEnd w:id="180"/>
    <w:bookmarkStart w:id="204" w:name="X755f3bbeb49752777c1925744a6f8a59259f2e4"/>
    <w:p>
      <w:pPr>
        <w:pStyle w:val="Heading2"/>
      </w:pPr>
      <w:r>
        <w:t xml:space="preserve">Module 4.2 – ITS Amplification for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4"/>
        </w:numPr>
      </w:pPr>
      <w:r>
        <w:t xml:space="preserve">Practice extracting fungal DNA</w:t>
      </w:r>
    </w:p>
    <w:p>
      <w:pPr>
        <w:pStyle w:val="Compact"/>
        <w:numPr>
          <w:ilvl w:val="0"/>
          <w:numId w:val="1234"/>
        </w:numPr>
      </w:pPr>
      <w:r>
        <w:t xml:space="preserve">Successfully PCR amplify fungal ITS</w:t>
      </w:r>
    </w:p>
    <w:p>
      <w:pPr>
        <w:pStyle w:val="Compact"/>
        <w:numPr>
          <w:ilvl w:val="0"/>
          <w:numId w:val="1234"/>
        </w:numPr>
      </w:pPr>
      <w:r>
        <w:t xml:space="preserve">Learn to BLAST ITS sequence to identify fungal isolates</w:t>
      </w:r>
    </w:p>
    <w:bookmarkEnd w:id="182"/>
    <w:bookmarkStart w:id="191" w:name="X9d8a0f59413f82ecb492d25ff8d1ab6f23455f0"/>
    <w:p>
      <w:pPr>
        <w:pStyle w:val="Heading3"/>
      </w:pPr>
      <w:r>
        <w:t xml:space="preserve">Part I: Amplification of the ITS rDNA Region using PCR</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and-equipment-8"/>
    <w:p>
      <w:pPr>
        <w:pStyle w:val="Heading4"/>
      </w:pPr>
      <w:r>
        <w:t xml:space="preserve">Materials and Equipment</w:t>
      </w:r>
    </w:p>
    <w:p>
      <w:pPr>
        <w:pStyle w:val="Compact"/>
        <w:numPr>
          <w:ilvl w:val="0"/>
          <w:numId w:val="1235"/>
        </w:numPr>
      </w:pPr>
      <w:r>
        <w:t xml:space="preserve">Fungal isolates</w:t>
      </w:r>
    </w:p>
    <w:p>
      <w:pPr>
        <w:pStyle w:val="Compact"/>
        <w:numPr>
          <w:ilvl w:val="0"/>
          <w:numId w:val="1236"/>
        </w:numPr>
      </w:pPr>
      <w:r>
        <w:t xml:space="preserve">P1000 micropipette tips (sterile)</w:t>
      </w:r>
    </w:p>
    <w:p>
      <w:pPr>
        <w:pStyle w:val="Compact"/>
        <w:numPr>
          <w:ilvl w:val="0"/>
          <w:numId w:val="1237"/>
        </w:numPr>
      </w:pPr>
      <w:r>
        <w:t xml:space="preserve">0.2 mL PCR tubes</w:t>
      </w:r>
    </w:p>
    <w:p>
      <w:pPr>
        <w:pStyle w:val="Compact"/>
        <w:numPr>
          <w:ilvl w:val="0"/>
          <w:numId w:val="1238"/>
        </w:numPr>
      </w:pPr>
      <w:r>
        <w:t xml:space="preserve">P10, P20, P200, and P1000 micropipettes with tips</w:t>
      </w:r>
    </w:p>
    <w:p>
      <w:pPr>
        <w:pStyle w:val="Compact"/>
        <w:numPr>
          <w:ilvl w:val="0"/>
          <w:numId w:val="1239"/>
        </w:numPr>
      </w:pPr>
      <w:r>
        <w:t xml:space="preserve">Q5 Hot Start High-Fidelity 2X Master Mix (New England BioLabs, M0494S)</w:t>
      </w:r>
    </w:p>
    <w:p>
      <w:pPr>
        <w:pStyle w:val="Compact"/>
        <w:numPr>
          <w:ilvl w:val="0"/>
          <w:numId w:val="1240"/>
        </w:numPr>
      </w:pPr>
      <w:r>
        <w:t xml:space="preserve">DNA extraction kit (New England BioLabs, Monarch® Spin gDNA Extraction Kit, T3010S)</w:t>
      </w:r>
    </w:p>
    <w:p>
      <w:pPr>
        <w:pStyle w:val="Compact"/>
        <w:numPr>
          <w:ilvl w:val="0"/>
          <w:numId w:val="1241"/>
        </w:numPr>
      </w:pPr>
      <w:r>
        <w:t xml:space="preserve">Sterile loops</w:t>
      </w:r>
    </w:p>
    <w:p>
      <w:pPr>
        <w:pStyle w:val="Compact"/>
        <w:numPr>
          <w:ilvl w:val="0"/>
          <w:numId w:val="1242"/>
        </w:numPr>
      </w:pPr>
      <w:r>
        <w:t xml:space="preserve">DNA quantification system (for example, Qubit Fluorometer with dsDNA HS Assay Kit, ThermoFisher, Q32851)</w:t>
      </w:r>
    </w:p>
    <w:p>
      <w:pPr>
        <w:pStyle w:val="Compact"/>
        <w:numPr>
          <w:ilvl w:val="0"/>
          <w:numId w:val="1243"/>
        </w:numPr>
      </w:pPr>
      <w:r>
        <w:t xml:space="preserve">Nuclease-free water</w:t>
      </w:r>
    </w:p>
    <w:p>
      <w:pPr>
        <w:pStyle w:val="Compact"/>
        <w:numPr>
          <w:ilvl w:val="0"/>
          <w:numId w:val="1244"/>
        </w:numPr>
      </w:pPr>
      <w:r>
        <w:t xml:space="preserve">NEB Exo-Cip™ Rapid PCR Cleanup Kit (New England BioLabs, E1050S)</w:t>
      </w:r>
    </w:p>
    <w:p>
      <w:pPr>
        <w:pStyle w:val="Compact"/>
        <w:numPr>
          <w:ilvl w:val="0"/>
          <w:numId w:val="1245"/>
        </w:numPr>
      </w:pPr>
      <w:r>
        <w:t xml:space="preserve">Thermocycler capable of reaching 95 °C</w:t>
      </w:r>
    </w:p>
    <w:bookmarkEnd w:id="184"/>
    <w:bookmarkStart w:id="190"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6"/>
        </w:numPr>
      </w:pPr>
      <w:r>
        <w:t xml:space="preserve">Using a P1000 tip, gently scratch the fungal culture to collect a small amount of mycelium.</w:t>
      </w:r>
    </w:p>
    <w:p>
      <w:pPr>
        <w:pStyle w:val="Compact"/>
        <w:numPr>
          <w:ilvl w:val="0"/>
          <w:numId w:val="1246"/>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6"/>
        </w:numPr>
      </w:pPr>
      <w:r>
        <w:t xml:space="preserve">Vortex to mix and then centrifuge briefly to collect the sample at the bottom of the tube.</w:t>
      </w:r>
    </w:p>
    <w:p>
      <w:pPr>
        <w:pStyle w:val="Compact"/>
        <w:numPr>
          <w:ilvl w:val="0"/>
          <w:numId w:val="1246"/>
        </w:numPr>
      </w:pPr>
      <w:r>
        <w:t xml:space="preserve">Place the tube in a thermocycler at 95 °C for 10 minutes and then 4 °C for 5 minutes. This will lyse the cells and release the DNA into the solution.</w:t>
      </w:r>
    </w:p>
    <w:p>
      <w:pPr>
        <w:pStyle w:val="Compact"/>
        <w:numPr>
          <w:ilvl w:val="0"/>
          <w:numId w:val="1246"/>
        </w:numPr>
      </w:pPr>
      <w:r>
        <w:t xml:space="preserve">Centrifuge the tube at maximum speed for 1 minute to pellet the cell debris.</w:t>
      </w:r>
    </w:p>
    <w:p>
      <w:pPr>
        <w:pStyle w:val="Compact"/>
        <w:numPr>
          <w:ilvl w:val="0"/>
          <w:numId w:val="1246"/>
        </w:numPr>
      </w:pPr>
      <w:r>
        <w:t xml:space="preserve">Carefully transfer 5.00 µl of the supernatant (which contains the DNA) to a new labeled PCR tube.</w:t>
      </w:r>
    </w:p>
    <w:p>
      <w:pPr>
        <w:pStyle w:val="Compact"/>
        <w:numPr>
          <w:ilvl w:val="0"/>
          <w:numId w:val="1246"/>
        </w:numPr>
      </w:pPr>
      <w:r>
        <w:t xml:space="preserve">Create a mastermix with your group that includes the following components for each reaction (50.00 µL total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Final Concentration</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1X</w:t>
            </w:r>
          </w:p>
        </w:tc>
      </w:tr>
      <w:tr>
        <w:tc>
          <w:tcPr/>
          <w:p>
            <w:pPr>
              <w:pStyle w:val="Compact"/>
            </w:pPr>
            <w:r>
              <w:t xml:space="preserve">ITS 1 Forward Primer</w:t>
            </w:r>
          </w:p>
        </w:tc>
        <w:tc>
          <w:tcPr/>
          <w:p>
            <w:pPr>
              <w:pStyle w:val="Compact"/>
            </w:pPr>
            <w:r>
              <w:t xml:space="preserve">2.50 µL</w:t>
            </w:r>
          </w:p>
        </w:tc>
        <w:tc>
          <w:tcPr/>
          <w:p>
            <w:pPr>
              <w:pStyle w:val="Compact"/>
            </w:pPr>
            <w:r>
              <w:t xml:space="preserve">10 µM</w:t>
            </w:r>
          </w:p>
        </w:tc>
      </w:tr>
      <w:tr>
        <w:tc>
          <w:tcPr/>
          <w:p>
            <w:pPr>
              <w:pStyle w:val="Compact"/>
            </w:pPr>
            <w:r>
              <w:t xml:space="preserve">ITS 4 Reverse Primer</w:t>
            </w:r>
          </w:p>
        </w:tc>
        <w:tc>
          <w:tcPr/>
          <w:p>
            <w:pPr>
              <w:pStyle w:val="Compact"/>
            </w:pPr>
            <w:r>
              <w:t xml:space="preserve">2.50 µL</w:t>
            </w:r>
          </w:p>
        </w:tc>
        <w:tc>
          <w:tcPr/>
          <w:p>
            <w:pPr>
              <w:pStyle w:val="Compact"/>
            </w:pPr>
            <w:r>
              <w:t xml:space="preserve">10 µM</w:t>
            </w:r>
          </w:p>
        </w:tc>
      </w:tr>
      <w:tr>
        <w:tc>
          <w:tcPr/>
          <w:p>
            <w:pPr>
              <w:pStyle w:val="Compact"/>
            </w:pPr>
            <w:r>
              <w:t xml:space="preserve">Nuclease-Free Water</w:t>
            </w:r>
          </w:p>
        </w:tc>
        <w:tc>
          <w:tcPr/>
          <w:p>
            <w:pPr>
              <w:pStyle w:val="Compact"/>
            </w:pPr>
            <w:r>
              <w:t xml:space="preserve">15.00 µL</w:t>
            </w:r>
          </w:p>
        </w:tc>
        <w:tc>
          <w:tcPr/>
          <w:p>
            <w:pPr>
              <w:pStyle w:val="Compac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tip.png" id="1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Mastermix Preparation Tips</w:t>
            </w:r>
          </w:p>
        </w:tc>
      </w:tr>
      <w:tr>
        <w:trPr>
          <w:cantSplit/>
        </w:trPr>
        <w:tc>
          <w:tcPr>
            <w:tcMar>
              <w:top w:w="108" w:type="dxa"/>
              <w:bottom w:w="108" w:type="dxa"/>
            </w:tcMar>
          </w:tcPr>
          <w:p>
            <w:pPr>
              <w:pStyle w:val="Compact"/>
              <w:numPr>
                <w:ilvl w:val="0"/>
                <w:numId w:val="1247"/>
              </w:numPr>
            </w:pPr>
            <w:r>
              <w:t xml:space="preserve">Always prepare a mastermix for multiple reactions to minimize pipetting errors and ensure consistency across samples.</w:t>
            </w:r>
          </w:p>
          <w:p>
            <w:pPr>
              <w:pStyle w:val="Compact"/>
              <w:numPr>
                <w:ilvl w:val="0"/>
                <w:numId w:val="1247"/>
              </w:numPr>
            </w:pPr>
            <w:r>
              <w:t xml:space="preserve">Prepare a mastermix for 10 reactions, even if you have fewer samples (two isolates per group member = 2x4), to account for pipetting errors and to have extra volume for troubleshooting if needed.</w:t>
            </w:r>
          </w:p>
          <w:p>
            <w:pPr>
              <w:pStyle w:val="Compact"/>
              <w:numPr>
                <w:ilvl w:val="0"/>
                <w:numId w:val="1247"/>
              </w:numPr>
            </w:pPr>
            <w:r>
              <w:t xml:space="preserve">Mix the mastermix thoroughly by pipetting up and down or vortexing gently, and then briefly centrifuge to collect the liquid at the bottom of the tube before aliquoting into PCR tubes.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Volume for 10 Reactions</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250.00 µL</w:t>
                  </w:r>
                </w:p>
              </w:tc>
            </w:tr>
            <w:tr>
              <w:tc>
                <w:tcPr/>
                <w:p>
                  <w:pPr>
                    <w:pStyle w:val="Compact"/>
                  </w:pPr>
                  <w:r>
                    <w:t xml:space="preserve">ITS 1 Forward Primer</w:t>
                  </w:r>
                </w:p>
              </w:tc>
              <w:tc>
                <w:tcPr/>
                <w:p>
                  <w:pPr>
                    <w:pStyle w:val="Compact"/>
                  </w:pPr>
                  <w:r>
                    <w:t xml:space="preserve">2.50 µL</w:t>
                  </w:r>
                </w:p>
              </w:tc>
              <w:tc>
                <w:tcPr/>
                <w:p>
                  <w:pPr>
                    <w:pStyle w:val="Compact"/>
                  </w:pPr>
                  <w:r>
                    <w:t xml:space="preserve">25.00 µL</w:t>
                  </w:r>
                </w:p>
              </w:tc>
            </w:tr>
            <w:tr>
              <w:tc>
                <w:tcPr/>
                <w:p>
                  <w:pPr>
                    <w:pStyle w:val="Compact"/>
                  </w:pPr>
                  <w:r>
                    <w:t xml:space="preserve">ITS 4 Reverse Primer</w:t>
                  </w:r>
                </w:p>
              </w:tc>
              <w:tc>
                <w:tcPr/>
                <w:p>
                  <w:pPr>
                    <w:pStyle w:val="Compact"/>
                  </w:pPr>
                  <w:r>
                    <w:t xml:space="preserve">2.50 µL</w:t>
                  </w:r>
                </w:p>
              </w:tc>
              <w:tc>
                <w:tcPr/>
                <w:p>
                  <w:pPr>
                    <w:pStyle w:val="Compact"/>
                  </w:pPr>
                  <w:r>
                    <w:t xml:space="preserve">25.00 µL</w:t>
                  </w:r>
                </w:p>
              </w:tc>
            </w:tr>
            <w:tr>
              <w:tc>
                <w:tcPr/>
                <w:p>
                  <w:pPr>
                    <w:pStyle w:val="Compact"/>
                  </w:pPr>
                  <w:r>
                    <w:t xml:space="preserve">Nuclease-Free Water</w:t>
                  </w:r>
                </w:p>
              </w:tc>
              <w:tc>
                <w:tcPr/>
                <w:p>
                  <w:pPr>
                    <w:pStyle w:val="Compact"/>
                  </w:pPr>
                  <w:r>
                    <w:t xml:space="preserve">15.00 µL</w:t>
                  </w:r>
                </w:p>
              </w:tc>
              <w:tc>
                <w:tcPr/>
                <w:p>
                  <w:pPr>
                    <w:pStyle w:val="Compact"/>
                  </w:pPr>
                  <w:r>
                    <w:t xml:space="preserve">150.00 µL</w:t>
                  </w:r>
                </w:p>
              </w:tc>
            </w:tr>
          </w:tbl>
          <w:p/>
        </w:tc>
      </w:tr>
    </w:tbl>
    <w:p>
      <w:pPr>
        <w:pStyle w:val="Compact"/>
        <w:numPr>
          <w:ilvl w:val="0"/>
          <w:numId w:val="1248"/>
        </w:numPr>
      </w:pPr>
      <w:r>
        <w:t xml:space="preserve">Aliquot 45.00 µL of your prepared mastermix into 0.2 mL snap-cap PCR tubes.</w:t>
      </w:r>
    </w:p>
    <w:p>
      <w:pPr>
        <w:pStyle w:val="Compact"/>
        <w:numPr>
          <w:ilvl w:val="0"/>
          <w:numId w:val="1248"/>
        </w:numPr>
      </w:pPr>
      <w:r>
        <w:t xml:space="preserve">Add 5.00 µL of your extracted DNA to the PCR tube containing the mastermix. Be sure to use a new pipette tip for each sample to avoid cross-contamination.</w:t>
      </w:r>
    </w:p>
    <w:p>
      <w:pPr>
        <w:pStyle w:val="Compact"/>
        <w:numPr>
          <w:ilvl w:val="0"/>
          <w:numId w:val="1248"/>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9"/>
        </w:numPr>
      </w:pPr>
      <w:r>
        <w:t xml:space="preserve">After the PCR program is complete, follow the Exo-CIP protocol to prepare your DNA for Sanger sequencing. Then, store your PCR products at -20 °C.</w:t>
      </w:r>
    </w:p>
    <w:p>
      <w:pPr>
        <w:pStyle w:val="Compact"/>
        <w:numPr>
          <w:ilvl w:val="0"/>
          <w:numId w:val="1249"/>
        </w:numPr>
      </w:pPr>
      <w:r>
        <w:t xml:space="preserve">Transfer 5.00 µl of PCR product to a new PCR tube and add 1.00 µl of Exo-CIP A and 1.00 µl of Exo-CIP B, respectively. The final volume is 7.00 µl. Mix thoroughly and briefly centrifuge at 1000 x g.</w:t>
      </w:r>
      <w:r>
        <w:t xml:space="preserve"> </w:t>
      </w:r>
      <w:r>
        <w:rPr>
          <w:b/>
          <w:bCs/>
        </w:rPr>
        <w:t xml:space="preserve">Perform this step in a clean area to avoid contamination of your PCR product. Prepare duplicate reactions for a forward and reverse primer set.</w:t>
      </w:r>
    </w:p>
    <w:p>
      <w:pPr>
        <w:pStyle w:val="Compact"/>
        <w:numPr>
          <w:ilvl w:val="0"/>
          <w:numId w:val="1249"/>
        </w:numPr>
      </w:pPr>
      <w:r>
        <w:t xml:space="preserve">Incubate the reaction tube for 4 minutes at 37°C followed by 1 minute at 80°C. This will degrade the remaining primers and nucleotides and inactivate the Exo-CIP enzymes.</w:t>
      </w:r>
    </w:p>
    <w:p>
      <w:pPr>
        <w:pStyle w:val="Compact"/>
        <w:numPr>
          <w:ilvl w:val="0"/>
          <w:numId w:val="1249"/>
        </w:numPr>
      </w:pPr>
      <w:r>
        <w:t xml:space="preserve">Submit 7.00 µl of treated PCR product for sequencing with</w:t>
      </w:r>
      <w:r>
        <w:t xml:space="preserve"> </w:t>
      </w:r>
      <w:hyperlink r:id="rId187">
        <w:r>
          <w:rPr>
            <w:rStyle w:val="Hyperlink"/>
          </w:rPr>
          <w:t xml:space="preserve">Eton Biosciences</w:t>
        </w:r>
      </w:hyperlink>
      <w:r>
        <w:t xml:space="preserve">. Include 10 uM of the forward and reverse primers in separate tubes for sequencing. Be sure to label your tubes clearly with the name of your isolate and your name.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important.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Troubleshooting PCR</w:t>
            </w:r>
            <w:r>
              <w:t xml:space="preserve"> </w:t>
            </w:r>
            <w:r>
              <w:t xml:space="preserve">1. No amplification on any samples: check primers, polymerase, and other reagents.</w:t>
            </w:r>
            <w:r>
              <w:t xml:space="preserve"> </w:t>
            </w:r>
            <w:r>
              <w:t xml:space="preserve">2. Positive control OK, but samples show no amplification: Try dilutions of samples to check for inhibitors. Try a control with a primer set for common organisms to check that you can PCR something. Check the DNA amount.</w:t>
            </w:r>
            <w:r>
              <w:t xml:space="preserve"> </w:t>
            </w:r>
            <w:r>
              <w:t xml:space="preserve">3. Weak or multiple bands, smear: mispriming from the incorrect program. Check primer concentration: an imbalance of primers can lead to multiple bands.</w:t>
            </w:r>
          </w:p>
          <w:p/>
        </w:tc>
      </w:tr>
    </w:tbl>
    <w:bookmarkEnd w:id="190"/>
    <w:bookmarkEnd w:id="191"/>
    <w:bookmarkStart w:id="203"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2" w:name="X33da8410cb3a6a87a17acf837e70992547b4475"/>
    <w:p>
      <w:pPr>
        <w:pStyle w:val="Heading4"/>
      </w:pPr>
      <w:r>
        <w:t xml:space="preserve">Prepare the E-Gel and Gel Electrophoresis System</w:t>
      </w:r>
    </w:p>
    <w:bookmarkEnd w:id="192"/>
    <w:bookmarkStart w:id="193" w:name="materials-and-equipment-9"/>
    <w:p>
      <w:pPr>
        <w:pStyle w:val="Heading4"/>
      </w:pPr>
      <w:r>
        <w:t xml:space="preserve">Materials and Equipment</w:t>
      </w:r>
    </w:p>
    <w:p>
      <w:pPr>
        <w:pStyle w:val="Compact"/>
        <w:numPr>
          <w:ilvl w:val="0"/>
          <w:numId w:val="1250"/>
        </w:numPr>
      </w:pPr>
      <w:r>
        <w:t xml:space="preserve">1% E-Gel™ EX precast gels (or 1.2% E-Gel) to visualize PCR products</w:t>
      </w:r>
    </w:p>
    <w:p>
      <w:pPr>
        <w:pStyle w:val="Compact"/>
        <w:numPr>
          <w:ilvl w:val="0"/>
          <w:numId w:val="1251"/>
        </w:numPr>
      </w:pPr>
      <w:r>
        <w:t xml:space="preserve">E-Gel™ 1kb Plus DNA Ladder (ThermoFisher, 10488018) or similar DNA ladder</w:t>
      </w:r>
    </w:p>
    <w:p>
      <w:pPr>
        <w:pStyle w:val="Compact"/>
        <w:numPr>
          <w:ilvl w:val="0"/>
          <w:numId w:val="1252"/>
        </w:numPr>
      </w:pPr>
      <w:r>
        <w:t xml:space="preserve">E-Gel™ Loading Dye (ThermoFisher, 10488100) or similar loading dye</w:t>
      </w:r>
    </w:p>
    <w:p>
      <w:pPr>
        <w:pStyle w:val="Compact"/>
        <w:numPr>
          <w:ilvl w:val="0"/>
          <w:numId w:val="1253"/>
        </w:numPr>
      </w:pPr>
      <w:r>
        <w:t xml:space="preserve">P20 micropipette with tips</w:t>
      </w:r>
    </w:p>
    <w:bookmarkEnd w:id="193"/>
    <w:bookmarkStart w:id="202" w:name="gel-loading"/>
    <w:p>
      <w:pPr>
        <w:pStyle w:val="Heading4"/>
      </w:pPr>
      <w:r>
        <w:t xml:space="preserve">Gel Loading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tip.png" id="19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Watch this</w:t>
            </w:r>
            <w:r>
              <w:t xml:space="preserve"> </w:t>
            </w:r>
            <w:hyperlink r:id="rId196">
              <w:r>
                <w:rPr>
                  <w:rStyle w:val="Hyperlink"/>
                </w:rPr>
                <w:t xml:space="preserve">video</w:t>
              </w:r>
            </w:hyperlink>
            <w:r>
              <w:t xml:space="preserve"> </w:t>
            </w:r>
            <w:r>
              <w:t xml:space="preserve">for a demonstration of how to load a gel.</w:t>
            </w:r>
          </w:p>
          <w:p/>
        </w:tc>
      </w:tr>
    </w:tbl>
    <w:p>
      <w:pPr>
        <w:pStyle w:val="Compact"/>
        <w:numPr>
          <w:ilvl w:val="0"/>
          <w:numId w:val="1254"/>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4"/>
        </w:numPr>
      </w:pPr>
      <w:r>
        <w:t xml:space="preserve">Label your tubes and make a map of your samples in your gel.</w:t>
      </w:r>
    </w:p>
    <w:p>
      <w:pPr>
        <w:pStyle w:val="Compact"/>
        <w:numPr>
          <w:ilvl w:val="0"/>
          <w:numId w:val="1254"/>
        </w:numPr>
      </w:pPr>
      <w:r>
        <w:t xml:space="preserve">Load 20 μL of the DNA ladder into the first well of the gel. This will allow you to estimate the size of your PCR products.</w:t>
      </w:r>
    </w:p>
    <w:p>
      <w:pPr>
        <w:pStyle w:val="Compact"/>
        <w:numPr>
          <w:ilvl w:val="0"/>
          <w:numId w:val="1254"/>
        </w:numPr>
      </w:pPr>
      <w:r>
        <w:t xml:space="preserve">Load 20 μL of your PCR product into the remaining wells of the gel.</w:t>
      </w:r>
    </w:p>
    <w:p>
      <w:pPr>
        <w:pStyle w:val="Compact"/>
        <w:numPr>
          <w:ilvl w:val="0"/>
          <w:numId w:val="1254"/>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4"/>
        </w:numPr>
      </w:pPr>
      <w:r>
        <w:t xml:space="preserve">Be sure to reserve one well per row for a standardized DNA ladder.</w:t>
      </w:r>
    </w:p>
    <w:p>
      <w:pPr>
        <w:pStyle w:val="Compact"/>
        <w:numPr>
          <w:ilvl w:val="0"/>
          <w:numId w:val="1254"/>
        </w:numPr>
      </w:pPr>
      <w:r>
        <w:t xml:space="preserve">Run for about 10 minutes.</w:t>
      </w:r>
    </w:p>
    <w:p>
      <w:pPr>
        <w:pStyle w:val="Compact"/>
        <w:numPr>
          <w:ilvl w:val="0"/>
          <w:numId w:val="1254"/>
        </w:numPr>
      </w:pPr>
      <w:r>
        <w:t xml:space="preserve">Visualize and check the migration of your PCR product across the gel every few minutes to ensure it doesn’t run off the other end of the gel. You should see a band between 500-700 bp, which is the expected size of the ITS region.</w:t>
      </w:r>
    </w:p>
    <w:p>
      <w:pPr>
        <w:pStyle w:val="Compact"/>
        <w:numPr>
          <w:ilvl w:val="0"/>
          <w:numId w:val="1254"/>
        </w:numPr>
      </w:pPr>
      <w:r>
        <w:t xml:space="preserve">Take an image of your gel using the UV backlight. Be sure to include the DNA ladder in the image for size reference.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caution.png" id="199" name="Picture"/>
                          <pic:cNvPicPr>
                            <a:picLocks noChangeArrowheads="1" noChangeAspect="1"/>
                          </pic:cNvPicPr>
                        </pic:nvPicPr>
                        <pic:blipFill>
                          <a:blip r:embed="rId1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5"/>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202"/>
    <w:bookmarkEnd w:id="203"/>
    <w:bookmarkEnd w:id="204"/>
    <w:bookmarkStart w:id="216" w:name="X37c226c569f2782ddd34a7e3dda9ae1f37e644c"/>
    <w:p>
      <w:pPr>
        <w:pStyle w:val="Heading2"/>
      </w:pPr>
      <w:r>
        <w:t xml:space="preserve">Module 4.3 – DNA Isolation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bookmarkStart w:id="208" w:name="X952df3a004408e5fd29dbec3928cb09a38ef5d5"/>
    <w:p>
      <w:pPr>
        <w:pStyle w:val="Heading3"/>
      </w:pPr>
      <w:r>
        <w:t xml:space="preserve">Part I: DNA Extraction for Nanopore Sequencing</w:t>
      </w:r>
    </w:p>
    <w:p>
      <w:pPr>
        <w:pStyle w:val="FirstParagraph"/>
      </w:pPr>
      <w:r>
        <w:t xml:space="preserve">Follow the</w:t>
      </w:r>
      <w:r>
        <w:t xml:space="preserve"> </w:t>
      </w:r>
      <w:hyperlink r:id="rId205">
        <w:r>
          <w:rPr>
            <w:rStyle w:val="Hyperlink"/>
          </w:rPr>
          <w:t xml:space="preserve">manufacturer’s instructions for fungal DNA extraction</w:t>
        </w:r>
      </w:hyperlink>
      <w:r>
        <w:t xml:space="preserve">, and then proceed with the Rapid Barcoding Kit protocol for library preparation and sequencing on the MinION device.</w:t>
      </w:r>
    </w:p>
    <w:p>
      <w:pPr>
        <w:pStyle w:val="BodyText"/>
      </w:pPr>
      <w:r>
        <w:t xml:space="preserve">You will perform the DNA extraction for your team’s selected isolate in quadruplicate to ensure you have enough DNA for sequencing and to account for any potential issues during the extraction process. After extraction, you will quantify your DNA using a Qubit Fluorometer with the dsDNA HS Assay Kit to ensure you have sufficient DNA for library preparation. We will then decide whether to concentrate the DNA using a quick kit or to proceed directly to library preparation based on the DNA concentration and quality.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important.png" id="20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protocol has numerous steps and requires careful attention to detail. Follow each step carefully to ensure the best possible results. Work with your team to divide the tasks and support each other throughout the process. If you encounter any issues or have questions, don’t hesitate to ask for help from your instructor or peers. Carefully check your work at each step to ensure that you are following the protocol correctly and to catch any potential errors early on.</w:t>
            </w:r>
          </w:p>
          <w:p/>
        </w:tc>
      </w:tr>
    </w:tbl>
    <w:bookmarkEnd w:id="208"/>
    <w:bookmarkStart w:id="213" w:name="X1cd4f631a3286eddfef90ff70324776f6572c37"/>
    <w:p>
      <w:pPr>
        <w:pStyle w:val="Heading3"/>
      </w:pPr>
      <w:r>
        <w:t xml:space="preserve">Part II: DNA Quantification and Quality Assessment</w:t>
      </w:r>
    </w:p>
    <w:p>
      <w:pPr>
        <w:pStyle w:val="FirstParagraph"/>
      </w:pPr>
      <w:r>
        <w:t xml:space="preserve">After extracting DNA from your fungal isolates, it is crucial to quantify the DNA concentration and assess its quality before proceeding with library preparation for sequencing. This step ensures that you have sufficient DNA for successful sequencing and that the DNA is of good quality, which can impact the sequencing results.</w:t>
      </w:r>
    </w:p>
    <w:bookmarkStart w:id="209" w:name="materials-and-equipment-10"/>
    <w:p>
      <w:pPr>
        <w:pStyle w:val="Heading4"/>
      </w:pPr>
      <w:r>
        <w:t xml:space="preserve">Materials and Equipment</w:t>
      </w:r>
    </w:p>
    <w:p>
      <w:pPr>
        <w:pStyle w:val="Compact"/>
        <w:numPr>
          <w:ilvl w:val="0"/>
          <w:numId w:val="1256"/>
        </w:numPr>
      </w:pPr>
      <w:r>
        <w:t xml:space="preserve">Qubit Fluorometer (ThermoFisher, Q33238) or similar DNA quantification device</w:t>
      </w:r>
    </w:p>
    <w:p>
      <w:pPr>
        <w:pStyle w:val="Compact"/>
        <w:numPr>
          <w:ilvl w:val="0"/>
          <w:numId w:val="1257"/>
        </w:numPr>
      </w:pPr>
      <w:r>
        <w:t xml:space="preserve">Quibit tubes and standards for the dsDNA HS Assay Kit</w:t>
      </w:r>
    </w:p>
    <w:p>
      <w:pPr>
        <w:pStyle w:val="Compact"/>
        <w:numPr>
          <w:ilvl w:val="0"/>
          <w:numId w:val="1258"/>
        </w:numPr>
      </w:pPr>
      <w:r>
        <w:t xml:space="preserve">Qubit dsDNA HS Assay Kit (ThermoFisher, Q32851) or similar high-sensitivity DNA quantification kit</w:t>
      </w:r>
    </w:p>
    <w:p>
      <w:pPr>
        <w:pStyle w:val="Compact"/>
        <w:numPr>
          <w:ilvl w:val="0"/>
          <w:numId w:val="1259"/>
        </w:numPr>
      </w:pPr>
      <w:r>
        <w:t xml:space="preserve">Nuclease-free water</w:t>
      </w:r>
      <w:r>
        <w:br/>
      </w:r>
    </w:p>
    <w:p>
      <w:pPr>
        <w:pStyle w:val="Compact"/>
        <w:numPr>
          <w:ilvl w:val="0"/>
          <w:numId w:val="1260"/>
        </w:numPr>
      </w:pPr>
      <w:r>
        <w:t xml:space="preserve">1.5 mL microcentrifuge tubes (Eppendorf DNA LoBind) for dilutions</w:t>
      </w:r>
    </w:p>
    <w:p>
      <w:pPr>
        <w:pStyle w:val="Compact"/>
        <w:numPr>
          <w:ilvl w:val="0"/>
          <w:numId w:val="1261"/>
        </w:numPr>
      </w:pPr>
      <w:r>
        <w:t xml:space="preserve">P10, P20, and P200 micropipette with tips for accurate pipetting of small volumes</w:t>
      </w:r>
    </w:p>
    <w:bookmarkEnd w:id="209"/>
    <w:bookmarkStart w:id="212" w:name="procedures-1"/>
    <w:p>
      <w:pPr>
        <w:pStyle w:val="Heading4"/>
      </w:pPr>
      <w:r>
        <w:t xml:space="preserve">Procedures</w:t>
      </w:r>
    </w:p>
    <w:p>
      <w:pPr>
        <w:pStyle w:val="Compact"/>
        <w:numPr>
          <w:ilvl w:val="0"/>
          <w:numId w:val="1262"/>
        </w:numPr>
      </w:pPr>
      <w:r>
        <w:t xml:space="preserve">Prepare the Qubit working solution according to the manufacturer’s instructions for the dsDNA HS Assay Kit. This typically involves diluting the Qubit reagent in the provided buffer to create a working solution.</w:t>
      </w:r>
    </w:p>
    <w:p>
      <w:pPr>
        <w:pStyle w:val="Compact"/>
        <w:numPr>
          <w:ilvl w:val="0"/>
          <w:numId w:val="1262"/>
        </w:numPr>
      </w:pPr>
      <w:r>
        <w:t xml:space="preserve">Prepare the Qubit standards by diluting the provided DNA standards to create a standard curve for quantification. This involves creating two standards.</w:t>
      </w:r>
    </w:p>
    <w:p>
      <w:pPr>
        <w:pStyle w:val="Compact"/>
        <w:numPr>
          <w:ilvl w:val="0"/>
          <w:numId w:val="1262"/>
        </w:numPr>
      </w:pPr>
      <w:r>
        <w:t xml:space="preserve">Quantify 1.00 µL of each of your DNA samples using the Qubit fluorometer by combining with 199.00 µL of 1X Qubit working solution.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Carefully pipette the small volume of DNA sample (1.00 µL) to ensure accuracy in quantification. Use a P10 micropipette for this step, and make sure to mix the sample with the working solution thoroughly before measurement.</w:t>
            </w:r>
          </w:p>
          <w:p/>
        </w:tc>
      </w:tr>
    </w:tbl>
    <w:p>
      <w:pPr>
        <w:pStyle w:val="Compact"/>
        <w:numPr>
          <w:ilvl w:val="0"/>
          <w:numId w:val="1263"/>
        </w:numPr>
      </w:pPr>
      <w:r>
        <w:t xml:space="preserve">Vortex the for 2-3 seconds and place in a dark drawer for 2 minutes to allow the dye to bind to the DNA.</w:t>
      </w:r>
    </w:p>
    <w:p>
      <w:pPr>
        <w:pStyle w:val="Compact"/>
        <w:numPr>
          <w:ilvl w:val="0"/>
          <w:numId w:val="1263"/>
        </w:numPr>
      </w:pPr>
      <w:r>
        <w:t xml:space="preserve">Measure the fluorescence of each sample using the Qubit fluorometer, and record the DNA concentration in ng/µL for each sample.</w:t>
      </w:r>
    </w:p>
    <w:p>
      <w:pPr>
        <w:pStyle w:val="Compact"/>
        <w:numPr>
          <w:ilvl w:val="0"/>
          <w:numId w:val="1263"/>
        </w:numPr>
      </w:pPr>
      <w:r>
        <w:t xml:space="preserve">Record the DNA concentration for each sample in your lab notebook and class spreadsheet. This information will be important for determining whether you need to concentrate your DNA before library preparation and for troubleshooting any issues that may arise during sequencing.</w:t>
      </w:r>
    </w:p>
    <w:p>
      <w:pPr>
        <w:pStyle w:val="Compact"/>
        <w:numPr>
          <w:ilvl w:val="0"/>
          <w:numId w:val="1263"/>
        </w:numPr>
      </w:pPr>
      <w:r>
        <w:t xml:space="preserve">Use the nanospectrophotometer to assess the purity of your DNA samples by measuring the absorbance at 260 nm and 280 nm. The A260/A280 ratio should ideally be around 1.8 for pure DNA. Record these values in your lab notebook and class spreadsheet as well. Remember to blank the spectrophotometer with the appropriate buffer (NEB Elution Buffer) before measuring 1.00 µL of your samples.</w:t>
      </w:r>
    </w:p>
    <w:bookmarkEnd w:id="212"/>
    <w:bookmarkEnd w:id="213"/>
    <w:bookmarkStart w:id="215" w:name="X2b79e9d5816de4ceb4854e7690fb1e1c298320c"/>
    <w:p>
      <w:pPr>
        <w:pStyle w:val="Heading3"/>
      </w:pPr>
      <w:r>
        <w:t xml:space="preserve">Part III: Library Preparation and Sequencing</w:t>
      </w:r>
    </w:p>
    <w:p>
      <w:pPr>
        <w:pStyle w:val="FirstParagraph"/>
      </w:pPr>
      <w:r>
        <w:t xml:space="preserve">Follow the Rapid Barcoding Kit v14 (SQK-RBK114.24) protocol from Oxford Nanopore Technologies for library preparation and sequencing on the MinION device. This protocol includes steps for DNA fragmentation, end repair, barcoding, and loading the library onto the flow cell for sequencing. Be sure to follow each step carefully and to use the appropriate controls and standards as recommended by the manufacturer.</w:t>
      </w:r>
    </w:p>
    <w:p>
      <w:pPr>
        <w:pStyle w:val="BodyText"/>
      </w:pPr>
      <w:r>
        <w:t xml:space="preserve">We will</w:t>
      </w:r>
      <w:r>
        <w:t xml:space="preserve"> </w:t>
      </w:r>
      <w:r>
        <w:t xml:space="preserve">“barcode”</w:t>
      </w:r>
      <w:r>
        <w:t xml:space="preserve"> </w:t>
      </w:r>
      <w:r>
        <w:t xml:space="preserve">our samples using the Rapid Barcoding Kit, which allows us to multiplex multiple samples on a single flow cell. This means that we can sequence multiple fungal isolates in the same run and then demultiplex the data later to separate the sequences by sample based on their unique barcodes. Keep track of the barcodes you use for each sample, as this information will be crucial for data analysis after sequencing.</w:t>
      </w:r>
    </w:p>
    <w:p>
      <w:pPr>
        <w:pStyle w:val="BodyText"/>
      </w:pPr>
      <w:r>
        <w:t xml:space="preserve">We will run the MinION device for 48-72 hours to generate long-read sequencing data for our fungal isolates. After sequencing, we will analyze the data to assemble the genomes and analyze the ITS region. We will then compare sequences to reference sequences in databases for species identification.</w:t>
      </w:r>
    </w:p>
    <w:p>
      <w:pPr>
        <w:pStyle w:val="BodyText"/>
      </w:pPr>
      <w:r>
        <w:rPr>
          <w:b/>
          <w:bCs/>
        </w:rPr>
        <w:t xml:space="preserve">Protocols can be accessed here:</w:t>
      </w:r>
      <w:r>
        <w:t xml:space="preserve"> </w:t>
      </w:r>
      <w:r>
        <w:t xml:space="preserve">-</w:t>
      </w:r>
      <w:r>
        <w:t xml:space="preserve"> </w:t>
      </w:r>
      <w:hyperlink r:id="rId214">
        <w:r>
          <w:rPr>
            <w:rStyle w:val="Hyperlink"/>
          </w:rPr>
          <w:t xml:space="preserve">Rapid Barcoding Kit v14 Protocol</w:t>
        </w:r>
      </w:hyperlink>
      <w:r>
        <w:t xml:space="preserve"> </w:t>
      </w:r>
      <w:r>
        <w:t xml:space="preserve">-</w:t>
      </w:r>
      <w:r>
        <w:t xml:space="preserve"> </w:t>
      </w:r>
      <w:hyperlink r:id="rId205">
        <w:r>
          <w:rPr>
            <w:rStyle w:val="Hyperlink"/>
          </w:rPr>
          <w:t xml:space="preserve">Fungal DNA Extraction Protocol</w:t>
        </w:r>
      </w:hyperlink>
    </w:p>
    <w:bookmarkEnd w:id="215"/>
    <w:bookmarkEnd w:id="216"/>
    <w:bookmarkStart w:id="219" w:name="Xe214f4473026be468b4bdee86ab7b25460265f4"/>
    <w:p>
      <w:pPr>
        <w:pStyle w:val="Heading2"/>
      </w:pPr>
      <w:r>
        <w:t xml:space="preserve">Module 4.4 – Sanger Sequence Analysis and Species Identification</w:t>
      </w:r>
    </w:p>
    <w:p>
      <w:pPr>
        <w:pStyle w:val="FirstParagraph"/>
      </w:pPr>
      <w:r>
        <w:t xml:space="preserve">Your cleaned PCR product will be sent to an external facility for Sanger sequencing.</w:t>
      </w:r>
    </w:p>
    <w:bookmarkStart w:id="218" w:name="identify-your-sequence-data-using-blast"/>
    <w:p>
      <w:pPr>
        <w:pStyle w:val="Heading3"/>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64"/>
        </w:numPr>
      </w:pPr>
      <w:r>
        <w:t xml:space="preserve">Go to</w:t>
      </w:r>
      <w:r>
        <w:t xml:space="preserve"> </w:t>
      </w:r>
      <w:hyperlink r:id="rId217">
        <w:r>
          <w:rPr>
            <w:rStyle w:val="Hyperlink"/>
          </w:rPr>
          <w:t xml:space="preserve">NCBI</w:t>
        </w:r>
      </w:hyperlink>
      <w:r>
        <w:t xml:space="preserve">.</w:t>
      </w:r>
    </w:p>
    <w:p>
      <w:pPr>
        <w:pStyle w:val="Compact"/>
        <w:numPr>
          <w:ilvl w:val="0"/>
          <w:numId w:val="126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65"/>
        </w:numPr>
      </w:pPr>
      <w:r>
        <w:t xml:space="preserve">BLAST = Basic Local Alignment Search Tool</w:t>
      </w:r>
    </w:p>
    <w:p>
      <w:pPr>
        <w:pStyle w:val="Compact"/>
        <w:numPr>
          <w:ilvl w:val="0"/>
          <w:numId w:val="1264"/>
        </w:numPr>
      </w:pPr>
      <w:r>
        <w:t xml:space="preserve">Click on the Nucleotide BLAST image.</w:t>
      </w:r>
    </w:p>
    <w:p>
      <w:pPr>
        <w:pStyle w:val="Compact"/>
        <w:numPr>
          <w:ilvl w:val="1"/>
          <w:numId w:val="126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64"/>
        </w:numPr>
      </w:pPr>
      <w:r>
        <w:t xml:space="preserve">Paste your sequence data into the big space under</w:t>
      </w:r>
      <w:r>
        <w:t xml:space="preserve"> </w:t>
      </w:r>
      <w:r>
        <w:t xml:space="preserve">“Enter Query Sequence”</w:t>
      </w:r>
      <w:r>
        <w:t xml:space="preserve">.</w:t>
      </w:r>
    </w:p>
    <w:p>
      <w:pPr>
        <w:pStyle w:val="Compact"/>
        <w:numPr>
          <w:ilvl w:val="1"/>
          <w:numId w:val="126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64"/>
        </w:numPr>
      </w:pPr>
      <w:r>
        <w:t xml:space="preserve">Under Choose Search Set you can keep it under</w:t>
      </w:r>
      <w:r>
        <w:t xml:space="preserve"> </w:t>
      </w:r>
      <w:r>
        <w:t xml:space="preserve">“Standard databases (nr etc.)”</w:t>
      </w:r>
      <w:r>
        <w:t xml:space="preserve">.</w:t>
      </w:r>
    </w:p>
    <w:p>
      <w:pPr>
        <w:pStyle w:val="Compact"/>
        <w:numPr>
          <w:ilvl w:val="1"/>
          <w:numId w:val="126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64"/>
        </w:numPr>
      </w:pPr>
      <w:r>
        <w:t xml:space="preserve">Select the</w:t>
      </w:r>
      <w:r>
        <w:t xml:space="preserve"> </w:t>
      </w:r>
      <w:r>
        <w:t xml:space="preserve">“BLAST”</w:t>
      </w:r>
      <w:r>
        <w:t xml:space="preserve"> </w:t>
      </w:r>
      <w:r>
        <w:t xml:space="preserve">button at the end.</w:t>
      </w:r>
    </w:p>
    <w:p>
      <w:pPr>
        <w:pStyle w:val="Compact"/>
        <w:numPr>
          <w:ilvl w:val="1"/>
          <w:numId w:val="126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9"/>
        </w:numPr>
      </w:pPr>
      <w:r>
        <w:t xml:space="preserve">Percent Identity = What percent of your sequence (query sequence) is identical to the matched sequence.</w:t>
      </w:r>
    </w:p>
    <w:p>
      <w:pPr>
        <w:pStyle w:val="Compact"/>
        <w:numPr>
          <w:ilvl w:val="1"/>
          <w:numId w:val="1269"/>
        </w:numPr>
      </w:pPr>
      <w:r>
        <w:t xml:space="preserve">Query Cover = How much of the query sequence covers the matched sequence.</w:t>
      </w:r>
    </w:p>
    <w:p>
      <w:pPr>
        <w:pStyle w:val="Compact"/>
        <w:numPr>
          <w:ilvl w:val="1"/>
          <w:numId w:val="1269"/>
        </w:numPr>
      </w:pPr>
      <w:r>
        <w:t xml:space="preserve">E value = The probability that this match occurred by chance in the provided database.</w:t>
      </w:r>
    </w:p>
    <w:p>
      <w:pPr>
        <w:pStyle w:val="Compact"/>
        <w:numPr>
          <w:ilvl w:val="0"/>
          <w:numId w:val="1264"/>
        </w:numPr>
      </w:pPr>
      <w:r>
        <w:t xml:space="preserve">Review the results.</w:t>
      </w:r>
    </w:p>
    <w:p>
      <w:pPr>
        <w:pStyle w:val="Compact"/>
        <w:numPr>
          <w:ilvl w:val="1"/>
          <w:numId w:val="1270"/>
        </w:numPr>
      </w:pPr>
      <w:r>
        <w:t xml:space="preserve">What is the</w:t>
      </w:r>
      <w:r>
        <w:t xml:space="preserve"> </w:t>
      </w:r>
      <w:r>
        <w:t xml:space="preserve">“top hit”</w:t>
      </w:r>
      <w:r>
        <w:t xml:space="preserve">?</w:t>
      </w:r>
    </w:p>
    <w:p>
      <w:pPr>
        <w:pStyle w:val="Compact"/>
        <w:numPr>
          <w:ilvl w:val="1"/>
          <w:numId w:val="1270"/>
        </w:numPr>
      </w:pPr>
      <w:r>
        <w:t xml:space="preserve">How much support is provided for this hit given the current database used?</w:t>
      </w:r>
    </w:p>
    <w:p>
      <w:pPr>
        <w:pStyle w:val="Compact"/>
        <w:numPr>
          <w:ilvl w:val="1"/>
          <w:numId w:val="1270"/>
        </w:numPr>
      </w:pPr>
      <w:r>
        <w:t xml:space="preserve">What is the taxonomic ID of this result? What kind of fungi are these?</w:t>
      </w:r>
    </w:p>
    <w:p>
      <w:pPr>
        <w:pStyle w:val="Compact"/>
        <w:numPr>
          <w:ilvl w:val="1"/>
          <w:numId w:val="1270"/>
        </w:numPr>
      </w:pPr>
      <w:r>
        <w:t xml:space="preserve">You may google the names and search under Wikipedia to get a better understanding of these organisms and what is known.</w:t>
      </w:r>
    </w:p>
    <w:bookmarkEnd w:id="218"/>
    <w:bookmarkEnd w:id="219"/>
    <w:bookmarkStart w:id="220" w:name="X7c3ef805c8b7ff84993f0011985cd564d243dc9"/>
    <w:p>
      <w:pPr>
        <w:pStyle w:val="Heading2"/>
      </w:pPr>
      <w:r>
        <w:t xml:space="preserve">Module 4.5 – Data Management - Spreadsheets and iNaturalist</w:t>
      </w:r>
    </w:p>
    <w:p>
      <w:pPr>
        <w:pStyle w:val="FirstParagraph"/>
      </w:pPr>
      <w:r>
        <w:t xml:space="preserve">Update your spreadsheet with the following information:</w:t>
      </w:r>
    </w:p>
    <w:p>
      <w:pPr>
        <w:pStyle w:val="Compact"/>
        <w:numPr>
          <w:ilvl w:val="0"/>
          <w:numId w:val="1271"/>
        </w:numPr>
      </w:pPr>
      <w:r>
        <w:t xml:space="preserve">Isolate name</w:t>
      </w:r>
    </w:p>
    <w:p>
      <w:pPr>
        <w:pStyle w:val="Compact"/>
        <w:numPr>
          <w:ilvl w:val="0"/>
          <w:numId w:val="1271"/>
        </w:numPr>
      </w:pPr>
      <w:r>
        <w:t xml:space="preserve">ITS sequence</w:t>
      </w:r>
    </w:p>
    <w:p>
      <w:pPr>
        <w:pStyle w:val="Compact"/>
        <w:numPr>
          <w:ilvl w:val="0"/>
          <w:numId w:val="1271"/>
        </w:numPr>
      </w:pPr>
      <w:r>
        <w:t xml:space="preserve">BLAST top hit</w:t>
      </w:r>
    </w:p>
    <w:p>
      <w:pPr>
        <w:pStyle w:val="Compact"/>
        <w:numPr>
          <w:ilvl w:val="0"/>
          <w:numId w:val="1271"/>
        </w:numPr>
      </w:pPr>
      <w:r>
        <w:t xml:space="preserve">BLAST percent identity</w:t>
      </w:r>
    </w:p>
    <w:p>
      <w:pPr>
        <w:pStyle w:val="Compact"/>
        <w:numPr>
          <w:ilvl w:val="0"/>
          <w:numId w:val="1271"/>
        </w:numPr>
      </w:pPr>
      <w:r>
        <w:t xml:space="preserve">BLAST query cover</w:t>
      </w:r>
    </w:p>
    <w:p>
      <w:pPr>
        <w:pStyle w:val="Compact"/>
        <w:numPr>
          <w:ilvl w:val="0"/>
          <w:numId w:val="1271"/>
        </w:numPr>
      </w:pPr>
      <w:r>
        <w:t xml:space="preserve">BLAST E value</w:t>
      </w:r>
    </w:p>
    <w:p>
      <w:pPr>
        <w:pStyle w:val="Compact"/>
        <w:numPr>
          <w:ilvl w:val="0"/>
          <w:numId w:val="1271"/>
        </w:numPr>
      </w:pPr>
      <w:r>
        <w:t xml:space="preserve">Notes on the BLAST results (e.g., what kind of fungi are these?)</w:t>
      </w:r>
    </w:p>
    <w:bookmarkEnd w:id="220"/>
    <w:bookmarkEnd w:id="221"/>
    <w:bookmarkStart w:id="23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26" w:name="X0d17ba572a281133a22d073b368b9fbe73454ca"/>
    <w:p>
      <w:pPr>
        <w:pStyle w:val="Heading2"/>
      </w:pPr>
      <w:r>
        <w:t xml:space="preserve">Module 5.1 – Tissue Preparation for Genome Sequencing</w:t>
      </w:r>
    </w:p>
    <w:bookmarkStart w:id="225" w:name="X77a2a5cde368cdc7e0265278fa1fc26eefd1a5c"/>
    <w:p>
      <w:pPr>
        <w:pStyle w:val="Heading3"/>
      </w:pPr>
      <w:r>
        <w:t xml:space="preserve">Instructor Laboratory Preparation Instructions</w:t>
      </w:r>
    </w:p>
    <w:bookmarkStart w:id="224" w:name="materials-and-equipment-11"/>
    <w:p>
      <w:pPr>
        <w:pStyle w:val="Heading4"/>
      </w:pPr>
      <w:r>
        <w:t xml:space="preserve">Materials and Equipment</w:t>
      </w:r>
    </w:p>
    <w:p>
      <w:pPr>
        <w:pStyle w:val="Compact"/>
        <w:numPr>
          <w:ilvl w:val="0"/>
          <w:numId w:val="1272"/>
        </w:numPr>
      </w:pPr>
      <w:r>
        <w:t xml:space="preserve">Autoclave</w:t>
      </w:r>
    </w:p>
    <w:p>
      <w:pPr>
        <w:pStyle w:val="Compact"/>
        <w:numPr>
          <w:ilvl w:val="0"/>
          <w:numId w:val="1273"/>
        </w:numPr>
      </w:pPr>
      <w:r>
        <w:t xml:space="preserve">Laminar Flow Hood (if available)</w:t>
      </w:r>
    </w:p>
    <w:p>
      <w:pPr>
        <w:pStyle w:val="Compact"/>
        <w:numPr>
          <w:ilvl w:val="0"/>
          <w:numId w:val="1274"/>
        </w:numPr>
      </w:pPr>
      <w:r>
        <w:t xml:space="preserve">Cellophane</w:t>
      </w:r>
    </w:p>
    <w:p>
      <w:pPr>
        <w:pStyle w:val="Compact"/>
        <w:numPr>
          <w:ilvl w:val="0"/>
          <w:numId w:val="1275"/>
        </w:numPr>
      </w:pPr>
      <w:r>
        <w:t xml:space="preserve">100x15mm Petri Dishes</w:t>
      </w:r>
    </w:p>
    <w:p>
      <w:pPr>
        <w:pStyle w:val="Compact"/>
        <w:numPr>
          <w:ilvl w:val="0"/>
          <w:numId w:val="1276"/>
        </w:numPr>
      </w:pPr>
      <w:r>
        <w:t xml:space="preserve">60x15mm Petri Dishes</w:t>
      </w:r>
    </w:p>
    <w:p>
      <w:pPr>
        <w:pStyle w:val="Compact"/>
        <w:numPr>
          <w:ilvl w:val="0"/>
          <w:numId w:val="1277"/>
        </w:numPr>
      </w:pPr>
      <w:r>
        <w:t xml:space="preserve">Agar, Bacteriological</w:t>
      </w:r>
    </w:p>
    <w:p>
      <w:pPr>
        <w:pStyle w:val="Compact"/>
        <w:numPr>
          <w:ilvl w:val="0"/>
          <w:numId w:val="1278"/>
        </w:numPr>
      </w:pPr>
      <w:r>
        <w:t xml:space="preserve">Potato Dextrose Agar (PDA) media</w:t>
      </w:r>
    </w:p>
    <w:p>
      <w:pPr>
        <w:pStyle w:val="Compact"/>
        <w:numPr>
          <w:ilvl w:val="0"/>
          <w:numId w:val="1279"/>
        </w:numPr>
      </w:pPr>
      <w:r>
        <w:t xml:space="preserve">Alcohol for sterilization</w:t>
      </w:r>
    </w:p>
    <w:p>
      <w:pPr>
        <w:pStyle w:val="Compact"/>
        <w:numPr>
          <w:ilvl w:val="0"/>
          <w:numId w:val="1280"/>
        </w:numPr>
      </w:pPr>
      <w:r>
        <w:t xml:space="preserve">Forceps</w:t>
      </w:r>
    </w:p>
    <w:p>
      <w:pPr>
        <w:pStyle w:val="Compact"/>
        <w:numPr>
          <w:ilvl w:val="0"/>
          <w:numId w:val="1281"/>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24"/>
    <w:bookmarkEnd w:id="225"/>
    <w:bookmarkEnd w:id="226"/>
    <w:bookmarkStart w:id="234" w:name="Xc8205bcafd44c2f0f2777871d0b670e5430cb18"/>
    <w:p>
      <w:pPr>
        <w:pStyle w:val="Heading2"/>
      </w:pPr>
      <w:r>
        <w:t xml:space="preserve">Module 5.2 – Tissue Preparation for Genome Sequencing</w:t>
      </w:r>
    </w:p>
    <w:bookmarkStart w:id="22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27"/>
    <w:bookmarkStart w:id="22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28"/>
    <w:bookmarkStart w:id="229" w:name="sub-culturing-on-cellophane"/>
    <w:p>
      <w:pPr>
        <w:pStyle w:val="Heading3"/>
      </w:pPr>
      <w:r>
        <w:t xml:space="preserve">Sub-Culturing on Cellophane</w:t>
      </w:r>
    </w:p>
    <w:p>
      <w:pPr>
        <w:pStyle w:val="Compact"/>
        <w:numPr>
          <w:ilvl w:val="0"/>
          <w:numId w:val="1282"/>
        </w:numPr>
      </w:pPr>
      <w:r>
        <w:t xml:space="preserve">Clean your workspace as described previously. Work under flames or in a laminar flow hood if available.</w:t>
      </w:r>
    </w:p>
    <w:p>
      <w:pPr>
        <w:pStyle w:val="Compact"/>
        <w:numPr>
          <w:ilvl w:val="0"/>
          <w:numId w:val="1282"/>
        </w:numPr>
      </w:pPr>
      <w:r>
        <w:t xml:space="preserve">Label your Cellophane lined Petri Dish appropriately.</w:t>
      </w:r>
    </w:p>
    <w:p>
      <w:pPr>
        <w:pStyle w:val="Compact"/>
        <w:numPr>
          <w:ilvl w:val="0"/>
          <w:numId w:val="1282"/>
        </w:numPr>
      </w:pPr>
      <w:r>
        <w:t xml:space="preserve">Sterilize implements (forceps and scalpel).</w:t>
      </w:r>
    </w:p>
    <w:p>
      <w:pPr>
        <w:pStyle w:val="Compact"/>
        <w:numPr>
          <w:ilvl w:val="0"/>
          <w:numId w:val="1282"/>
        </w:numPr>
      </w:pPr>
      <w:r>
        <w:t xml:space="preserve">Scrape mycelia from PDA plates that you have been growing. Be sure to avoid transferring any media as much as possible.</w:t>
      </w:r>
    </w:p>
    <w:p>
      <w:pPr>
        <w:pStyle w:val="Compact"/>
        <w:numPr>
          <w:ilvl w:val="1"/>
          <w:numId w:val="1283"/>
        </w:numPr>
      </w:pPr>
      <w:r>
        <w:t xml:space="preserve">Leaving the assay plate on the bench space, remove the parafilm of the inoculation plate and slightly crack open the lid using your non-dominant hand.</w:t>
      </w:r>
    </w:p>
    <w:p>
      <w:pPr>
        <w:pStyle w:val="Compact"/>
        <w:numPr>
          <w:ilvl w:val="1"/>
          <w:numId w:val="1283"/>
        </w:numPr>
      </w:pPr>
      <w:r>
        <w:t xml:space="preserve">Insert your forceps into the crack of the Petri dish and attempt to sample some mycelium.</w:t>
      </w:r>
    </w:p>
    <w:p>
      <w:pPr>
        <w:pStyle w:val="Compact"/>
        <w:numPr>
          <w:ilvl w:val="2"/>
          <w:numId w:val="1284"/>
        </w:numPr>
      </w:pPr>
      <w:r>
        <w:t xml:space="preserve">If you are unable to remove mycelia with your forceps, use your scalpel to remove mycelia with the least amount of agar possible.</w:t>
      </w:r>
    </w:p>
    <w:p>
      <w:pPr>
        <w:pStyle w:val="Compact"/>
        <w:numPr>
          <w:ilvl w:val="0"/>
          <w:numId w:val="1282"/>
        </w:numPr>
      </w:pPr>
      <w:r>
        <w:t xml:space="preserve">Transfer the mycelia to a Petri dish with cellophane.</w:t>
      </w:r>
    </w:p>
    <w:p>
      <w:pPr>
        <w:pStyle w:val="Compact"/>
        <w:numPr>
          <w:ilvl w:val="1"/>
          <w:numId w:val="1285"/>
        </w:numPr>
      </w:pPr>
      <w:r>
        <w:t xml:space="preserve">Carefully remove the chunk of agar. Replace the lid. Slide the sample plate away. Slide a cellophane plate towards you.</w:t>
      </w:r>
    </w:p>
    <w:p>
      <w:pPr>
        <w:pStyle w:val="Compact"/>
        <w:numPr>
          <w:ilvl w:val="1"/>
          <w:numId w:val="1285"/>
        </w:numPr>
      </w:pPr>
      <w:r>
        <w:t xml:space="preserve">Crack open the cellophane plate using your non-dominant hand, and carefully insert the forceps with the agar and mycelium.</w:t>
      </w:r>
    </w:p>
    <w:p>
      <w:pPr>
        <w:pStyle w:val="Compact"/>
        <w:numPr>
          <w:ilvl w:val="1"/>
          <w:numId w:val="1285"/>
        </w:numPr>
      </w:pPr>
      <w:r>
        <w:t xml:space="preserve">To deposit the agar onto the PDA agar, submerge the forceps into the agar on the plate. This should force the agar and mycelium from your forceps, onto the PDA agar.</w:t>
      </w:r>
    </w:p>
    <w:p>
      <w:pPr>
        <w:pStyle w:val="Compact"/>
        <w:numPr>
          <w:ilvl w:val="1"/>
          <w:numId w:val="1285"/>
        </w:numPr>
      </w:pPr>
      <w:r>
        <w:t xml:space="preserve">Pull your forceps straight out to leave the agar and mycelium on the plate.</w:t>
      </w:r>
    </w:p>
    <w:p>
      <w:pPr>
        <w:pStyle w:val="Compact"/>
        <w:numPr>
          <w:ilvl w:val="1"/>
          <w:numId w:val="1285"/>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82"/>
        </w:numPr>
      </w:pPr>
      <w:r>
        <w:t xml:space="preserve">Seal Petri dish with parafilm.</w:t>
      </w:r>
    </w:p>
    <w:p>
      <w:pPr>
        <w:pStyle w:val="Compact"/>
        <w:numPr>
          <w:ilvl w:val="0"/>
          <w:numId w:val="1282"/>
        </w:numPr>
      </w:pPr>
      <w:r>
        <w:t xml:space="preserve">Allow fungi to fill the cellophane.</w:t>
      </w:r>
    </w:p>
    <w:p>
      <w:pPr>
        <w:pStyle w:val="Compact"/>
        <w:numPr>
          <w:ilvl w:val="0"/>
          <w:numId w:val="1282"/>
        </w:numPr>
      </w:pPr>
      <w:r>
        <w:t xml:space="preserve">Repeat this process with all fungal isolates that will be sent for genome sequencing.</w:t>
      </w:r>
    </w:p>
    <w:bookmarkEnd w:id="229"/>
    <w:bookmarkStart w:id="23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30"/>
    <w:bookmarkStart w:id="231" w:name="student-lab-supplies"/>
    <w:p>
      <w:pPr>
        <w:pStyle w:val="Heading3"/>
      </w:pPr>
      <w:r>
        <w:t xml:space="preserve">Student Lab Supplies</w:t>
      </w:r>
    </w:p>
    <w:p>
      <w:pPr>
        <w:pStyle w:val="Compact"/>
        <w:numPr>
          <w:ilvl w:val="0"/>
          <w:numId w:val="1286"/>
        </w:numPr>
      </w:pPr>
      <w:r>
        <w:t xml:space="preserve">1.5 ml Eppendorf tubes</w:t>
      </w:r>
    </w:p>
    <w:p>
      <w:pPr>
        <w:pStyle w:val="Compact"/>
        <w:numPr>
          <w:ilvl w:val="0"/>
          <w:numId w:val="1287"/>
        </w:numPr>
      </w:pPr>
      <w:r>
        <w:t xml:space="preserve">Sharpie</w:t>
      </w:r>
    </w:p>
    <w:p>
      <w:pPr>
        <w:pStyle w:val="Compact"/>
        <w:numPr>
          <w:ilvl w:val="0"/>
          <w:numId w:val="1288"/>
        </w:numPr>
      </w:pPr>
      <w:r>
        <w:t xml:space="preserve">Scalpel</w:t>
      </w:r>
    </w:p>
    <w:p>
      <w:pPr>
        <w:pStyle w:val="Compact"/>
        <w:numPr>
          <w:ilvl w:val="0"/>
          <w:numId w:val="1289"/>
        </w:numPr>
      </w:pPr>
      <w:r>
        <w:t xml:space="preserve">Forceps</w:t>
      </w:r>
    </w:p>
    <w:p>
      <w:pPr>
        <w:pStyle w:val="Compact"/>
        <w:numPr>
          <w:ilvl w:val="0"/>
          <w:numId w:val="1290"/>
        </w:numPr>
      </w:pPr>
      <w:r>
        <w:t xml:space="preserve">Silica</w:t>
      </w:r>
    </w:p>
    <w:p>
      <w:pPr>
        <w:pStyle w:val="Compact"/>
        <w:numPr>
          <w:ilvl w:val="0"/>
          <w:numId w:val="1291"/>
        </w:numPr>
      </w:pPr>
      <w:r>
        <w:t xml:space="preserve">Probe</w:t>
      </w:r>
    </w:p>
    <w:bookmarkEnd w:id="231"/>
    <w:bookmarkStart w:id="23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32"/>
    <w:bookmarkStart w:id="233" w:name="instructions-3"/>
    <w:p>
      <w:pPr>
        <w:pStyle w:val="Heading3"/>
      </w:pPr>
      <w:r>
        <w:t xml:space="preserve">Instructions</w:t>
      </w:r>
    </w:p>
    <w:p>
      <w:pPr>
        <w:pStyle w:val="Compact"/>
        <w:numPr>
          <w:ilvl w:val="0"/>
          <w:numId w:val="1292"/>
        </w:numPr>
      </w:pPr>
      <w:r>
        <w:t xml:space="preserve">You will be harvesting fungal tissue from the cellophane PDA petri dishes.</w:t>
      </w:r>
    </w:p>
    <w:p>
      <w:pPr>
        <w:pStyle w:val="Compact"/>
        <w:numPr>
          <w:ilvl w:val="0"/>
          <w:numId w:val="1292"/>
        </w:numPr>
      </w:pPr>
      <w:r>
        <w:t xml:space="preserve">Use a laminar flow hood or set up flames to create a sterile environment. Clean your sterile area.</w:t>
      </w:r>
    </w:p>
    <w:p>
      <w:pPr>
        <w:pStyle w:val="Compact"/>
        <w:numPr>
          <w:ilvl w:val="0"/>
          <w:numId w:val="1292"/>
        </w:numPr>
      </w:pPr>
      <w:r>
        <w:t xml:space="preserve">Light your flame source. Dip your harvesting implement(s) (scalpel, forceps, and/or probe) into alcohol. Flame your implements and let it cool.</w:t>
      </w:r>
    </w:p>
    <w:p>
      <w:pPr>
        <w:pStyle w:val="Compact"/>
        <w:numPr>
          <w:ilvl w:val="0"/>
          <w:numId w:val="1292"/>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92"/>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92"/>
        </w:numPr>
      </w:pPr>
      <w:r>
        <w:t xml:space="preserve">Seal silica-filled jar with the lid. Allow the tissue to dry for 5-10 days.</w:t>
      </w:r>
    </w:p>
    <w:p>
      <w:pPr>
        <w:pStyle w:val="Compact"/>
        <w:numPr>
          <w:ilvl w:val="0"/>
          <w:numId w:val="1292"/>
        </w:numPr>
      </w:pPr>
      <w:r>
        <w:t xml:space="preserve">Once the tissue is dry, remove the Eppendorf tubes from the silica jar and close the lids.</w:t>
      </w:r>
    </w:p>
    <w:p>
      <w:pPr>
        <w:pStyle w:val="Compact"/>
        <w:numPr>
          <w:ilvl w:val="0"/>
          <w:numId w:val="1292"/>
        </w:numPr>
      </w:pPr>
      <w:r>
        <w:t xml:space="preserve">Proceed to the Sample submission module.</w:t>
      </w:r>
    </w:p>
    <w:bookmarkEnd w:id="233"/>
    <w:bookmarkEnd w:id="234"/>
    <w:bookmarkEnd w:id="235"/>
    <w:bookmarkStart w:id="24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43" w:name="module-6.1-myco-ed-sample-submission-sop"/>
    <w:p>
      <w:pPr>
        <w:pStyle w:val="Heading2"/>
      </w:pPr>
      <w:r>
        <w:t xml:space="preserve">Module 6.1 – Myco-Ed Sample Submission SOP</w:t>
      </w:r>
    </w:p>
    <w:bookmarkStart w:id="238" w:name="overview-2"/>
    <w:p>
      <w:pPr>
        <w:pStyle w:val="Heading3"/>
      </w:pPr>
      <w:r>
        <w:t xml:space="preserve">Overview</w:t>
      </w:r>
    </w:p>
    <w:p>
      <w:pPr>
        <w:pStyle w:val="FirstParagraph"/>
      </w:pPr>
      <w:r>
        <w:t xml:space="preserve">Use this document to submit fungal samples to Arizona Genomics Institute (AGI) for DNA extraction.</w:t>
      </w:r>
    </w:p>
    <w:bookmarkEnd w:id="238"/>
    <w:bookmarkStart w:id="239" w:name="definitions"/>
    <w:p>
      <w:pPr>
        <w:pStyle w:val="Heading3"/>
      </w:pPr>
      <w:r>
        <w:t xml:space="preserve">Definitions</w:t>
      </w:r>
    </w:p>
    <w:p>
      <w:pPr>
        <w:pStyle w:val="Compact"/>
        <w:numPr>
          <w:ilvl w:val="0"/>
          <w:numId w:val="1293"/>
        </w:numPr>
      </w:pPr>
      <w:r>
        <w:t xml:space="preserve">JGI = Joint Genomics Institute</w:t>
      </w:r>
    </w:p>
    <w:p>
      <w:pPr>
        <w:pStyle w:val="Compact"/>
        <w:numPr>
          <w:ilvl w:val="0"/>
          <w:numId w:val="1293"/>
        </w:numPr>
      </w:pPr>
      <w:r>
        <w:t xml:space="preserve">AGI = Arizona Genome Institute</w:t>
      </w:r>
    </w:p>
    <w:bookmarkEnd w:id="239"/>
    <w:bookmarkStart w:id="240" w:name="associated-documents"/>
    <w:p>
      <w:pPr>
        <w:pStyle w:val="Heading3"/>
      </w:pPr>
      <w:r>
        <w:t xml:space="preserve">Associated Documents</w:t>
      </w:r>
    </w:p>
    <w:p>
      <w:pPr>
        <w:pStyle w:val="FirstParagraph"/>
      </w:pPr>
      <w:r>
        <w:t xml:space="preserve">MycoEd Metadata Form</w:t>
      </w:r>
    </w:p>
    <w:bookmarkEnd w:id="240"/>
    <w:bookmarkStart w:id="241" w:name="process-steps"/>
    <w:p>
      <w:pPr>
        <w:pStyle w:val="Heading3"/>
      </w:pPr>
      <w:r>
        <w:t xml:space="preserve">Process Steps</w:t>
      </w:r>
    </w:p>
    <w:p>
      <w:pPr>
        <w:pStyle w:val="Compact"/>
        <w:numPr>
          <w:ilvl w:val="0"/>
          <w:numId w:val="1294"/>
        </w:numPr>
      </w:pPr>
      <w:r>
        <w:t xml:space="preserve">Create a JGI Single Sign on Account</w:t>
      </w:r>
    </w:p>
    <w:p>
      <w:pPr>
        <w:pStyle w:val="Compact"/>
        <w:numPr>
          <w:ilvl w:val="0"/>
          <w:numId w:val="1294"/>
        </w:numPr>
      </w:pPr>
      <w:r>
        <w:t xml:space="preserve">Email photos of the live tissue you intend to send AGI before collection to JTALAG@email.arizona.edu and kwbarry@lbl.gov.</w:t>
      </w:r>
    </w:p>
    <w:p>
      <w:pPr>
        <w:pStyle w:val="Compact"/>
        <w:numPr>
          <w:ilvl w:val="0"/>
          <w:numId w:val="1294"/>
        </w:numPr>
      </w:pPr>
      <w:r>
        <w:t xml:space="preserve">Make a copy of the MycoEd Metadata Form</w:t>
      </w:r>
    </w:p>
    <w:p>
      <w:pPr>
        <w:pStyle w:val="Compact"/>
        <w:numPr>
          <w:ilvl w:val="1"/>
          <w:numId w:val="1295"/>
        </w:numPr>
      </w:pPr>
      <w:r>
        <w:t xml:space="preserve">Click on MycoEd Metadata Form link</w:t>
      </w:r>
    </w:p>
    <w:p>
      <w:pPr>
        <w:pStyle w:val="Compact"/>
        <w:numPr>
          <w:ilvl w:val="1"/>
          <w:numId w:val="1295"/>
        </w:numPr>
      </w:pPr>
      <w:r>
        <w:t xml:space="preserve">Under file, select Make a Copy</w:t>
      </w:r>
    </w:p>
    <w:p>
      <w:pPr>
        <w:pStyle w:val="Compact"/>
        <w:numPr>
          <w:ilvl w:val="1"/>
          <w:numId w:val="1295"/>
        </w:numPr>
      </w:pPr>
      <w:r>
        <w:t xml:space="preserve">Rename your new copy [University][Instructor Last Name][MycoEd Metadata][Date]</w:t>
      </w:r>
    </w:p>
    <w:p>
      <w:pPr>
        <w:pStyle w:val="Compact"/>
        <w:numPr>
          <w:ilvl w:val="0"/>
          <w:numId w:val="1294"/>
        </w:numPr>
      </w:pPr>
      <w:r>
        <w:t xml:space="preserve">Fill out your copy of the MycoEd Metadata Form</w:t>
      </w:r>
    </w:p>
    <w:p>
      <w:pPr>
        <w:pStyle w:val="Compact"/>
        <w:numPr>
          <w:ilvl w:val="1"/>
          <w:numId w:val="1296"/>
        </w:numPr>
      </w:pPr>
      <w:r>
        <w:t xml:space="preserve">Professor is the instructor for the class and their email address</w:t>
      </w:r>
    </w:p>
    <w:p>
      <w:pPr>
        <w:pStyle w:val="Compact"/>
        <w:numPr>
          <w:ilvl w:val="1"/>
          <w:numId w:val="1296"/>
        </w:numPr>
      </w:pPr>
      <w:r>
        <w:t xml:space="preserve">Name of the University/Institution is your University/Institution</w:t>
      </w:r>
    </w:p>
    <w:p>
      <w:pPr>
        <w:pStyle w:val="Compact"/>
        <w:numPr>
          <w:ilvl w:val="1"/>
          <w:numId w:val="1296"/>
        </w:numPr>
      </w:pPr>
      <w:r>
        <w:t xml:space="preserve">Date submitted/shipped is the date you ship the samples to AGI</w:t>
      </w:r>
    </w:p>
    <w:p>
      <w:pPr>
        <w:pStyle w:val="Compact"/>
        <w:numPr>
          <w:ilvl w:val="1"/>
          <w:numId w:val="1296"/>
        </w:numPr>
      </w:pPr>
      <w:r>
        <w:t xml:space="preserve">JGI proposal name &amp; number is DS 509937 (already provided)</w:t>
      </w:r>
    </w:p>
    <w:p>
      <w:pPr>
        <w:pStyle w:val="Compact"/>
        <w:numPr>
          <w:ilvl w:val="0"/>
          <w:numId w:val="1294"/>
        </w:numPr>
      </w:pPr>
      <w:r>
        <w:t xml:space="preserve">Fill out Sample Table</w:t>
      </w:r>
    </w:p>
    <w:p>
      <w:pPr>
        <w:pStyle w:val="Compact"/>
        <w:numPr>
          <w:ilvl w:val="1"/>
          <w:numId w:val="1297"/>
        </w:numPr>
      </w:pPr>
      <w:r>
        <w:t xml:space="preserve">Enter requested metadata into the table</w:t>
      </w:r>
    </w:p>
    <w:p>
      <w:pPr>
        <w:pStyle w:val="Compact"/>
        <w:numPr>
          <w:ilvl w:val="1"/>
          <w:numId w:val="1297"/>
        </w:numPr>
      </w:pPr>
      <w:r>
        <w:t xml:space="preserve">Use one row per sample/tube</w:t>
      </w:r>
    </w:p>
    <w:p>
      <w:pPr>
        <w:pStyle w:val="Compact"/>
        <w:numPr>
          <w:ilvl w:val="1"/>
          <w:numId w:val="1297"/>
        </w:numPr>
      </w:pPr>
      <w:r>
        <w:t xml:space="preserve">Insert additional rows if needed</w:t>
      </w:r>
    </w:p>
    <w:p>
      <w:pPr>
        <w:pStyle w:val="Compact"/>
        <w:numPr>
          <w:ilvl w:val="1"/>
          <w:numId w:val="1297"/>
        </w:numPr>
      </w:pPr>
      <w:r>
        <w:t xml:space="preserve">Columns with gray field headers, B and D, will be filled out by JGI</w:t>
      </w:r>
    </w:p>
    <w:p>
      <w:pPr>
        <w:pStyle w:val="Compact"/>
        <w:numPr>
          <w:ilvl w:val="1"/>
          <w:numId w:val="1297"/>
        </w:numPr>
      </w:pPr>
      <w:r>
        <w:t xml:space="preserve">For Column C, Sample Name - please use below convention for naming: [University][Plant][Plant tissue] Metagenome [Sample ID]</w:t>
      </w:r>
    </w:p>
    <w:p>
      <w:pPr>
        <w:pStyle w:val="Compact"/>
        <w:numPr>
          <w:ilvl w:val="1"/>
          <w:numId w:val="1297"/>
        </w:numPr>
      </w:pPr>
      <w:r>
        <w:t xml:space="preserve">Column G is only needed if you are sending more than 22 samples</w:t>
      </w:r>
    </w:p>
    <w:p>
      <w:pPr>
        <w:pStyle w:val="Compact"/>
        <w:numPr>
          <w:ilvl w:val="1"/>
          <w:numId w:val="1297"/>
        </w:numPr>
      </w:pPr>
      <w:r>
        <w:t xml:space="preserve">Student is the full name of student that collected the sample and their email address</w:t>
      </w:r>
    </w:p>
    <w:p>
      <w:pPr>
        <w:pStyle w:val="Compact"/>
        <w:numPr>
          <w:ilvl w:val="1"/>
          <w:numId w:val="1297"/>
        </w:numPr>
      </w:pPr>
      <w:r>
        <w:t xml:space="preserve">Columns with Yellow Header, X-AF, will be filled out by AGI after DNA extraction</w:t>
      </w:r>
    </w:p>
    <w:p>
      <w:pPr>
        <w:pStyle w:val="Compact"/>
        <w:numPr>
          <w:ilvl w:val="0"/>
          <w:numId w:val="1294"/>
        </w:numPr>
      </w:pPr>
      <w:r>
        <w:t xml:space="preserve">Email form to AGI &amp; JGI</w:t>
      </w:r>
    </w:p>
    <w:p>
      <w:pPr>
        <w:pStyle w:val="Compact"/>
        <w:numPr>
          <w:ilvl w:val="1"/>
          <w:numId w:val="1298"/>
        </w:numPr>
      </w:pPr>
      <w:r>
        <w:t xml:space="preserve">Once all required metadata is provided, download a copy to excel</w:t>
      </w:r>
    </w:p>
    <w:p>
      <w:pPr>
        <w:pStyle w:val="Compact"/>
        <w:numPr>
          <w:ilvl w:val="1"/>
          <w:numId w:val="1298"/>
        </w:numPr>
      </w:pPr>
      <w:r>
        <w:t xml:space="preserve">Email a copy to Jayson at (jtalag@ag.arizona.edu ) and Kerrie (kwbarry@lbl.gov).</w:t>
      </w:r>
    </w:p>
    <w:p>
      <w:pPr>
        <w:pStyle w:val="Compact"/>
        <w:numPr>
          <w:ilvl w:val="1"/>
          <w:numId w:val="1298"/>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98"/>
        </w:numPr>
      </w:pPr>
      <w:r>
        <w:t xml:space="preserve">Include in your email your name, your college/university, the exact name of your samples (column D) that are ready to ship to AGI (and the rows in this sheet).</w:t>
      </w:r>
    </w:p>
    <w:p>
      <w:pPr>
        <w:pStyle w:val="Compact"/>
        <w:numPr>
          <w:ilvl w:val="1"/>
          <w:numId w:val="1298"/>
        </w:numPr>
      </w:pPr>
      <w:r>
        <w:t xml:space="preserve">Wait for approval/confirmation from AGI &amp; JGI.</w:t>
      </w:r>
    </w:p>
    <w:p>
      <w:pPr>
        <w:pStyle w:val="Compact"/>
        <w:numPr>
          <w:ilvl w:val="2"/>
          <w:numId w:val="1299"/>
        </w:numPr>
      </w:pPr>
      <w:r>
        <w:t xml:space="preserve">If needed make requested changed and email updated copy</w:t>
      </w:r>
    </w:p>
    <w:p>
      <w:pPr>
        <w:pStyle w:val="Compact"/>
        <w:numPr>
          <w:ilvl w:val="0"/>
          <w:numId w:val="1294"/>
        </w:numPr>
      </w:pPr>
      <w:r>
        <w:t xml:space="preserve">Prepare samples for shipment</w:t>
      </w:r>
    </w:p>
    <w:p>
      <w:pPr>
        <w:pStyle w:val="Compact"/>
        <w:numPr>
          <w:ilvl w:val="1"/>
          <w:numId w:val="1300"/>
        </w:numPr>
      </w:pPr>
    </w:p>
    <w:p>
      <w:pPr>
        <w:pStyle w:val="Compact"/>
        <w:numPr>
          <w:ilvl w:val="2"/>
          <w:numId w:val="1301"/>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300"/>
        </w:numPr>
      </w:pPr>
      <w:r>
        <w:t xml:space="preserve">Email FEDEX tracking # when your shipment is picked up.</w:t>
      </w:r>
    </w:p>
    <w:p>
      <w:pPr>
        <w:pStyle w:val="Compact"/>
        <w:numPr>
          <w:ilvl w:val="1"/>
          <w:numId w:val="1300"/>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41"/>
    <w:bookmarkStart w:id="24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42"/>
    <w:bookmarkEnd w:id="243"/>
    <w:bookmarkEnd w:id="244"/>
    <w:bookmarkStart w:id="26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tip.png" id="2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54" w:name="X46999d4e04aaa0bd6e7f1cf0936f3283e50c93c"/>
    <w:p>
      <w:pPr>
        <w:pStyle w:val="Heading2"/>
      </w:pPr>
      <w:r>
        <w:t xml:space="preserve">Module 7.1 – Sexual Reproduction in Ascomycota Genomic Analysis</w:t>
      </w:r>
    </w:p>
    <w:bookmarkStart w:id="24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47"/>
    <w:bookmarkStart w:id="248" w:name="references"/>
    <w:p>
      <w:pPr>
        <w:pStyle w:val="Heading3"/>
      </w:pPr>
      <w:r>
        <w:t xml:space="preserve">References</w:t>
      </w:r>
    </w:p>
    <w:p>
      <w:pPr>
        <w:pStyle w:val="Compact"/>
        <w:numPr>
          <w:ilvl w:val="0"/>
          <w:numId w:val="1302"/>
        </w:numPr>
      </w:pPr>
      <w:r>
        <w:t xml:space="preserve">Casselton, L.A., Olesnicky, N.S., 1998. Molecular Genetics of Mating Recognition in Basidiomycete Fungi. Microbiol Mol Biol Rev., 62(1): 55–70. doi: 10.1128/mmbr.62.1.55-70.1998</w:t>
      </w:r>
    </w:p>
    <w:p>
      <w:pPr>
        <w:pStyle w:val="Compact"/>
        <w:numPr>
          <w:ilvl w:val="0"/>
          <w:numId w:val="1302"/>
        </w:numPr>
      </w:pPr>
      <w:r>
        <w:t xml:space="preserve">Cambareri, E.B., Singer, M.J., Selker, E.U., 1991. Recurrence of repeat-induced point mutation (RIP) in Neurospora crassa. Genetics, 127(4):699-710. doi: 10.1093/genetics/127.4.699.</w:t>
      </w:r>
    </w:p>
    <w:p>
      <w:pPr>
        <w:pStyle w:val="Compact"/>
        <w:numPr>
          <w:ilvl w:val="0"/>
          <w:numId w:val="1302"/>
        </w:numPr>
      </w:pPr>
      <w:r>
        <w:t xml:space="preserve">Metzenberg, R.L., Glass, N.L., 1990. Mating type and mating strategies in Neurospora. Bioessays. 1990 Feb;12(2):53-9. doi: 10.1002/bies.950120202.</w:t>
      </w:r>
    </w:p>
    <w:bookmarkEnd w:id="248"/>
    <w:bookmarkStart w:id="253" w:name="finding-mat-a"/>
    <w:p>
      <w:pPr>
        <w:pStyle w:val="Heading3"/>
      </w:pPr>
      <w:r>
        <w:t xml:space="preserve">Finding mat A</w:t>
      </w:r>
    </w:p>
    <w:bookmarkStart w:id="24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303"/>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303"/>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303"/>
        </w:numPr>
      </w:pPr>
      <w:r>
        <w:t xml:space="preserve">Let’s find the location of this gene in the genome! Go to the Neucr2 MycoCosm portal (https://mycocosm.jgi.doe.gov/Neucr2) and search for it using the BLAST tool.</w:t>
      </w:r>
    </w:p>
    <w:p>
      <w:pPr>
        <w:pStyle w:val="Compact"/>
        <w:numPr>
          <w:ilvl w:val="0"/>
          <w:numId w:val="1303"/>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303"/>
        </w:numPr>
      </w:pPr>
      <w:r>
        <w:t xml:space="preserve">You should see two hits, each shown in a separate row.</w:t>
      </w:r>
    </w:p>
    <w:p>
      <w:pPr>
        <w:pStyle w:val="Compact"/>
        <w:numPr>
          <w:ilvl w:val="1"/>
          <w:numId w:val="1304"/>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304"/>
        </w:numPr>
      </w:pPr>
      <w:r>
        <w:t xml:space="preserve">The second column shows an alignment of that sequence against your query, which is helpful for seeing how well hits cover your query sequence.</w:t>
      </w:r>
    </w:p>
    <w:p>
      <w:pPr>
        <w:pStyle w:val="Compact"/>
        <w:numPr>
          <w:ilvl w:val="1"/>
          <w:numId w:val="1304"/>
        </w:numPr>
      </w:pPr>
      <w:r>
        <w:t xml:space="preserve">The score and EValue columns are also useful when assessing hit quality. Higher scores are better, and conversely, lower e-values are better.</w:t>
      </w:r>
    </w:p>
    <w:p>
      <w:pPr>
        <w:pStyle w:val="Compact"/>
        <w:numPr>
          <w:ilvl w:val="0"/>
          <w:numId w:val="1303"/>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303"/>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303"/>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303"/>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303"/>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303"/>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303"/>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303"/>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303"/>
        </w:numPr>
      </w:pPr>
      <w:r>
        <w:t xml:space="preserve">Using the information on the protein page, can you find mat A-2 and mat-A3?</w:t>
      </w:r>
    </w:p>
    <w:p>
      <w:pPr>
        <w:pStyle w:val="Compact"/>
        <w:numPr>
          <w:ilvl w:val="0"/>
          <w:numId w:val="1303"/>
        </w:numPr>
      </w:pPr>
      <w:r>
        <w:t xml:space="preserve">At the mating type locus, do you notice anything interesting when exploring the read depth coverage plots (pink tracks) from related Neurospora genomes?</w:t>
      </w:r>
    </w:p>
    <w:p>
      <w:pPr>
        <w:pStyle w:val="Compact"/>
        <w:numPr>
          <w:ilvl w:val="0"/>
          <w:numId w:val="1303"/>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49"/>
    <w:bookmarkStart w:id="25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305"/>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305"/>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305"/>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305"/>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305"/>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305"/>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50"/>
    <w:bookmarkStart w:id="25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306"/>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306"/>
        </w:numPr>
      </w:pPr>
      <w:r>
        <w:t xml:space="preserve">Let’s find it on the mat a genome portal you found earlier for N. tetrasperma strain FGSC 2509, (https://mycocosm.jgi.doe.gov/Neute_mat_a1).</w:t>
      </w:r>
    </w:p>
    <w:p>
      <w:pPr>
        <w:pStyle w:val="Compact"/>
        <w:numPr>
          <w:ilvl w:val="0"/>
          <w:numId w:val="1306"/>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306"/>
        </w:numPr>
      </w:pPr>
      <w:r>
        <w:t xml:space="preserve">The best hit is to N. tetrasperma protein ID 124723, can you explain why?</w:t>
      </w:r>
    </w:p>
    <w:p>
      <w:pPr>
        <w:pStyle w:val="Compact"/>
        <w:numPr>
          <w:ilvl w:val="0"/>
          <w:numId w:val="1306"/>
        </w:numPr>
      </w:pPr>
      <w:r>
        <w:t xml:space="preserve">Let’s revisit the Neucr2 mcl clustering page and search for this, again by typing portalID.proteinID (e.g. Neute_mat_a1.124723) in the search field.</w:t>
      </w:r>
    </w:p>
    <w:p>
      <w:pPr>
        <w:pStyle w:val="Compact"/>
        <w:numPr>
          <w:ilvl w:val="0"/>
          <w:numId w:val="1306"/>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306"/>
        </w:numPr>
      </w:pPr>
      <w:r>
        <w:t xml:space="preserve">It looks like our mat a gene is found in a region that is not present in any of the others, which are all the opposite mating type (mat A)!</w:t>
      </w:r>
    </w:p>
    <w:p>
      <w:pPr>
        <w:pStyle w:val="Compact"/>
        <w:numPr>
          <w:ilvl w:val="0"/>
          <w:numId w:val="1306"/>
        </w:numPr>
      </w:pPr>
      <w:r>
        <w:t xml:space="preserve">With this information, we can say that all our current evidence supports our hypothesis that fungal mating types are driven by presence/absence of specific genes, mat a and A in particular!</w:t>
      </w:r>
    </w:p>
    <w:bookmarkEnd w:id="251"/>
    <w:bookmarkStart w:id="25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307"/>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307"/>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307"/>
        </w:numPr>
      </w:pPr>
      <w:r>
        <w:t xml:space="preserve">Go through the same exercise to search mcl clusters. Do you see a similar pattern to what we observed in N. crassa?</w:t>
      </w:r>
    </w:p>
    <w:p>
      <w:pPr>
        <w:pStyle w:val="Compact"/>
        <w:numPr>
          <w:ilvl w:val="0"/>
          <w:numId w:val="1307"/>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307"/>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30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307"/>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307"/>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52"/>
    <w:bookmarkEnd w:id="253"/>
    <w:bookmarkEnd w:id="254"/>
    <w:bookmarkStart w:id="263" w:name="Xe7b646958662d93788a5fac43551e0623449021"/>
    <w:p>
      <w:pPr>
        <w:pStyle w:val="Heading2"/>
      </w:pPr>
      <w:r>
        <w:t xml:space="preserve">Module 7.2 – Fungal Natural Product Production Genomic Analysis</w:t>
      </w:r>
    </w:p>
    <w:bookmarkStart w:id="25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55"/>
    <w:bookmarkStart w:id="256" w:name="references-1"/>
    <w:p>
      <w:pPr>
        <w:pStyle w:val="Heading3"/>
      </w:pPr>
      <w:r>
        <w:t xml:space="preserve">References</w:t>
      </w:r>
    </w:p>
    <w:p>
      <w:pPr>
        <w:pStyle w:val="Compact"/>
        <w:numPr>
          <w:ilvl w:val="0"/>
          <w:numId w:val="1308"/>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308"/>
        </w:numPr>
      </w:pPr>
      <w:r>
        <w:t xml:space="preserve">Seenivasan, A., Subhagar, S., Aravindan, R., Viruthagiri, T., 2008. Microbial Production and Biomedical Applications of Lovastatin. Indian J Pharm Sci. 2008, doi: 10.4103/0250-474X.49087</w:t>
      </w:r>
    </w:p>
    <w:p>
      <w:pPr>
        <w:pStyle w:val="Compact"/>
        <w:numPr>
          <w:ilvl w:val="0"/>
          <w:numId w:val="1308"/>
        </w:numPr>
      </w:pPr>
      <w:r>
        <w:t xml:space="preserve">Fleming, A., 1929. On the Antibacterial Action of Cultures of a Penicillium, with Special Reference to their Use in the Isolation of B. influenzæ. Br J Exp Pathol. 1929 Jun; 10(3): 226–236</w:t>
      </w:r>
    </w:p>
    <w:p>
      <w:pPr>
        <w:pStyle w:val="Compact"/>
        <w:numPr>
          <w:ilvl w:val="0"/>
          <w:numId w:val="1308"/>
        </w:numPr>
      </w:pPr>
      <w:r>
        <w:t xml:space="preserve">Strieker, M., Tanovic, A., Marahiel, M.A., 2010. Nonribosomal peptide synthetases: structures and dynamics. Current Opinion in Structural Biology 2010, 20:234–240</w:t>
      </w:r>
    </w:p>
    <w:p>
      <w:pPr>
        <w:pStyle w:val="Compact"/>
        <w:numPr>
          <w:ilvl w:val="0"/>
          <w:numId w:val="1308"/>
        </w:numPr>
      </w:pPr>
      <w:r>
        <w:t xml:space="preserve">Keller, N., 2019. Fungal secondary metabolism: regulation, function and drug discovery. Nature Reviews Microbiology, 17(3): 167–180. doi: 10.1038/s41579-018-0121-1</w:t>
      </w:r>
    </w:p>
    <w:bookmarkEnd w:id="256"/>
    <w:bookmarkStart w:id="259" w:name="X31643484012ee51f67fd2def9a4608ddd3c7490"/>
    <w:p>
      <w:pPr>
        <w:pStyle w:val="Heading3"/>
      </w:pPr>
      <w:r>
        <w:t xml:space="preserve">Finding the Penicillin Biosynthetic Gene Cluster</w:t>
      </w:r>
    </w:p>
    <w:bookmarkStart w:id="257" w:name="X27e5a65183f9483aec43514a5289c555b8e099a"/>
    <w:p>
      <w:pPr>
        <w:pStyle w:val="Heading4"/>
      </w:pPr>
      <w:r>
        <w:t xml:space="preserve">Locate the known cluster in P. chrysogenum</w:t>
      </w:r>
    </w:p>
    <w:p>
      <w:pPr>
        <w:pStyle w:val="Compact"/>
        <w:numPr>
          <w:ilvl w:val="0"/>
          <w:numId w:val="1309"/>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9"/>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9"/>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9"/>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9"/>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9"/>
        </w:numPr>
      </w:pPr>
      <w:r>
        <w:t xml:space="preserve">You should see a single hit! Click on the coordinates to view this region of the genome.</w:t>
      </w:r>
    </w:p>
    <w:p>
      <w:pPr>
        <w:pStyle w:val="Compact"/>
        <w:numPr>
          <w:ilvl w:val="0"/>
          <w:numId w:val="1309"/>
        </w:numPr>
      </w:pPr>
      <w:r>
        <w:t xml:space="preserve">Of course, we are searching for DNA that is mostly found in between these penicillin-related genes. Click -10x to get a bigger view of this locus.</w:t>
      </w:r>
    </w:p>
    <w:p>
      <w:pPr>
        <w:pStyle w:val="Compact"/>
        <w:numPr>
          <w:ilvl w:val="0"/>
          <w:numId w:val="1309"/>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9"/>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9"/>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57"/>
    <w:bookmarkStart w:id="258" w:name="X3367d9de4d4452f0e4500f817aabeb87e960cf9"/>
    <w:p>
      <w:pPr>
        <w:pStyle w:val="Heading4"/>
      </w:pPr>
      <w:r>
        <w:t xml:space="preserve">Find candidate Penicillin BGCs in related fungi</w:t>
      </w:r>
    </w:p>
    <w:p>
      <w:pPr>
        <w:pStyle w:val="Compact"/>
        <w:numPr>
          <w:ilvl w:val="0"/>
          <w:numId w:val="1310"/>
        </w:numPr>
      </w:pPr>
      <w:r>
        <w:t xml:space="preserve">With our NRPS bait in hand, let’s try to fish out similar genes in related fungi! But before we do, do you have any hypotheses about how often it will be found?</w:t>
      </w:r>
    </w:p>
    <w:p>
      <w:pPr>
        <w:pStyle w:val="Compact"/>
        <w:numPr>
          <w:ilvl w:val="0"/>
          <w:numId w:val="1310"/>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10"/>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10"/>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10"/>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10"/>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10"/>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10"/>
        </w:numPr>
      </w:pPr>
      <w:r>
        <w:t xml:space="preserve">Can you find where hit quality begins to drop off? You can see by just looking at the top 10 that quality drops off really fast!</w:t>
      </w:r>
    </w:p>
    <w:p>
      <w:pPr>
        <w:pStyle w:val="Compact"/>
        <w:numPr>
          <w:ilvl w:val="0"/>
          <w:numId w:val="1310"/>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10"/>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10"/>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10"/>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10"/>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10"/>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10"/>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10"/>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10"/>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10"/>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10"/>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10"/>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58"/>
    <w:bookmarkEnd w:id="259"/>
    <w:bookmarkStart w:id="262" w:name="characterize-myco-ed-bgcs"/>
    <w:p>
      <w:pPr>
        <w:pStyle w:val="Heading3"/>
      </w:pPr>
      <w:r>
        <w:t xml:space="preserve">Characterize Myco-Ed BGCs</w:t>
      </w:r>
    </w:p>
    <w:bookmarkStart w:id="26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11"/>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11"/>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11"/>
        </w:numPr>
      </w:pPr>
      <w:r>
        <w:t xml:space="preserve">Let’s set a goal to describe the distribution of fungal BGC backbone genes, following the same workflow you just did for penicillin.</w:t>
      </w:r>
    </w:p>
    <w:p>
      <w:pPr>
        <w:pStyle w:val="Compact"/>
        <w:numPr>
          <w:ilvl w:val="0"/>
          <w:numId w:val="1311"/>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11"/>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11"/>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11"/>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11"/>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11"/>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11"/>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60"/>
    <w:bookmarkStart w:id="261" w:name="annotate-them"/>
    <w:p>
      <w:pPr>
        <w:pStyle w:val="Heading4"/>
      </w:pPr>
      <w:r>
        <w:t xml:space="preserve">Annotate them!</w:t>
      </w:r>
    </w:p>
    <w:p>
      <w:pPr>
        <w:pStyle w:val="Compact"/>
        <w:numPr>
          <w:ilvl w:val="0"/>
          <w:numId w:val="1312"/>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1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12"/>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61"/>
    <w:bookmarkEnd w:id="262"/>
    <w:bookmarkEnd w:id="263"/>
    <w:bookmarkEnd w:id="264"/>
    <w:bookmarkStart w:id="26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6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66"/>
    <w:bookmarkStart w:id="267" w:name="carlos-c.-goller"/>
    <w:p>
      <w:pPr>
        <w:pStyle w:val="Heading1"/>
      </w:pPr>
      <w:r>
        <w:t xml:space="preserve">1. Carlos C. Goller</w:t>
      </w:r>
    </w:p>
    <w:bookmarkEnd w:id="267"/>
    <w:bookmarkStart w:id="27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6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68"/>
    <w:bookmarkStart w:id="26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69"/>
    <w:bookmarkEnd w:id="270"/>
    <w:bookmarkStart w:id="277" w:name="references-2"/>
    <w:p>
      <w:pPr>
        <w:pStyle w:val="Heading1"/>
      </w:pPr>
      <w:r>
        <w:t xml:space="preserve">References</w:t>
      </w:r>
    </w:p>
    <w:bookmarkStart w:id="271" w:name="workbook-references"/>
    <w:p>
      <w:pPr>
        <w:pStyle w:val="Heading2"/>
      </w:pPr>
      <w:r>
        <w:t xml:space="preserve">Workbook References</w:t>
      </w:r>
    </w:p>
    <w:p>
      <w:pPr>
        <w:pStyle w:val="Compact"/>
        <w:numPr>
          <w:ilvl w:val="0"/>
          <w:numId w:val="1313"/>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13"/>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71"/>
    <w:bookmarkStart w:id="276" w:name="module-7.1-references"/>
    <w:p>
      <w:pPr>
        <w:pStyle w:val="Heading2"/>
      </w:pPr>
      <w:r>
        <w:t xml:space="preserve">Module 7.1 References</w:t>
      </w:r>
    </w:p>
    <w:p>
      <w:pPr>
        <w:pStyle w:val="Compact"/>
        <w:numPr>
          <w:ilvl w:val="0"/>
          <w:numId w:val="131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14"/>
        </w:numPr>
      </w:pPr>
      <w:r>
        <w:t xml:space="preserve">Cambareri, E.B., Singer, M.J., Selker, E.U., 1991. Recurrence of repeat-induced point mutation (RIP) in Neurospora crassa. Genetics, 127(4): 699-710. https://doi.org/10.1093/genetics/127.4.699</w:t>
      </w:r>
    </w:p>
    <w:p>
      <w:pPr>
        <w:pStyle w:val="Compact"/>
        <w:numPr>
          <w:ilvl w:val="0"/>
          <w:numId w:val="1314"/>
        </w:numPr>
      </w:pPr>
      <w:r>
        <w:t xml:space="preserve">Metzenberg, R.L., Glass, N.L., 1990. Mating type and mating strategies in Neurospora. BioEssays, 12(2): 53-59. https://doi.org/10.1002/bies.950120202</w:t>
      </w:r>
    </w:p>
    <w:bookmarkStart w:id="275" w:name="refs"/>
    <w:bookmarkStart w:id="27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72"/>
    <w:bookmarkStart w:id="27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73">
        <w:r>
          <w:rPr>
            <w:rStyle w:val="Hyperlink"/>
          </w:rPr>
          <w:t xml:space="preserve">https://doi.org/10.17504/protocols.io.rm7vzqd5xvx1/v1</w:t>
        </w:r>
      </w:hyperlink>
      <w:r>
        <w:t xml:space="preserve">.</w:t>
      </w:r>
    </w:p>
    <w:bookmarkEnd w:id="274"/>
    <w:bookmarkEnd w:id="275"/>
    <w:bookmarkEnd w:id="276"/>
    <w:bookmarkEnd w:id="2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0">
    <w:abstractNumId w:val="992"/>
  </w:num>
  <w:num w:numId="1251">
    <w:abstractNumId w:val="992"/>
  </w:num>
  <w:num w:numId="1252">
    <w:abstractNumId w:val="992"/>
  </w:num>
  <w:num w:numId="1253">
    <w:abstractNumId w:val="992"/>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7" Target="media/rId197.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7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6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5" Target="https://nanoporetech.com/document/extraction-method/fungi-gdna-no-miss" TargetMode="External" /><Relationship Type="http://schemas.openxmlformats.org/officeDocument/2006/relationships/hyperlink" Id="rId214" Target="https://nanoporetech.com/document/protocols/rapid-barcoding-kit-v14-protocol"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217" Target="https://www.ncbi.nlm.nih.gov/" TargetMode="External" /><Relationship Type="http://schemas.openxmlformats.org/officeDocument/2006/relationships/hyperlink" Id="rId196"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7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6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5" Target="https://nanoporetech.com/document/extraction-method/fungi-gdna-no-miss" TargetMode="External" /><Relationship Type="http://schemas.openxmlformats.org/officeDocument/2006/relationships/hyperlink" Id="rId214" Target="https://nanoporetech.com/document/protocols/rapid-barcoding-kit-v14-protocol"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217" Target="https://www.ncbi.nlm.nih.gov/" TargetMode="External" /><Relationship Type="http://schemas.openxmlformats.org/officeDocument/2006/relationships/hyperlink" Id="rId196"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2026-06-04T16:59:54Z</dcterms:created>
  <dcterms:modified xsi:type="dcterms:W3CDTF">2026-06-04T16:59:54Z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