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1.png" ContentType="image/png"/>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laboratory-preparation-instructions"/>
    <w:p>
      <w:pPr>
        <w:pStyle w:val="Heading3"/>
      </w:pPr>
      <w:r>
        <w:t xml:space="preserve">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laboratory-preparation-instructions-1"/>
    <w:p>
      <w:pPr>
        <w:pStyle w:val="Heading3"/>
      </w:pPr>
      <w:r>
        <w:t xml:space="preserve">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laboratory-preparation-instructions-2"/>
    <w:p>
      <w:pPr>
        <w:pStyle w:val="Heading3"/>
      </w:pPr>
      <w:r>
        <w:t xml:space="preserve">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optional"/>
    <w:p>
      <w:pPr>
        <w:pStyle w:val="Heading3"/>
      </w:pPr>
      <w:r>
        <w:t xml:space="preserve">Part III: Temperature Assays (optional)</w:t>
      </w:r>
    </w:p>
    <w:p>
      <w:pPr>
        <w:pStyle w:val="FirstParagraph"/>
      </w:pPr>
      <w:r>
        <w:t xml:space="preserve">Another approach to studying fungal physiology is to examine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04"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Xe5844f5ab285a87da3d858a2098466979cff330"/>
    <w:p>
      <w:pPr>
        <w:pStyle w:val="Heading2"/>
      </w:pPr>
      <w:r>
        <w:t xml:space="preserve">Module 4.1 – ITS Amplification, Sanger Sequencing, Nanopore Sequencing Resources</w:t>
      </w:r>
    </w:p>
    <w:bookmarkStart w:id="179" w:name="laboratory-preparation-instructions-3"/>
    <w:p>
      <w:pPr>
        <w:pStyle w:val="Heading3"/>
      </w:pPr>
      <w:r>
        <w:t xml:space="preserve">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Gloves</w:t>
      </w:r>
    </w:p>
    <w:p>
      <w:pPr>
        <w:pStyle w:val="Compact"/>
        <w:numPr>
          <w:ilvl w:val="0"/>
          <w:numId w:val="1189"/>
        </w:numPr>
      </w:pPr>
      <w:r>
        <w:t xml:space="preserve">Sharpie</w:t>
      </w:r>
    </w:p>
    <w:p>
      <w:pPr>
        <w:pStyle w:val="Compact"/>
        <w:numPr>
          <w:ilvl w:val="0"/>
          <w:numId w:val="1190"/>
        </w:numPr>
      </w:pPr>
      <w:r>
        <w:t xml:space="preserve">Thermal cycler</w:t>
      </w:r>
    </w:p>
    <w:p>
      <w:pPr>
        <w:pStyle w:val="Compact"/>
        <w:numPr>
          <w:ilvl w:val="0"/>
          <w:numId w:val="1191"/>
        </w:numPr>
      </w:pPr>
      <w:r>
        <w:t xml:space="preserve">Vortex</w:t>
      </w:r>
    </w:p>
    <w:p>
      <w:pPr>
        <w:pStyle w:val="Compact"/>
        <w:numPr>
          <w:ilvl w:val="0"/>
          <w:numId w:val="1192"/>
        </w:numPr>
      </w:pPr>
      <w:r>
        <w:t xml:space="preserve">Centrifuge for PCR and microfuge tubes</w:t>
      </w:r>
    </w:p>
    <w:p>
      <w:pPr>
        <w:pStyle w:val="Compact"/>
        <w:numPr>
          <w:ilvl w:val="0"/>
          <w:numId w:val="1193"/>
        </w:numPr>
      </w:pPr>
      <w:r>
        <w:t xml:space="preserve">Heat block/thermomixer for 1.5-2.0 ml microfuge tubes</w:t>
      </w:r>
    </w:p>
    <w:p>
      <w:pPr>
        <w:pStyle w:val="Compact"/>
        <w:numPr>
          <w:ilvl w:val="0"/>
          <w:numId w:val="1194"/>
        </w:numPr>
      </w:pPr>
      <w:r>
        <w:t xml:space="preserve">1.5mL microcentrifuge tubes (Eppendorf DNA LoBind)</w:t>
      </w:r>
    </w:p>
    <w:p>
      <w:pPr>
        <w:pStyle w:val="Compact"/>
        <w:numPr>
          <w:ilvl w:val="0"/>
          <w:numId w:val="1195"/>
        </w:numPr>
      </w:pPr>
      <w:r>
        <w:t xml:space="preserve">0.2 mL PCR tubes</w:t>
      </w:r>
    </w:p>
    <w:p>
      <w:pPr>
        <w:pStyle w:val="Compact"/>
        <w:numPr>
          <w:ilvl w:val="0"/>
          <w:numId w:val="1196"/>
        </w:numPr>
      </w:pPr>
      <w:r>
        <w:t xml:space="preserve">Microfuge and PCR tube racks</w:t>
      </w:r>
    </w:p>
    <w:p>
      <w:pPr>
        <w:pStyle w:val="Compact"/>
        <w:numPr>
          <w:ilvl w:val="0"/>
          <w:numId w:val="1197"/>
        </w:numPr>
      </w:pPr>
      <w:r>
        <w:t xml:space="preserve">Labeling tape</w:t>
      </w:r>
    </w:p>
    <w:p>
      <w:pPr>
        <w:pStyle w:val="Compact"/>
        <w:numPr>
          <w:ilvl w:val="0"/>
          <w:numId w:val="1198"/>
        </w:numPr>
      </w:pPr>
      <w:r>
        <w:t xml:space="preserve">Monarch® Spin gDNA Extraction Kit (New England BioLabs, T3010S)</w:t>
      </w:r>
    </w:p>
    <w:p>
      <w:pPr>
        <w:pStyle w:val="Compact"/>
        <w:numPr>
          <w:ilvl w:val="0"/>
          <w:numId w:val="1199"/>
        </w:numPr>
      </w:pPr>
      <w:r>
        <w:t xml:space="preserve">MetaPolyzyme, DNA free (Millipore Sigma, MAC4LDF-5X1VL)</w:t>
      </w:r>
    </w:p>
    <w:p>
      <w:pPr>
        <w:pStyle w:val="Compact"/>
        <w:numPr>
          <w:ilvl w:val="0"/>
          <w:numId w:val="1200"/>
        </w:numPr>
      </w:pPr>
      <w:r>
        <w:t xml:space="preserve">Q5® High-Fidelity 2X Master Mix (New England BioLabs, M0492)</w:t>
      </w:r>
    </w:p>
    <w:p>
      <w:pPr>
        <w:pStyle w:val="Compact"/>
        <w:numPr>
          <w:ilvl w:val="0"/>
          <w:numId w:val="1201"/>
        </w:numPr>
      </w:pPr>
      <w:r>
        <w:t xml:space="preserve">TE Buffer</w:t>
      </w:r>
    </w:p>
    <w:p>
      <w:pPr>
        <w:pStyle w:val="Compact"/>
        <w:numPr>
          <w:ilvl w:val="0"/>
          <w:numId w:val="1202"/>
        </w:numPr>
      </w:pPr>
      <w:r>
        <w:t xml:space="preserve">CTAB solution (100 ml, Promega, MC1411)</w:t>
      </w:r>
    </w:p>
    <w:p>
      <w:pPr>
        <w:pStyle w:val="Compact"/>
        <w:numPr>
          <w:ilvl w:val="0"/>
          <w:numId w:val="1203"/>
        </w:numPr>
      </w:pPr>
      <w:r>
        <w:t xml:space="preserve">Parafilm</w:t>
      </w:r>
    </w:p>
    <w:p>
      <w:pPr>
        <w:pStyle w:val="Compact"/>
        <w:numPr>
          <w:ilvl w:val="0"/>
          <w:numId w:val="1204"/>
        </w:numPr>
      </w:pPr>
      <w:r>
        <w:t xml:space="preserve">70% ETOH</w:t>
      </w:r>
    </w:p>
    <w:p>
      <w:pPr>
        <w:pStyle w:val="Compact"/>
        <w:numPr>
          <w:ilvl w:val="0"/>
          <w:numId w:val="1205"/>
        </w:numPr>
      </w:pPr>
      <w:r>
        <w:t xml:space="preserve">1-10, 20-200, and 100-1000 µL micropipettors</w:t>
      </w:r>
    </w:p>
    <w:p>
      <w:pPr>
        <w:pStyle w:val="Compact"/>
        <w:numPr>
          <w:ilvl w:val="0"/>
          <w:numId w:val="1206"/>
        </w:numPr>
      </w:pPr>
      <w:r>
        <w:t xml:space="preserve">1-10, 20-200, and 100-1000 µL micropipette tips (preferably filtered)</w:t>
      </w:r>
    </w:p>
    <w:p>
      <w:pPr>
        <w:pStyle w:val="Compact"/>
        <w:numPr>
          <w:ilvl w:val="0"/>
          <w:numId w:val="1207"/>
        </w:numPr>
      </w:pPr>
      <w:r>
        <w:t xml:space="preserve">Kimwipes and/or paper towels</w:t>
      </w:r>
    </w:p>
    <w:p>
      <w:pPr>
        <w:pStyle w:val="Compact"/>
        <w:numPr>
          <w:ilvl w:val="0"/>
          <w:numId w:val="1208"/>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9"/>
        </w:numPr>
      </w:pPr>
      <w:r>
        <w:t xml:space="preserve">ITS1f: 5’-CTTGGTCATTTAGAGGAAGTAA-3’</w:t>
      </w:r>
    </w:p>
    <w:p>
      <w:pPr>
        <w:pStyle w:val="Compact"/>
        <w:numPr>
          <w:ilvl w:val="1"/>
          <w:numId w:val="1209"/>
        </w:numPr>
      </w:pPr>
      <w:r>
        <w:t xml:space="preserve">ITS4: 5’-TCCTCCGCTTATTGATATGC-3’</w:t>
      </w:r>
    </w:p>
    <w:p>
      <w:pPr>
        <w:pStyle w:val="Compact"/>
        <w:numPr>
          <w:ilvl w:val="1"/>
          <w:numId w:val="1209"/>
        </w:numPr>
      </w:pPr>
      <w:r>
        <w:t xml:space="preserve">5.8SR: 5’-CGCTGCGTTCTTCATCG-3’</w:t>
      </w:r>
    </w:p>
    <w:p>
      <w:pPr>
        <w:pStyle w:val="Compact"/>
        <w:numPr>
          <w:ilvl w:val="1"/>
          <w:numId w:val="1209"/>
        </w:numPr>
      </w:pPr>
      <w:r>
        <w:t xml:space="preserve">fITS7: 5’-GTGARTCATCGAATCTTTG-3’</w:t>
      </w:r>
    </w:p>
    <w:p>
      <w:pPr>
        <w:pStyle w:val="Compact"/>
        <w:numPr>
          <w:ilvl w:val="0"/>
          <w:numId w:val="1210"/>
        </w:numPr>
      </w:pPr>
      <w:r>
        <w:t xml:space="preserve">Q5® Hot Start High-Fidelity 2X Master Mix - 100 reactions(New England BioLabs, M0494S)</w:t>
      </w:r>
    </w:p>
    <w:p>
      <w:pPr>
        <w:pStyle w:val="Compact"/>
        <w:numPr>
          <w:ilvl w:val="0"/>
          <w:numId w:val="1211"/>
        </w:numPr>
      </w:pPr>
      <w:r>
        <w:t xml:space="preserve">PCR water (New England BioLabs, B1500S)</w:t>
      </w:r>
    </w:p>
    <w:p>
      <w:pPr>
        <w:pStyle w:val="Compact"/>
        <w:numPr>
          <w:ilvl w:val="0"/>
          <w:numId w:val="1212"/>
        </w:numPr>
      </w:pPr>
      <w:r>
        <w:t xml:space="preserve">Exo-CIP Rapid PCR Cleanup Kit - 100 reactions (New England BioLabs, E1050S)</w:t>
      </w:r>
    </w:p>
    <w:p>
      <w:pPr>
        <w:pStyle w:val="Compact"/>
        <w:numPr>
          <w:ilvl w:val="0"/>
          <w:numId w:val="1213"/>
        </w:numPr>
      </w:pPr>
      <w:r>
        <w:t xml:space="preserve">E-Gel system with 1.2% agarose gels (ThermoFisher, G4010010) or similar gel electrophoresis system</w:t>
      </w:r>
    </w:p>
    <w:p>
      <w:pPr>
        <w:pStyle w:val="Compact"/>
        <w:numPr>
          <w:ilvl w:val="0"/>
          <w:numId w:val="1214"/>
        </w:numPr>
      </w:pPr>
      <w:r>
        <w:t xml:space="preserve">E-Gel™ Sizing DNA Ladder (ThermoFisher, 10488100)</w:t>
      </w:r>
    </w:p>
    <w:p>
      <w:pPr>
        <w:pStyle w:val="Compact"/>
        <w:numPr>
          <w:ilvl w:val="0"/>
          <w:numId w:val="1215"/>
        </w:numPr>
      </w:pPr>
      <w:r>
        <w:t xml:space="preserve">DNA quantification system (for example, Qubit Fluorometer with dsDNA HS Assay Kit, ThermoFisher, Q32851)</w:t>
      </w:r>
    </w:p>
    <w:p>
      <w:pPr>
        <w:pStyle w:val="Compact"/>
        <w:numPr>
          <w:ilvl w:val="0"/>
          <w:numId w:val="1216"/>
        </w:numPr>
      </w:pPr>
      <w:r>
        <w:t xml:space="preserve">Access to Sanger sequencing services (for example, Genewiz, Eurofins, Eton, or similar provider).</w:t>
      </w:r>
    </w:p>
    <w:p>
      <w:pPr>
        <w:pStyle w:val="Compact"/>
        <w:numPr>
          <w:ilvl w:val="0"/>
          <w:numId w:val="1217"/>
        </w:numPr>
      </w:pPr>
      <w:r>
        <w:t xml:space="preserve">Rapid Barcoding Kit v14 (Oxford Nanopore Technologies), SQK-RBK114.24 or similar kit for long-read sequencing (optional)</w:t>
      </w:r>
    </w:p>
    <w:p>
      <w:pPr>
        <w:pStyle w:val="Compact"/>
        <w:numPr>
          <w:ilvl w:val="0"/>
          <w:numId w:val="1218"/>
        </w:numPr>
      </w:pPr>
      <w:r>
        <w:t xml:space="preserve">MinION sequencing device</w:t>
      </w:r>
    </w:p>
    <w:p>
      <w:pPr>
        <w:pStyle w:val="Compact"/>
        <w:numPr>
          <w:ilvl w:val="0"/>
          <w:numId w:val="1219"/>
        </w:numPr>
      </w:pPr>
      <w:r>
        <w:t xml:space="preserve">MinION flow cells (R10.4.1 or similar, Oxford Nanopore Technologies, FLO-MIN114)</w:t>
      </w:r>
    </w:p>
    <w:p>
      <w:pPr>
        <w:pStyle w:val="Compact"/>
        <w:numPr>
          <w:ilvl w:val="0"/>
          <w:numId w:val="1220"/>
        </w:numPr>
      </w:pPr>
      <w:r>
        <w:t xml:space="preserve">Ultrapure BSA 50mg/ml (ThermoFisher, AM2616) for long-read sequencing</w:t>
      </w:r>
    </w:p>
    <w:p>
      <w:pPr>
        <w:pStyle w:val="Compact"/>
        <w:numPr>
          <w:ilvl w:val="0"/>
          <w:numId w:val="1221"/>
        </w:numPr>
      </w:pPr>
      <w:r>
        <w:t xml:space="preserve">1.5mL microcentrifuge tubes (Eppendorf DNA LoBind) for long-read sequencing</w:t>
      </w:r>
    </w:p>
    <w:p>
      <w:pPr>
        <w:pStyle w:val="Compact"/>
        <w:numPr>
          <w:ilvl w:val="0"/>
          <w:numId w:val="1222"/>
        </w:numPr>
      </w:pPr>
      <w:r>
        <w:t xml:space="preserve">Magnetic rack for 1.5ml microcentrifuge tubes (for example, ThermoFisher DynaMag-2, 12321D) for long-read sequencing</w:t>
      </w:r>
    </w:p>
    <w:p>
      <w:pPr>
        <w:pStyle w:val="Compact"/>
        <w:numPr>
          <w:ilvl w:val="0"/>
          <w:numId w:val="1223"/>
        </w:numPr>
      </w:pPr>
      <w:r>
        <w:t xml:space="preserve">Nuclease-free water and 100% ethanol to prepare 80% ethanol for long-read sequencing</w:t>
      </w:r>
    </w:p>
    <w:p>
      <w:pPr>
        <w:pStyle w:val="FirstParagraph"/>
      </w:pPr>
      <w:r>
        <w:rPr>
          <w:b/>
          <w:bCs/>
        </w:rPr>
        <w:t xml:space="preserve">Dilute and Prepare PCR Primers</w:t>
      </w:r>
      <w:r>
        <w:t xml:space="preserve"> </w:t>
      </w:r>
      <w:r>
        <w:t xml:space="preserve">- [ ] Verify the primers are correct and received at 100 µM. Label the tubes as</w:t>
      </w:r>
      <w:r>
        <w:t xml:space="preserve"> </w:t>
      </w:r>
      <w:r>
        <w:t xml:space="preserve">“Primer Stocks.”</w:t>
      </w:r>
      <w:r>
        <w:t xml:space="preserve"> </w:t>
      </w:r>
      <w:r>
        <w:t xml:space="preserve">- [ ] Label the tube according to the primer being added.</w:t>
      </w:r>
      <w:r>
        <w:t xml:space="preserve"> </w:t>
      </w:r>
      <w:r>
        <w:t xml:space="preserve">- [ ] Make 10 µM working stocks by diluting 20 µl of primer stock into 180 µl nuclease water.</w:t>
      </w:r>
    </w:p>
    <w:p>
      <w:pPr>
        <w:pStyle w:val="BodyText"/>
      </w:pPr>
      <w:r>
        <w:rPr>
          <w:b/>
          <w:bCs/>
        </w:rPr>
        <w:t xml:space="preserve">Prepare Metapolyzyme and DNA Extraction Reagents</w:t>
      </w:r>
    </w:p>
    <w:p>
      <w:pPr>
        <w:pStyle w:val="Compact"/>
        <w:numPr>
          <w:ilvl w:val="0"/>
          <w:numId w:val="1224"/>
        </w:numPr>
      </w:pPr>
      <w:r>
        <w:t xml:space="preserve">Dissolve Metapolyzyme vial in 100 µl of DNA-free PBS. Note that 10 µl of metapolyzyme is used per sample. You may need more than one vial.</w:t>
      </w:r>
    </w:p>
    <w:p>
      <w:pPr>
        <w:pStyle w:val="Compact"/>
        <w:numPr>
          <w:ilvl w:val="0"/>
          <w:numId w:val="1225"/>
        </w:numPr>
      </w:pPr>
      <w:r>
        <w:t xml:space="preserve">Distribute spin columns, Lo-bind tubes, collection tubes, TE buffer, PBS, and elution buffer to each group (enough for the number of samples per group)</w:t>
      </w:r>
    </w:p>
    <w:p>
      <w:pPr>
        <w:pStyle w:val="Compact"/>
        <w:numPr>
          <w:ilvl w:val="0"/>
          <w:numId w:val="1226"/>
        </w:numPr>
      </w:pPr>
      <w:r>
        <w:t xml:space="preserve">Prepare gel electrophoresis systems, loading dye, and DNA ladder as needed.</w:t>
      </w:r>
    </w:p>
    <w:p>
      <w:pPr>
        <w:pStyle w:val="Compact"/>
        <w:numPr>
          <w:ilvl w:val="0"/>
          <w:numId w:val="1227"/>
        </w:numPr>
      </w:pPr>
      <w:r>
        <w:t xml:space="preserve">Prepare PCR cleanup or NEB Exo-CIP™ Rapid PCR Cleanup Kit.</w:t>
      </w:r>
    </w:p>
    <w:p>
      <w:pPr>
        <w:pStyle w:val="Compact"/>
        <w:numPr>
          <w:ilvl w:val="0"/>
          <w:numId w:val="1228"/>
        </w:numPr>
      </w:pPr>
      <w:r>
        <w:t xml:space="preserve">Prepare materials for Sanger sequencing.</w:t>
      </w:r>
    </w:p>
    <w:p>
      <w:pPr>
        <w:pStyle w:val="Compact"/>
        <w:numPr>
          <w:ilvl w:val="0"/>
          <w:numId w:val="1229"/>
        </w:numPr>
      </w:pPr>
      <w:r>
        <w:t xml:space="preserve">Prepare Oxford Nanopore Technologies (ONT) device, flow cell(s), and kit.</w:t>
      </w:r>
    </w:p>
    <w:bookmarkEnd w:id="178"/>
    <w:bookmarkEnd w:id="179"/>
    <w:bookmarkEnd w:id="180"/>
    <w:bookmarkStart w:id="203" w:name="Xe4cb1c0c8a8296d9b573394530302419b9cfe99"/>
    <w:p>
      <w:pPr>
        <w:pStyle w:val="Heading2"/>
      </w:pPr>
      <w:r>
        <w:t xml:space="preserve">Module 4.2 – ITS Amplification and Sanger Sequencing</w:t>
      </w:r>
    </w:p>
    <w:bookmarkStart w:id="181" w:name="purpose-3"/>
    <w:p>
      <w:pPr>
        <w:pStyle w:val="Heading3"/>
      </w:pPr>
      <w:r>
        <w:t xml:space="preserve">Purpose</w:t>
      </w:r>
    </w:p>
    <w:p>
      <w:pPr>
        <w:pStyle w:val="FirstParagraph"/>
      </w:pPr>
      <w:r>
        <w:t xml:space="preserve">The purpose of this module is to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30"/>
        </w:numPr>
      </w:pPr>
      <w:r>
        <w:t xml:space="preserve">Practice extracting fungal DNA</w:t>
      </w:r>
    </w:p>
    <w:p>
      <w:pPr>
        <w:pStyle w:val="Compact"/>
        <w:numPr>
          <w:ilvl w:val="0"/>
          <w:numId w:val="1230"/>
        </w:numPr>
      </w:pPr>
      <w:r>
        <w:t xml:space="preserve">Successfully PCR amplify fungal ITS</w:t>
      </w:r>
    </w:p>
    <w:p>
      <w:pPr>
        <w:pStyle w:val="Compact"/>
        <w:numPr>
          <w:ilvl w:val="0"/>
          <w:numId w:val="1230"/>
        </w:numPr>
      </w:pPr>
      <w:r>
        <w:t xml:space="preserve">Learn to BLAST ITS sequence to identify fungal isolates</w:t>
      </w:r>
    </w:p>
    <w:bookmarkEnd w:id="182"/>
    <w:bookmarkStart w:id="187" w:name="part-i-its-pcr-amplification"/>
    <w:p>
      <w:pPr>
        <w:pStyle w:val="Heading3"/>
      </w:pPr>
      <w:r>
        <w:t xml:space="preserve">Part I: ITS PCR Amplification</w:t>
      </w:r>
    </w:p>
    <w:bookmarkStart w:id="183" w:name="introduction-3"/>
    <w:p>
      <w:pPr>
        <w:pStyle w:val="Heading4"/>
      </w:pPr>
      <w:r>
        <w:t xml:space="preserve">Introduction</w:t>
      </w:r>
    </w:p>
    <w:p>
      <w:pPr>
        <w:pStyle w:val="FirstParagraph"/>
      </w:pPr>
      <w:r>
        <w:t xml:space="preserve">We can use DNA sequencing of the fungal barcode region (ITS rDNA) to identify our isolates. To do this, you must:</w:t>
      </w:r>
      <w:r>
        <w:t xml:space="preserve"> </w:t>
      </w:r>
      <w:r>
        <w:t xml:space="preserve">1. extract gDNA from a pure culture of your fungal isolate;</w:t>
      </w:r>
      <w:r>
        <w:t xml:space="preserve"> </w:t>
      </w:r>
      <w:r>
        <w:t xml:space="preserve">2. specifically amplify (make millions of copies!) a portion of the ITS rDNA region using polymerase chain reaction (PCR);</w:t>
      </w:r>
      <w:r>
        <w:t xml:space="preserve"> </w:t>
      </w:r>
      <w:r>
        <w:t xml:space="preserve">3. sequence the PCR product using Sanger sequencing (we will use a commercial service for this); and</w:t>
      </w:r>
      <w:r>
        <w:t xml:space="preserve"> </w:t>
      </w:r>
      <w:r>
        <w:t xml:space="preserve">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approach: high heat to disrupt cells and release gDNA.</w:t>
      </w:r>
    </w:p>
    <w:bookmarkEnd w:id="183"/>
    <w:bookmarkStart w:id="184" w:name="materials-1"/>
    <w:p>
      <w:pPr>
        <w:pStyle w:val="Heading4"/>
      </w:pPr>
      <w:r>
        <w:t xml:space="preserve">Materials</w:t>
      </w:r>
    </w:p>
    <w:p>
      <w:pPr>
        <w:pStyle w:val="Compact"/>
        <w:numPr>
          <w:ilvl w:val="0"/>
          <w:numId w:val="1231"/>
        </w:numPr>
      </w:pPr>
      <w:r>
        <w:t xml:space="preserve">Fungal isolates</w:t>
      </w:r>
    </w:p>
    <w:p>
      <w:pPr>
        <w:pStyle w:val="Compact"/>
        <w:numPr>
          <w:ilvl w:val="0"/>
          <w:numId w:val="1232"/>
        </w:numPr>
      </w:pPr>
      <w:r>
        <w:t xml:space="preserve">P1000 micropipette tips (sterile)</w:t>
      </w:r>
    </w:p>
    <w:p>
      <w:pPr>
        <w:pStyle w:val="Compact"/>
        <w:numPr>
          <w:ilvl w:val="0"/>
          <w:numId w:val="1233"/>
        </w:numPr>
      </w:pPr>
      <w:r>
        <w:t xml:space="preserve">0.2 mL PCR tubes</w:t>
      </w:r>
    </w:p>
    <w:p>
      <w:pPr>
        <w:pStyle w:val="Compact"/>
        <w:numPr>
          <w:ilvl w:val="0"/>
          <w:numId w:val="1234"/>
        </w:numPr>
      </w:pPr>
      <w:r>
        <w:t xml:space="preserve">P10, P20, P200, and P1000 micropipettes with tips</w:t>
      </w:r>
    </w:p>
    <w:p>
      <w:pPr>
        <w:pStyle w:val="Compact"/>
        <w:numPr>
          <w:ilvl w:val="0"/>
          <w:numId w:val="1235"/>
        </w:numPr>
      </w:pPr>
      <w:r>
        <w:t xml:space="preserve">Q5 Hot Start High-Fidelity 2X Master Mix (New England BioLabs, M0494S)</w:t>
      </w:r>
    </w:p>
    <w:p>
      <w:pPr>
        <w:pStyle w:val="Compact"/>
        <w:numPr>
          <w:ilvl w:val="0"/>
          <w:numId w:val="1236"/>
        </w:numPr>
      </w:pPr>
      <w:r>
        <w:t xml:space="preserve">DNA extraction kit (New England BioLabs, Monarch® Spin gDNA Extraction Kit, T3010S)</w:t>
      </w:r>
    </w:p>
    <w:p>
      <w:pPr>
        <w:pStyle w:val="Compact"/>
        <w:numPr>
          <w:ilvl w:val="0"/>
          <w:numId w:val="1237"/>
        </w:numPr>
      </w:pPr>
      <w:r>
        <w:t xml:space="preserve">Sterile loops</w:t>
      </w:r>
    </w:p>
    <w:p>
      <w:pPr>
        <w:pStyle w:val="Compact"/>
        <w:numPr>
          <w:ilvl w:val="0"/>
          <w:numId w:val="1238"/>
        </w:numPr>
      </w:pPr>
      <w:r>
        <w:t xml:space="preserve">DNA quantification system (for example, Qubit Fluorometer with dsDNA HS Assay Kit, ThermoFisher, Q32851)</w:t>
      </w:r>
    </w:p>
    <w:p>
      <w:pPr>
        <w:pStyle w:val="Compact"/>
        <w:numPr>
          <w:ilvl w:val="0"/>
          <w:numId w:val="1239"/>
        </w:numPr>
      </w:pPr>
      <w:r>
        <w:t xml:space="preserve">Nuclease-free water</w:t>
      </w:r>
    </w:p>
    <w:p>
      <w:pPr>
        <w:pStyle w:val="Compact"/>
        <w:numPr>
          <w:ilvl w:val="0"/>
          <w:numId w:val="1240"/>
        </w:numPr>
      </w:pPr>
      <w:r>
        <w:t xml:space="preserve">NEB Exo Cip™ Rapid PCR Cleanup Kit (New England BioLabs, E1050S)</w:t>
      </w:r>
    </w:p>
    <w:p>
      <w:pPr>
        <w:pStyle w:val="Compact"/>
        <w:numPr>
          <w:ilvl w:val="0"/>
          <w:numId w:val="1241"/>
        </w:numPr>
      </w:pPr>
      <w:r>
        <w:t xml:space="preserve">Thermocycler capable of reaching 95 °C</w:t>
      </w:r>
    </w:p>
    <w:bookmarkEnd w:id="184"/>
    <w:bookmarkStart w:id="185" w:name="procedures"/>
    <w:p>
      <w:pPr>
        <w:pStyle w:val="Heading4"/>
      </w:pPr>
      <w:r>
        <w:t xml:space="preserve">Procedures</w:t>
      </w:r>
    </w:p>
    <w:p>
      <w:pPr>
        <w:pStyle w:val="FirstParagraph"/>
      </w:pPr>
      <w:r>
        <w:t xml:space="preserve">The polymerase chain reaction</w:t>
      </w:r>
      <w:r>
        <w:t xml:space="preserve"> </w:t>
      </w:r>
      <w:r>
        <w:rPr>
          <w:b/>
          <w:bCs/>
        </w:rPr>
        <w:t xml:space="preserve">(PCR)</w:t>
      </w:r>
      <w:r>
        <w:t xml:space="preserve">,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w:t>
      </w:r>
      <w:r>
        <w:t xml:space="preserve"> </w:t>
      </w:r>
      <w:r>
        <w:rPr>
          <w:i/>
          <w:iCs/>
        </w:rPr>
        <w:t xml:space="preserve">Thermus aquaticum</w:t>
      </w:r>
      <w:r>
        <w:t xml:space="preserve">,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The rDNA region containing the variable regions ITS-1 and ITS-2. Our forward primer</w:t>
      </w:r>
      <w:r>
        <w:t xml:space="preserve"> </w:t>
      </w:r>
      <w:r>
        <w:rPr>
          <w:b/>
          <w:bCs/>
        </w:rPr>
        <w:t xml:space="preserve">(ITS-1F)</w:t>
      </w:r>
      <w:r>
        <w:t xml:space="preserve"> </w:t>
      </w:r>
      <w:r>
        <w:t xml:space="preserve">will target a portion of the SSU and our reverse primer</w:t>
      </w:r>
      <w:r>
        <w:t xml:space="preserve"> </w:t>
      </w:r>
      <w:r>
        <w:rPr>
          <w:b/>
          <w:bCs/>
        </w:rPr>
        <w:t xml:space="preserve">(ITS4)</w:t>
      </w:r>
      <w:r>
        <w:t xml:space="preserve"> </w:t>
      </w:r>
      <w:r>
        <w:t xml:space="preserve">will target a portion of the LSU. Thereby, amplifying both variable regions and the 5.8S subunit.</w:t>
      </w:r>
    </w:p>
    <w:p>
      <w:pPr>
        <w:pStyle w:val="Compact"/>
        <w:numPr>
          <w:ilvl w:val="0"/>
          <w:numId w:val="1242"/>
        </w:numPr>
      </w:pPr>
      <w:r>
        <w:t xml:space="preserve">Using a P1000 tip, gently scratch the fungal culture to collect a small amount of mycelium.</w:t>
      </w:r>
    </w:p>
    <w:p>
      <w:pPr>
        <w:pStyle w:val="Compact"/>
        <w:numPr>
          <w:ilvl w:val="0"/>
          <w:numId w:val="1242"/>
        </w:numPr>
      </w:pPr>
      <w:r>
        <w:t xml:space="preserve">Transfer the collected mycelium to a PCR tube with 50.00 ul of water. Repeat this procedure for each of your isolates. Be sure to label your tubes with the name of the isolate and your name.</w:t>
      </w:r>
    </w:p>
    <w:p>
      <w:pPr>
        <w:pStyle w:val="Compact"/>
        <w:numPr>
          <w:ilvl w:val="0"/>
          <w:numId w:val="1242"/>
        </w:numPr>
      </w:pPr>
      <w:r>
        <w:t xml:space="preserve">Vortex to mix and then centrifuge briefly to collect the sample at the bottom of the tube.</w:t>
      </w:r>
    </w:p>
    <w:p>
      <w:pPr>
        <w:pStyle w:val="Compact"/>
        <w:numPr>
          <w:ilvl w:val="0"/>
          <w:numId w:val="1242"/>
        </w:numPr>
      </w:pPr>
      <w:r>
        <w:t xml:space="preserve">Place the tube in a thermocycler at 95 °C for 10 minutes and then 4 °C for 5 minutes. This will lyse the cells and release the DNA into the solution.</w:t>
      </w:r>
    </w:p>
    <w:p>
      <w:pPr>
        <w:pStyle w:val="Compact"/>
        <w:numPr>
          <w:ilvl w:val="0"/>
          <w:numId w:val="1242"/>
        </w:numPr>
      </w:pPr>
      <w:r>
        <w:t xml:space="preserve">Centrifuge the tube at maximum speed for 1 minute to pellet the cell debris.</w:t>
      </w:r>
    </w:p>
    <w:p>
      <w:pPr>
        <w:pStyle w:val="Compact"/>
        <w:numPr>
          <w:ilvl w:val="0"/>
          <w:numId w:val="1242"/>
        </w:numPr>
      </w:pPr>
      <w:r>
        <w:t xml:space="preserve">Carefully transfer 5.00 ul of the supernatant (which contains the DNA) to a new labeled PCR tube.</w:t>
      </w:r>
    </w:p>
    <w:p>
      <w:pPr>
        <w:pStyle w:val="Compact"/>
        <w:numPr>
          <w:ilvl w:val="0"/>
          <w:numId w:val="1242"/>
        </w:numPr>
      </w:pPr>
      <w:r>
        <w:t xml:space="preserve">Create a mastermix with your group that includes the following components for each reaction (50.00 µL total volume):</w:t>
      </w:r>
    </w:p>
    <w:p>
      <w:pPr>
        <w:pStyle w:val="Compact"/>
        <w:numPr>
          <w:ilvl w:val="1"/>
          <w:numId w:val="1243"/>
        </w:numPr>
      </w:pPr>
      <w:r>
        <w:t xml:space="preserve">25.00 µL of Q5 Hot Start High-Fidelity 2X Master Mix</w:t>
      </w:r>
    </w:p>
    <w:p>
      <w:pPr>
        <w:pStyle w:val="Compact"/>
        <w:numPr>
          <w:ilvl w:val="1"/>
          <w:numId w:val="1243"/>
        </w:numPr>
      </w:pPr>
      <w:r>
        <w:t xml:space="preserve">2.50 µL of forward primer (10 pmol/µL)</w:t>
      </w:r>
    </w:p>
    <w:p>
      <w:pPr>
        <w:pStyle w:val="Compact"/>
        <w:numPr>
          <w:ilvl w:val="1"/>
          <w:numId w:val="1243"/>
        </w:numPr>
      </w:pPr>
      <w:r>
        <w:t xml:space="preserve">2.50 µL of reverse primer (10 pmol/µL)</w:t>
      </w:r>
    </w:p>
    <w:p>
      <w:pPr>
        <w:pStyle w:val="Compact"/>
        <w:numPr>
          <w:ilvl w:val="1"/>
          <w:numId w:val="1243"/>
        </w:numPr>
      </w:pPr>
      <w:r>
        <w:t xml:space="preserve">10.00 µL of nuclease free water</w:t>
      </w:r>
    </w:p>
    <w:p>
      <w:pPr>
        <w:pStyle w:val="Compact"/>
        <w:numPr>
          <w:ilvl w:val="0"/>
          <w:numId w:val="1242"/>
        </w:numPr>
      </w:pPr>
      <w:r>
        <w:t xml:space="preserve">Aliquot 45.00 µL of your prepared mastermix into 0.2 mL snap-cap PCR tubes.</w:t>
      </w:r>
    </w:p>
    <w:p>
      <w:pPr>
        <w:pStyle w:val="Compact"/>
        <w:numPr>
          <w:ilvl w:val="0"/>
          <w:numId w:val="1242"/>
        </w:numPr>
      </w:pPr>
      <w:r>
        <w:t xml:space="preserve">Add 5.00 µL of your extracted DNA to the PCR tube containing the mastermix. Be sure to use a new pipette tip for each sample to avoid cross-contamination.</w:t>
      </w:r>
    </w:p>
    <w:p>
      <w:pPr>
        <w:pStyle w:val="Compact"/>
        <w:numPr>
          <w:ilvl w:val="0"/>
          <w:numId w:val="1242"/>
        </w:numPr>
      </w:pPr>
      <w:r>
        <w:t xml:space="preserve">Place the tubes in the thermocycler and run the following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Temperature (°C)</w:t>
            </w:r>
          </w:p>
        </w:tc>
        <w:tc>
          <w:tcPr/>
          <w:p>
            <w:pPr>
              <w:pStyle w:val="Compact"/>
            </w:pPr>
            <w:r>
              <w:t xml:space="preserve">Time</w:t>
            </w:r>
          </w:p>
        </w:tc>
      </w:tr>
      <w:tr>
        <w:tc>
          <w:tcPr/>
          <w:p>
            <w:pPr>
              <w:pStyle w:val="Compact"/>
            </w:pPr>
            <w:r>
              <w:t xml:space="preserve">Initial Denaturation</w:t>
            </w:r>
          </w:p>
        </w:tc>
        <w:tc>
          <w:tcPr/>
          <w:p>
            <w:pPr>
              <w:pStyle w:val="Compact"/>
            </w:pPr>
            <w:r>
              <w:t xml:space="preserve">98°C</w:t>
            </w:r>
          </w:p>
        </w:tc>
        <w:tc>
          <w:tcPr/>
          <w:p>
            <w:pPr>
              <w:pStyle w:val="Compact"/>
            </w:pPr>
            <w:r>
              <w:t xml:space="preserve">30 seconds</w:t>
            </w:r>
          </w:p>
        </w:tc>
      </w:tr>
      <w:tr>
        <w:tc>
          <w:tcPr/>
          <w:p>
            <w:pPr>
              <w:pStyle w:val="Compact"/>
            </w:pPr>
            <w:r>
              <w:t xml:space="preserve">Denaturation (25-35 cycles)</w:t>
            </w:r>
          </w:p>
        </w:tc>
        <w:tc>
          <w:tcPr/>
          <w:p>
            <w:pPr>
              <w:pStyle w:val="Compact"/>
            </w:pPr>
            <w:r>
              <w:t xml:space="preserve">98°C</w:t>
            </w:r>
          </w:p>
        </w:tc>
        <w:tc>
          <w:tcPr/>
          <w:p>
            <w:pPr>
              <w:pStyle w:val="Compact"/>
            </w:pPr>
            <w:r>
              <w:t xml:space="preserve">10 seconds</w:t>
            </w:r>
          </w:p>
        </w:tc>
      </w:tr>
      <w:tr>
        <w:tc>
          <w:tcPr/>
          <w:p>
            <w:pPr>
              <w:pStyle w:val="Compact"/>
            </w:pPr>
            <w:r>
              <w:t xml:space="preserve">Annealing (25-35 cycles)</w:t>
            </w:r>
          </w:p>
        </w:tc>
        <w:tc>
          <w:tcPr/>
          <w:p>
            <w:pPr>
              <w:pStyle w:val="Compact"/>
            </w:pPr>
            <w:r>
              <w:t xml:space="preserve">60°C</w:t>
            </w:r>
          </w:p>
        </w:tc>
        <w:tc>
          <w:tcPr/>
          <w:p>
            <w:pPr>
              <w:pStyle w:val="Compact"/>
            </w:pPr>
            <w:r>
              <w:t xml:space="preserve">30 seconds</w:t>
            </w:r>
          </w:p>
        </w:tc>
      </w:tr>
      <w:tr>
        <w:tc>
          <w:tcPr/>
          <w:p>
            <w:pPr>
              <w:pStyle w:val="Compact"/>
            </w:pPr>
            <w:r>
              <w:t xml:space="preserve">Extension (25-35 cycles)</w:t>
            </w:r>
          </w:p>
        </w:tc>
        <w:tc>
          <w:tcPr/>
          <w:p>
            <w:pPr>
              <w:pStyle w:val="Compact"/>
            </w:pPr>
            <w:r>
              <w:t xml:space="preserve">72°C</w:t>
            </w:r>
          </w:p>
        </w:tc>
        <w:tc>
          <w:tcPr/>
          <w:p>
            <w:pPr>
              <w:pStyle w:val="Compact"/>
            </w:pPr>
            <w:r>
              <w:t xml:space="preserve">30 seconds</w:t>
            </w:r>
          </w:p>
        </w:tc>
      </w:tr>
      <w:tr>
        <w:tc>
          <w:tcPr/>
          <w:p>
            <w:pPr>
              <w:pStyle w:val="Compact"/>
            </w:pPr>
            <w:r>
              <w:t xml:space="preserve">Final Extension</w:t>
            </w:r>
          </w:p>
        </w:tc>
        <w:tc>
          <w:tcPr/>
          <w:p>
            <w:pPr>
              <w:pStyle w:val="Compact"/>
            </w:pPr>
            <w:r>
              <w:t xml:space="preserve">72°C</w:t>
            </w:r>
          </w:p>
        </w:tc>
        <w:tc>
          <w:tcPr/>
          <w:p>
            <w:pPr>
              <w:pStyle w:val="Compact"/>
            </w:pPr>
            <w:r>
              <w:t xml:space="preserve">2 minutes</w:t>
            </w:r>
          </w:p>
        </w:tc>
      </w:tr>
    </w:tbl>
    <w:p>
      <w:pPr>
        <w:pStyle w:val="Compact"/>
        <w:numPr>
          <w:ilvl w:val="0"/>
          <w:numId w:val="1244"/>
        </w:numPr>
      </w:pPr>
      <w:r>
        <w:t xml:space="preserve">After the PCR program is complete, follow the ExoCIP protocol to prepare your DNA for Sanger sequencing. Then, store your PCR products at -20 °C.</w:t>
      </w:r>
    </w:p>
    <w:p>
      <w:pPr>
        <w:pStyle w:val="Compact"/>
        <w:numPr>
          <w:ilvl w:val="0"/>
          <w:numId w:val="1244"/>
        </w:numPr>
      </w:pPr>
      <w:r>
        <w:t xml:space="preserve">Transfer 5.00 µl of PCR product to a new PCR tube and add 1.00 µl of Exo-CIP A and 1.00 µl of Exo-CIP B, respectively. The final volume is 7.00 µl. Mix thoroughly and briefly centrifuge at 1000 x g.</w:t>
      </w:r>
    </w:p>
    <w:p>
      <w:pPr>
        <w:pStyle w:val="Compact"/>
        <w:numPr>
          <w:ilvl w:val="0"/>
          <w:numId w:val="1244"/>
        </w:numPr>
      </w:pPr>
      <w:r>
        <w:t xml:space="preserve">Incubate the reaction tube for 4 minutes at 37°C followed by 1 minute at 80°C. This will degrade the remaining primers and nucleotides and inactivate the Exo-CIP enzymes.</w:t>
      </w:r>
    </w:p>
    <w:p>
      <w:pPr>
        <w:pStyle w:val="Compact"/>
        <w:numPr>
          <w:ilvl w:val="0"/>
          <w:numId w:val="1244"/>
        </w:numPr>
      </w:pPr>
      <w:r>
        <w:t xml:space="preserve">Submit 5.00 µl (in a range of 15-200 fmol) of treated PCR product for sequencing with Eton Biosciences.</w:t>
      </w:r>
    </w:p>
    <w:bookmarkEnd w:id="185"/>
    <w:bookmarkStart w:id="186" w:name="X7a9437114b66a535474c7c1f8d36e2e2fb635f1"/>
    <w:p>
      <w:pPr>
        <w:pStyle w:val="Heading4"/>
      </w:pPr>
      <w:r>
        <w:t xml:space="preserve">PCR Troubleshooting after Gel Electrophoresis</w:t>
      </w:r>
    </w:p>
    <w:p>
      <w:pPr>
        <w:pStyle w:val="Compact"/>
        <w:numPr>
          <w:ilvl w:val="0"/>
          <w:numId w:val="1245"/>
        </w:numPr>
      </w:pPr>
      <w:r>
        <w:t xml:space="preserve">No amplification on any samples: check primers, polymerase, and other reagents.</w:t>
      </w:r>
    </w:p>
    <w:p>
      <w:pPr>
        <w:pStyle w:val="Compact"/>
        <w:numPr>
          <w:ilvl w:val="0"/>
          <w:numId w:val="124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45"/>
        </w:numPr>
      </w:pPr>
      <w:r>
        <w:t xml:space="preserve">Weak or multiple bands, smear: Mispriming from the incorrect program. Check primer concentration: an imbalance of primers can lead to multiple bands.</w:t>
      </w:r>
    </w:p>
    <w:bookmarkEnd w:id="186"/>
    <w:bookmarkEnd w:id="187"/>
    <w:bookmarkStart w:id="197" w:name="Xfdec16d64d8d86129169b80f71f5fe12ba3d66d"/>
    <w:p>
      <w:pPr>
        <w:pStyle w:val="Heading3"/>
      </w:pPr>
      <w:r>
        <w:t xml:space="preserve">Part II: Gel Electrophoresis and PCR Cleanup</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88" w:name="X33da8410cb3a6a87a17acf837e70992547b4475"/>
    <w:p>
      <w:pPr>
        <w:pStyle w:val="Heading4"/>
      </w:pPr>
      <w:r>
        <w:t xml:space="preserve">Prepare the E-Gel and Gel Electrophoresis System</w:t>
      </w:r>
    </w:p>
    <w:bookmarkEnd w:id="188"/>
    <w:bookmarkStart w:id="189" w:name="materials-needed-1"/>
    <w:p>
      <w:pPr>
        <w:pStyle w:val="Heading4"/>
      </w:pPr>
      <w:r>
        <w:t xml:space="preserve">Materials Needed</w:t>
      </w:r>
    </w:p>
    <w:p>
      <w:pPr>
        <w:pStyle w:val="Compact"/>
        <w:numPr>
          <w:ilvl w:val="0"/>
          <w:numId w:val="1246"/>
        </w:numPr>
      </w:pPr>
      <w:r>
        <w:t xml:space="preserve">1% E-Gel™ EX precast gels (or 1.2% E-Gel) to visualize PCR products</w:t>
      </w:r>
    </w:p>
    <w:p>
      <w:pPr>
        <w:pStyle w:val="Compact"/>
        <w:numPr>
          <w:ilvl w:val="0"/>
          <w:numId w:val="1247"/>
        </w:numPr>
      </w:pPr>
      <w:r>
        <w:t xml:space="preserve">E-Gel™ 1kb Plus DNA Ladder (ThermoFisher, 10488018) or similar DNA ladder</w:t>
      </w:r>
    </w:p>
    <w:p>
      <w:pPr>
        <w:pStyle w:val="Compact"/>
        <w:numPr>
          <w:ilvl w:val="0"/>
          <w:numId w:val="1248"/>
        </w:numPr>
      </w:pPr>
      <w:r>
        <w:t xml:space="preserve">E-Gel™ Loading Dye (ThermoFisher, 10488100) or similar loading dye</w:t>
      </w:r>
    </w:p>
    <w:p>
      <w:pPr>
        <w:pStyle w:val="Compact"/>
        <w:numPr>
          <w:ilvl w:val="0"/>
          <w:numId w:val="1249"/>
        </w:numPr>
      </w:pPr>
      <w:r>
        <w:t xml:space="preserve">P20 micropipette with tips</w:t>
      </w:r>
    </w:p>
    <w:bookmarkEnd w:id="189"/>
    <w:bookmarkStart w:id="196" w:name="gel-loading"/>
    <w:p>
      <w:pPr>
        <w:pStyle w:val="Heading4"/>
      </w:pPr>
      <w:r>
        <w:t xml:space="preserve">Gel Loading</w:t>
      </w:r>
    </w:p>
    <w:p>
      <w:pPr>
        <w:pStyle w:val="FirstParagraph"/>
      </w:pPr>
      <w:r>
        <w:t xml:space="preserve">Watch this</w:t>
      </w:r>
      <w:r>
        <w:t xml:space="preserve"> </w:t>
      </w:r>
      <w:hyperlink r:id="rId190">
        <w:r>
          <w:rPr>
            <w:rStyle w:val="Hyperlink"/>
          </w:rPr>
          <w:t xml:space="preserve">video</w:t>
        </w:r>
      </w:hyperlink>
      <w:r>
        <w:t xml:space="preserve"> </w:t>
      </w:r>
      <w:r>
        <w:t xml:space="preserve">for a demonstration of how to load a gel.</w:t>
      </w:r>
    </w:p>
    <w:p>
      <w:pPr>
        <w:pStyle w:val="Compact"/>
        <w:numPr>
          <w:ilvl w:val="0"/>
          <w:numId w:val="1250"/>
        </w:numPr>
      </w:pPr>
      <w:r>
        <w:t xml:space="preserve">In clean PCR strip tubes, combine 5 μL of your PCR product with 15 μL of loading dye. Mix by pipetting up and down. Be sure to use a new pipette tip for each sample to avoid cross-contamination.</w:t>
      </w:r>
    </w:p>
    <w:p>
      <w:pPr>
        <w:pStyle w:val="Compact"/>
        <w:numPr>
          <w:ilvl w:val="0"/>
          <w:numId w:val="1250"/>
        </w:numPr>
      </w:pPr>
      <w:r>
        <w:t xml:space="preserve">Label your tubes and make a map of your samples in your gel.</w:t>
      </w:r>
    </w:p>
    <w:p>
      <w:pPr>
        <w:pStyle w:val="Compact"/>
        <w:numPr>
          <w:ilvl w:val="0"/>
          <w:numId w:val="1250"/>
        </w:numPr>
      </w:pPr>
      <w:r>
        <w:t xml:space="preserve">Load 20 μL of the DNA ladder into the first well of the gel. This will allow you to estimate the size of your PCR products.</w:t>
      </w:r>
    </w:p>
    <w:p>
      <w:pPr>
        <w:pStyle w:val="Compact"/>
        <w:numPr>
          <w:ilvl w:val="0"/>
          <w:numId w:val="1250"/>
        </w:numPr>
      </w:pPr>
      <w:r>
        <w:t xml:space="preserve">Load 20 μL of your PCR product into the remaining wells of the gel.</w:t>
      </w:r>
    </w:p>
    <w:p>
      <w:pPr>
        <w:pStyle w:val="Compact"/>
        <w:numPr>
          <w:ilvl w:val="0"/>
          <w:numId w:val="1250"/>
        </w:numPr>
      </w:pPr>
      <w:r>
        <w:t xml:space="preserve">Dip pipette tip into the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50"/>
        </w:numPr>
      </w:pPr>
      <w:r>
        <w:t xml:space="preserve">Be sure to reserve one well per row for a standardized DNA ladder.</w:t>
      </w:r>
    </w:p>
    <w:p>
      <w:pPr>
        <w:pStyle w:val="Compact"/>
        <w:numPr>
          <w:ilvl w:val="0"/>
          <w:numId w:val="1250"/>
        </w:numPr>
      </w:pPr>
      <w:r>
        <w:t xml:space="preserve">Run for about 10 minutes.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opt/quarto/share/formats/docx/caution.png" id="193" name="Picture"/>
                          <pic:cNvPicPr>
                            <a:picLocks noChangeArrowheads="1" noChangeAspect="1"/>
                          </pic:cNvPicPr>
                        </pic:nvPicPr>
                        <pic:blipFill>
                          <a:blip r:embed="rId1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Periodically check the migration of your PCR product across the gel to ensure it doesn’t run off the other end of the gel.</w:t>
            </w:r>
          </w:p>
          <w:p/>
        </w:tc>
      </w:tr>
    </w:tbl>
    <w:p>
      <w:pPr>
        <w:pStyle w:val="Compact"/>
        <w:numPr>
          <w:ilvl w:val="0"/>
          <w:numId w:val="1251"/>
        </w:numPr>
      </w:pPr>
      <w:r>
        <w:t xml:space="preserve">Visualize with UV backlight and take a photograph of your gel. You should see a band between 500-700 bp, which is the expected size of the ITS 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important.png" id="19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do not see a band, or if you see multiple bands, you may need to troubleshoot your PCR reaction. See the troubleshooting section above. Nevertheless, document your results and move on to the next step. You can still submit your PCR product for sequencing, but be sure to note the results of your gel electrophoresis in your lab notebook.</w:t>
            </w:r>
          </w:p>
          <w:p/>
        </w:tc>
      </w:tr>
    </w:tbl>
    <w:bookmarkEnd w:id="196"/>
    <w:bookmarkEnd w:id="197"/>
    <w:bookmarkStart w:id="198" w:name="Xe33c842740cae34c2c787806dbb34b5dd68c629"/>
    <w:p>
      <w:pPr>
        <w:pStyle w:val="Heading3"/>
      </w:pPr>
      <w:r>
        <w:t xml:space="preserve">Part III: DNA Extraction for Nanopore Sequencing</w:t>
      </w:r>
    </w:p>
    <w:p>
      <w:pPr>
        <w:pStyle w:val="FirstParagraph"/>
      </w:pPr>
      <w:r>
        <w:t xml:space="preserve">We will use the recommended protocol for the Rapid Barcoding Kit v14 (SQK-RBK114.24) from Oxford Nanopore Technologies (ONT) to prepare our DNA for long-read sequencing on the MinION device. This protocol is designed for high-quality, high-molecular-weight DNA, so we will use the Monarch® Spin gDNA Extraction Kit (New England BioLabs, T3010S) to extract DNA from our fungal isolates.</w:t>
      </w:r>
    </w:p>
    <w:p>
      <w:pPr>
        <w:pStyle w:val="BodyText"/>
      </w:pPr>
      <w:r>
        <w:t xml:space="preserve">Follow the manufacturer’s instructions for DNA extraction, and then proceed with the Rapid Barcoding Kit protocol for library preparation and sequencing on the MinION device.</w:t>
      </w:r>
    </w:p>
    <w:bookmarkEnd w:id="198"/>
    <w:bookmarkStart w:id="199" w:name="part-iv-sanger-sequencing"/>
    <w:p>
      <w:pPr>
        <w:pStyle w:val="Heading3"/>
      </w:pPr>
      <w:r>
        <w:t xml:space="preserve">Part IV: Sanger Sequencing</w:t>
      </w:r>
    </w:p>
    <w:p>
      <w:pPr>
        <w:pStyle w:val="FirstParagraph"/>
      </w:pPr>
      <w:r>
        <w:t xml:space="preserve">Your cleaned PCR product will be sent to an external facility for Sanger sequencing.</w:t>
      </w:r>
    </w:p>
    <w:bookmarkEnd w:id="199"/>
    <w:bookmarkStart w:id="201" w:name="Xee57668255e8d9edd601a346aa8342694650192"/>
    <w:p>
      <w:pPr>
        <w:pStyle w:val="Heading3"/>
      </w:pPr>
      <w:r>
        <w:t xml:space="preserve">Part V: Identifying Species using DNA Barcode</w:t>
      </w:r>
    </w:p>
    <w:bookmarkStart w:id="200"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52"/>
        </w:numPr>
      </w:pPr>
      <w:r>
        <w:t xml:space="preserve">Go to NCBI: https://www.ncbi.nlm.nih.gov/.</w:t>
      </w:r>
    </w:p>
    <w:p>
      <w:pPr>
        <w:pStyle w:val="Compact"/>
        <w:numPr>
          <w:ilvl w:val="0"/>
          <w:numId w:val="125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53"/>
        </w:numPr>
      </w:pPr>
      <w:r>
        <w:t xml:space="preserve">BLAST = Basic Local Alignment Search Tool</w:t>
      </w:r>
    </w:p>
    <w:p>
      <w:pPr>
        <w:pStyle w:val="Compact"/>
        <w:numPr>
          <w:ilvl w:val="0"/>
          <w:numId w:val="1252"/>
        </w:numPr>
      </w:pPr>
      <w:r>
        <w:t xml:space="preserve">Click on the Nucleotide BLAST image.</w:t>
      </w:r>
    </w:p>
    <w:p>
      <w:pPr>
        <w:pStyle w:val="Compact"/>
        <w:numPr>
          <w:ilvl w:val="1"/>
          <w:numId w:val="125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52"/>
        </w:numPr>
      </w:pPr>
      <w:r>
        <w:t xml:space="preserve">Paste your sequence data into the big space under</w:t>
      </w:r>
      <w:r>
        <w:t xml:space="preserve"> </w:t>
      </w:r>
      <w:r>
        <w:t xml:space="preserve">“Enter Query Sequence”</w:t>
      </w:r>
      <w:r>
        <w:t xml:space="preserve">.</w:t>
      </w:r>
    </w:p>
    <w:p>
      <w:pPr>
        <w:pStyle w:val="Compact"/>
        <w:numPr>
          <w:ilvl w:val="1"/>
          <w:numId w:val="125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52"/>
        </w:numPr>
      </w:pPr>
      <w:r>
        <w:t xml:space="preserve">Under Choose Search Set you can keep it under</w:t>
      </w:r>
      <w:r>
        <w:t xml:space="preserve"> </w:t>
      </w:r>
      <w:r>
        <w:t xml:space="preserve">“Standard databases (nr etc.)”</w:t>
      </w:r>
      <w:r>
        <w:t xml:space="preserve">.</w:t>
      </w:r>
    </w:p>
    <w:p>
      <w:pPr>
        <w:pStyle w:val="Compact"/>
        <w:numPr>
          <w:ilvl w:val="1"/>
          <w:numId w:val="125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52"/>
        </w:numPr>
      </w:pPr>
      <w:r>
        <w:t xml:space="preserve">Select the</w:t>
      </w:r>
      <w:r>
        <w:t xml:space="preserve"> </w:t>
      </w:r>
      <w:r>
        <w:t xml:space="preserve">“BLAST”</w:t>
      </w:r>
      <w:r>
        <w:t xml:space="preserve"> </w:t>
      </w:r>
      <w:r>
        <w:t xml:space="preserve">button at the end.</w:t>
      </w:r>
    </w:p>
    <w:p>
      <w:pPr>
        <w:pStyle w:val="Compact"/>
        <w:numPr>
          <w:ilvl w:val="1"/>
          <w:numId w:val="125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57"/>
        </w:numPr>
      </w:pPr>
      <w:r>
        <w:t xml:space="preserve">Percent Identity = What percent of your sequence (query sequence) is identical to the matched sequence.</w:t>
      </w:r>
    </w:p>
    <w:p>
      <w:pPr>
        <w:pStyle w:val="Compact"/>
        <w:numPr>
          <w:ilvl w:val="1"/>
          <w:numId w:val="1257"/>
        </w:numPr>
      </w:pPr>
      <w:r>
        <w:t xml:space="preserve">Query Cover = How much of the query sequence covers the matched sequence.</w:t>
      </w:r>
    </w:p>
    <w:p>
      <w:pPr>
        <w:pStyle w:val="Compact"/>
        <w:numPr>
          <w:ilvl w:val="1"/>
          <w:numId w:val="1257"/>
        </w:numPr>
      </w:pPr>
      <w:r>
        <w:t xml:space="preserve">E value = The probability that this match occurred by chance in the provided database.</w:t>
      </w:r>
    </w:p>
    <w:p>
      <w:pPr>
        <w:pStyle w:val="Compact"/>
        <w:numPr>
          <w:ilvl w:val="0"/>
          <w:numId w:val="1252"/>
        </w:numPr>
      </w:pPr>
      <w:r>
        <w:t xml:space="preserve">Review the results.</w:t>
      </w:r>
    </w:p>
    <w:p>
      <w:pPr>
        <w:pStyle w:val="Compact"/>
        <w:numPr>
          <w:ilvl w:val="1"/>
          <w:numId w:val="1258"/>
        </w:numPr>
      </w:pPr>
      <w:r>
        <w:t xml:space="preserve">What is the</w:t>
      </w:r>
      <w:r>
        <w:t xml:space="preserve"> </w:t>
      </w:r>
      <w:r>
        <w:t xml:space="preserve">“top hit”</w:t>
      </w:r>
      <w:r>
        <w:t xml:space="preserve">?</w:t>
      </w:r>
    </w:p>
    <w:p>
      <w:pPr>
        <w:pStyle w:val="Compact"/>
        <w:numPr>
          <w:ilvl w:val="1"/>
          <w:numId w:val="1258"/>
        </w:numPr>
      </w:pPr>
      <w:r>
        <w:t xml:space="preserve">How much support is provided for this hit given the current database used?</w:t>
      </w:r>
    </w:p>
    <w:p>
      <w:pPr>
        <w:pStyle w:val="Compact"/>
        <w:numPr>
          <w:ilvl w:val="1"/>
          <w:numId w:val="1258"/>
        </w:numPr>
      </w:pPr>
      <w:r>
        <w:t xml:space="preserve">What is the taxonomic ID of this result? What kind of fungi are these?</w:t>
      </w:r>
    </w:p>
    <w:p>
      <w:pPr>
        <w:pStyle w:val="Compact"/>
        <w:numPr>
          <w:ilvl w:val="1"/>
          <w:numId w:val="1258"/>
        </w:numPr>
      </w:pPr>
      <w:r>
        <w:t xml:space="preserve">You may google the names and search under Wikipedia to get a better understanding of these organisms and what is known.</w:t>
      </w:r>
    </w:p>
    <w:bookmarkEnd w:id="200"/>
    <w:bookmarkEnd w:id="201"/>
    <w:bookmarkStart w:id="202" w:name="Xee2102e07c3ab627e09cfefb490b3bbeed6bf3f"/>
    <w:p>
      <w:pPr>
        <w:pStyle w:val="Heading3"/>
      </w:pPr>
      <w:r>
        <w:t xml:space="preserve">Part VI: Data Management - Spreadsheets and iNaturalist</w:t>
      </w:r>
    </w:p>
    <w:p>
      <w:pPr>
        <w:pStyle w:val="FirstParagraph"/>
      </w:pPr>
      <w:r>
        <w:t xml:space="preserve">Update your spreadsheet with the following information:</w:t>
      </w:r>
      <w:r>
        <w:t xml:space="preserve"> </w:t>
      </w:r>
      <w:r>
        <w:t xml:space="preserve">- Isolate name</w:t>
      </w:r>
      <w:r>
        <w:t xml:space="preserve"> </w:t>
      </w:r>
      <w:r>
        <w:t xml:space="preserve">- ITS sequence</w:t>
      </w:r>
      <w:r>
        <w:t xml:space="preserve"> </w:t>
      </w:r>
      <w:r>
        <w:t xml:space="preserve">- BLAST top hit</w:t>
      </w:r>
      <w:r>
        <w:t xml:space="preserve"> </w:t>
      </w:r>
      <w:r>
        <w:t xml:space="preserve">- BLAST percent identity</w:t>
      </w:r>
      <w:r>
        <w:t xml:space="preserve"> </w:t>
      </w:r>
      <w:r>
        <w:t xml:space="preserve">- BLAST query cover</w:t>
      </w:r>
      <w:r>
        <w:t xml:space="preserve"> </w:t>
      </w:r>
      <w:r>
        <w:t xml:space="preserve">- BLAST E value</w:t>
      </w:r>
      <w:r>
        <w:t xml:space="preserve"> </w:t>
      </w:r>
      <w:r>
        <w:t xml:space="preserve">- Notes on the BLAST results (e.g., what kind of fungi are these? Are</w:t>
      </w:r>
    </w:p>
    <w:bookmarkEnd w:id="202"/>
    <w:bookmarkEnd w:id="203"/>
    <w:bookmarkEnd w:id="204"/>
    <w:bookmarkStart w:id="218"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09" w:name="X0d17ba572a281133a22d073b368b9fbe73454ca"/>
    <w:p>
      <w:pPr>
        <w:pStyle w:val="Heading2"/>
      </w:pPr>
      <w:r>
        <w:t xml:space="preserve">Module 5.1 – Tissue Preparation for Genome Sequencing</w:t>
      </w:r>
    </w:p>
    <w:bookmarkStart w:id="208" w:name="X77a2a5cde368cdc7e0265278fa1fc26eefd1a5c"/>
    <w:p>
      <w:pPr>
        <w:pStyle w:val="Heading3"/>
      </w:pPr>
      <w:r>
        <w:t xml:space="preserve">Instructor Laboratory Preparation Instructions</w:t>
      </w:r>
    </w:p>
    <w:bookmarkStart w:id="207" w:name="materials-and-equipment-8"/>
    <w:p>
      <w:pPr>
        <w:pStyle w:val="Heading4"/>
      </w:pPr>
      <w:r>
        <w:t xml:space="preserve">Materials and Equipment</w:t>
      </w:r>
    </w:p>
    <w:p>
      <w:pPr>
        <w:pStyle w:val="Compact"/>
        <w:numPr>
          <w:ilvl w:val="0"/>
          <w:numId w:val="1259"/>
        </w:numPr>
      </w:pPr>
      <w:r>
        <w:t xml:space="preserve">Autoclave</w:t>
      </w:r>
    </w:p>
    <w:p>
      <w:pPr>
        <w:pStyle w:val="Compact"/>
        <w:numPr>
          <w:ilvl w:val="0"/>
          <w:numId w:val="1260"/>
        </w:numPr>
      </w:pPr>
      <w:r>
        <w:t xml:space="preserve">Laminar Flow Hood (if available)</w:t>
      </w:r>
    </w:p>
    <w:p>
      <w:pPr>
        <w:pStyle w:val="Compact"/>
        <w:numPr>
          <w:ilvl w:val="0"/>
          <w:numId w:val="1261"/>
        </w:numPr>
      </w:pPr>
      <w:r>
        <w:t xml:space="preserve">Cellophane</w:t>
      </w:r>
    </w:p>
    <w:p>
      <w:pPr>
        <w:pStyle w:val="Compact"/>
        <w:numPr>
          <w:ilvl w:val="0"/>
          <w:numId w:val="1262"/>
        </w:numPr>
      </w:pPr>
      <w:r>
        <w:t xml:space="preserve">100x15mm Petri Dishes</w:t>
      </w:r>
    </w:p>
    <w:p>
      <w:pPr>
        <w:pStyle w:val="Compact"/>
        <w:numPr>
          <w:ilvl w:val="0"/>
          <w:numId w:val="1263"/>
        </w:numPr>
      </w:pPr>
      <w:r>
        <w:t xml:space="preserve">60x15mm Petri Dishes</w:t>
      </w:r>
    </w:p>
    <w:p>
      <w:pPr>
        <w:pStyle w:val="Compact"/>
        <w:numPr>
          <w:ilvl w:val="0"/>
          <w:numId w:val="1264"/>
        </w:numPr>
      </w:pPr>
      <w:r>
        <w:t xml:space="preserve">Agar, Bacteriological</w:t>
      </w:r>
    </w:p>
    <w:p>
      <w:pPr>
        <w:pStyle w:val="Compact"/>
        <w:numPr>
          <w:ilvl w:val="0"/>
          <w:numId w:val="1265"/>
        </w:numPr>
      </w:pPr>
      <w:r>
        <w:t xml:space="preserve">Potato Dextrose Agar (PDA) media</w:t>
      </w:r>
    </w:p>
    <w:p>
      <w:pPr>
        <w:pStyle w:val="Compact"/>
        <w:numPr>
          <w:ilvl w:val="0"/>
          <w:numId w:val="1266"/>
        </w:numPr>
      </w:pPr>
      <w:r>
        <w:t xml:space="preserve">Alcohol for sterilization</w:t>
      </w:r>
    </w:p>
    <w:p>
      <w:pPr>
        <w:pStyle w:val="Compact"/>
        <w:numPr>
          <w:ilvl w:val="0"/>
          <w:numId w:val="1267"/>
        </w:numPr>
      </w:pPr>
      <w:r>
        <w:t xml:space="preserve">Forceps</w:t>
      </w:r>
    </w:p>
    <w:p>
      <w:pPr>
        <w:pStyle w:val="Compact"/>
        <w:numPr>
          <w:ilvl w:val="0"/>
          <w:numId w:val="126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07"/>
    <w:bookmarkEnd w:id="208"/>
    <w:bookmarkEnd w:id="209"/>
    <w:bookmarkStart w:id="217" w:name="Xc8205bcafd44c2f0f2777871d0b670e5430cb18"/>
    <w:p>
      <w:pPr>
        <w:pStyle w:val="Heading2"/>
      </w:pPr>
      <w:r>
        <w:t xml:space="preserve">Module 5.2 – Tissue Preparation for Genome Sequencing</w:t>
      </w:r>
    </w:p>
    <w:bookmarkStart w:id="210"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10"/>
    <w:bookmarkStart w:id="211"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11"/>
    <w:bookmarkStart w:id="212" w:name="sub-culturing-on-cellophane"/>
    <w:p>
      <w:pPr>
        <w:pStyle w:val="Heading3"/>
      </w:pPr>
      <w:r>
        <w:t xml:space="preserve">Sub-Culturing on Cellophane</w:t>
      </w:r>
    </w:p>
    <w:p>
      <w:pPr>
        <w:pStyle w:val="Compact"/>
        <w:numPr>
          <w:ilvl w:val="0"/>
          <w:numId w:val="1269"/>
        </w:numPr>
      </w:pPr>
      <w:r>
        <w:t xml:space="preserve">Clean your workspace as described previously. Work under flames or in a laminar flow hood if available.</w:t>
      </w:r>
    </w:p>
    <w:p>
      <w:pPr>
        <w:pStyle w:val="Compact"/>
        <w:numPr>
          <w:ilvl w:val="0"/>
          <w:numId w:val="1269"/>
        </w:numPr>
      </w:pPr>
      <w:r>
        <w:t xml:space="preserve">Label your Cellophane lined Petri Dish appropriately.</w:t>
      </w:r>
    </w:p>
    <w:p>
      <w:pPr>
        <w:pStyle w:val="Compact"/>
        <w:numPr>
          <w:ilvl w:val="0"/>
          <w:numId w:val="1269"/>
        </w:numPr>
      </w:pPr>
      <w:r>
        <w:t xml:space="preserve">Sterilize implements (forceps and scalpel).</w:t>
      </w:r>
    </w:p>
    <w:p>
      <w:pPr>
        <w:pStyle w:val="Compact"/>
        <w:numPr>
          <w:ilvl w:val="0"/>
          <w:numId w:val="1269"/>
        </w:numPr>
      </w:pPr>
      <w:r>
        <w:t xml:space="preserve">Scrape mycelia from PDA plates that you have been growing. Be sure to avoid transferring any media as much as possible.</w:t>
      </w:r>
    </w:p>
    <w:p>
      <w:pPr>
        <w:pStyle w:val="Compact"/>
        <w:numPr>
          <w:ilvl w:val="1"/>
          <w:numId w:val="1270"/>
        </w:numPr>
      </w:pPr>
      <w:r>
        <w:t xml:space="preserve">Leaving the assay plate on the bench space, remove the parafilm of the inoculation plate and slightly crack open the lid using your non-dominant hand.</w:t>
      </w:r>
    </w:p>
    <w:p>
      <w:pPr>
        <w:pStyle w:val="Compact"/>
        <w:numPr>
          <w:ilvl w:val="1"/>
          <w:numId w:val="1270"/>
        </w:numPr>
      </w:pPr>
      <w:r>
        <w:t xml:space="preserve">Insert your forceps into the crack of the Petri dish and attempt to sample some mycelium.</w:t>
      </w:r>
    </w:p>
    <w:p>
      <w:pPr>
        <w:pStyle w:val="Compact"/>
        <w:numPr>
          <w:ilvl w:val="2"/>
          <w:numId w:val="1271"/>
        </w:numPr>
      </w:pPr>
      <w:r>
        <w:t xml:space="preserve">If you are unable to remove mycelia with your forceps, use your scalpel to remove mycelia with the least amount of agar possible.</w:t>
      </w:r>
    </w:p>
    <w:p>
      <w:pPr>
        <w:pStyle w:val="Compact"/>
        <w:numPr>
          <w:ilvl w:val="0"/>
          <w:numId w:val="1269"/>
        </w:numPr>
      </w:pPr>
      <w:r>
        <w:t xml:space="preserve">Transfer the mycelia to a Petri dish with cellophane.</w:t>
      </w:r>
    </w:p>
    <w:p>
      <w:pPr>
        <w:pStyle w:val="Compact"/>
        <w:numPr>
          <w:ilvl w:val="1"/>
          <w:numId w:val="1272"/>
        </w:numPr>
      </w:pPr>
      <w:r>
        <w:t xml:space="preserve">Carefully remove the chunk of agar. Replace the lid. Slide the sample plate away. Slide a cellophane plate towards you.</w:t>
      </w:r>
    </w:p>
    <w:p>
      <w:pPr>
        <w:pStyle w:val="Compact"/>
        <w:numPr>
          <w:ilvl w:val="1"/>
          <w:numId w:val="1272"/>
        </w:numPr>
      </w:pPr>
      <w:r>
        <w:t xml:space="preserve">Crack open the cellophane plate using your non-dominant hand, and carefully insert the forceps with the agar and mycelium.</w:t>
      </w:r>
    </w:p>
    <w:p>
      <w:pPr>
        <w:pStyle w:val="Compact"/>
        <w:numPr>
          <w:ilvl w:val="1"/>
          <w:numId w:val="1272"/>
        </w:numPr>
      </w:pPr>
      <w:r>
        <w:t xml:space="preserve">To deposit the agar onto the PDA agar, submerge the forceps into the agar on the plate. This should force the agar and mycelium from your forceps, onto the PDA agar.</w:t>
      </w:r>
    </w:p>
    <w:p>
      <w:pPr>
        <w:pStyle w:val="Compact"/>
        <w:numPr>
          <w:ilvl w:val="1"/>
          <w:numId w:val="1272"/>
        </w:numPr>
      </w:pPr>
      <w:r>
        <w:t xml:space="preserve">Pull your forceps straight out to leave the agar and mycelium on the plate.</w:t>
      </w:r>
    </w:p>
    <w:p>
      <w:pPr>
        <w:pStyle w:val="Compact"/>
        <w:numPr>
          <w:ilvl w:val="1"/>
          <w:numId w:val="127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69"/>
        </w:numPr>
      </w:pPr>
      <w:r>
        <w:t xml:space="preserve">Seal Petri dish with parafilm.</w:t>
      </w:r>
    </w:p>
    <w:p>
      <w:pPr>
        <w:pStyle w:val="Compact"/>
        <w:numPr>
          <w:ilvl w:val="0"/>
          <w:numId w:val="1269"/>
        </w:numPr>
      </w:pPr>
      <w:r>
        <w:t xml:space="preserve">Allow fungi to fill the cellophane.</w:t>
      </w:r>
    </w:p>
    <w:p>
      <w:pPr>
        <w:pStyle w:val="Compact"/>
        <w:numPr>
          <w:ilvl w:val="0"/>
          <w:numId w:val="1269"/>
        </w:numPr>
      </w:pPr>
      <w:r>
        <w:t xml:space="preserve">Repeat this process with all fungal isolates that will be sent for genome sequencing.</w:t>
      </w:r>
    </w:p>
    <w:bookmarkEnd w:id="212"/>
    <w:bookmarkStart w:id="213"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13"/>
    <w:bookmarkStart w:id="214" w:name="student-lab-supplies"/>
    <w:p>
      <w:pPr>
        <w:pStyle w:val="Heading3"/>
      </w:pPr>
      <w:r>
        <w:t xml:space="preserve">Student Lab Supplies</w:t>
      </w:r>
    </w:p>
    <w:p>
      <w:pPr>
        <w:pStyle w:val="Compact"/>
        <w:numPr>
          <w:ilvl w:val="0"/>
          <w:numId w:val="1273"/>
        </w:numPr>
      </w:pPr>
      <w:r>
        <w:t xml:space="preserve">1.5 ml Eppendorf tubes</w:t>
      </w:r>
    </w:p>
    <w:p>
      <w:pPr>
        <w:pStyle w:val="Compact"/>
        <w:numPr>
          <w:ilvl w:val="0"/>
          <w:numId w:val="1274"/>
        </w:numPr>
      </w:pPr>
      <w:r>
        <w:t xml:space="preserve">Sharpie</w:t>
      </w:r>
    </w:p>
    <w:p>
      <w:pPr>
        <w:pStyle w:val="Compact"/>
        <w:numPr>
          <w:ilvl w:val="0"/>
          <w:numId w:val="1275"/>
        </w:numPr>
      </w:pPr>
      <w:r>
        <w:t xml:space="preserve">Scalpel</w:t>
      </w:r>
    </w:p>
    <w:p>
      <w:pPr>
        <w:pStyle w:val="Compact"/>
        <w:numPr>
          <w:ilvl w:val="0"/>
          <w:numId w:val="1276"/>
        </w:numPr>
      </w:pPr>
      <w:r>
        <w:t xml:space="preserve">Forceps</w:t>
      </w:r>
    </w:p>
    <w:p>
      <w:pPr>
        <w:pStyle w:val="Compact"/>
        <w:numPr>
          <w:ilvl w:val="0"/>
          <w:numId w:val="1277"/>
        </w:numPr>
      </w:pPr>
      <w:r>
        <w:t xml:space="preserve">Silica</w:t>
      </w:r>
    </w:p>
    <w:p>
      <w:pPr>
        <w:pStyle w:val="Compact"/>
        <w:numPr>
          <w:ilvl w:val="0"/>
          <w:numId w:val="1278"/>
        </w:numPr>
      </w:pPr>
      <w:r>
        <w:t xml:space="preserve">Probe</w:t>
      </w:r>
    </w:p>
    <w:bookmarkEnd w:id="214"/>
    <w:bookmarkStart w:id="215"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15"/>
    <w:bookmarkStart w:id="216" w:name="instructions-3"/>
    <w:p>
      <w:pPr>
        <w:pStyle w:val="Heading3"/>
      </w:pPr>
      <w:r>
        <w:t xml:space="preserve">Instructions</w:t>
      </w:r>
    </w:p>
    <w:p>
      <w:pPr>
        <w:pStyle w:val="Compact"/>
        <w:numPr>
          <w:ilvl w:val="0"/>
          <w:numId w:val="1279"/>
        </w:numPr>
      </w:pPr>
      <w:r>
        <w:t xml:space="preserve">You will be harvesting fungal tissue from the cellophane PDA petri dishes.</w:t>
      </w:r>
    </w:p>
    <w:p>
      <w:pPr>
        <w:pStyle w:val="Compact"/>
        <w:numPr>
          <w:ilvl w:val="0"/>
          <w:numId w:val="1279"/>
        </w:numPr>
      </w:pPr>
      <w:r>
        <w:t xml:space="preserve">Use a laminar flow hood or set up flames to create a sterile environment. Clean your sterile area.</w:t>
      </w:r>
    </w:p>
    <w:p>
      <w:pPr>
        <w:pStyle w:val="Compact"/>
        <w:numPr>
          <w:ilvl w:val="0"/>
          <w:numId w:val="1279"/>
        </w:numPr>
      </w:pPr>
      <w:r>
        <w:t xml:space="preserve">Light your flame source. Dip your harvesting implement(s) (scalpel, forceps, and/or probe) into alcohol. Flame your implements and let it cool.</w:t>
      </w:r>
    </w:p>
    <w:p>
      <w:pPr>
        <w:pStyle w:val="Compact"/>
        <w:numPr>
          <w:ilvl w:val="0"/>
          <w:numId w:val="127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7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79"/>
        </w:numPr>
      </w:pPr>
      <w:r>
        <w:t xml:space="preserve">Seal silica-filled jar with the lid. Allow the tissue to dry for 5-10 days.</w:t>
      </w:r>
    </w:p>
    <w:p>
      <w:pPr>
        <w:pStyle w:val="Compact"/>
        <w:numPr>
          <w:ilvl w:val="0"/>
          <w:numId w:val="1279"/>
        </w:numPr>
      </w:pPr>
      <w:r>
        <w:t xml:space="preserve">Once the tissue is dry, remove the Eppendorf tubes from the silica jar and close the lids.</w:t>
      </w:r>
    </w:p>
    <w:p>
      <w:pPr>
        <w:pStyle w:val="Compact"/>
        <w:numPr>
          <w:ilvl w:val="0"/>
          <w:numId w:val="1279"/>
        </w:numPr>
      </w:pPr>
      <w:r>
        <w:t xml:space="preserve">Proceed to the Sample submission module.</w:t>
      </w:r>
    </w:p>
    <w:bookmarkEnd w:id="216"/>
    <w:bookmarkEnd w:id="217"/>
    <w:bookmarkEnd w:id="218"/>
    <w:bookmarkStart w:id="227"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tip.png" id="2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26" w:name="module-6.1-myco-ed-sample-submission-sop"/>
    <w:p>
      <w:pPr>
        <w:pStyle w:val="Heading2"/>
      </w:pPr>
      <w:r>
        <w:t xml:space="preserve">Module 6.1 – Myco-Ed Sample Submission SOP</w:t>
      </w:r>
    </w:p>
    <w:bookmarkStart w:id="221" w:name="overview-2"/>
    <w:p>
      <w:pPr>
        <w:pStyle w:val="Heading3"/>
      </w:pPr>
      <w:r>
        <w:t xml:space="preserve">Overview</w:t>
      </w:r>
    </w:p>
    <w:p>
      <w:pPr>
        <w:pStyle w:val="FirstParagraph"/>
      </w:pPr>
      <w:r>
        <w:t xml:space="preserve">Use this document to submit fungal samples to Arizona Genomics Institute (AGI) for DNA extraction.</w:t>
      </w:r>
    </w:p>
    <w:bookmarkEnd w:id="221"/>
    <w:bookmarkStart w:id="222" w:name="definitions"/>
    <w:p>
      <w:pPr>
        <w:pStyle w:val="Heading3"/>
      </w:pPr>
      <w:r>
        <w:t xml:space="preserve">Definitions</w:t>
      </w:r>
    </w:p>
    <w:p>
      <w:pPr>
        <w:pStyle w:val="Compact"/>
        <w:numPr>
          <w:ilvl w:val="0"/>
          <w:numId w:val="1280"/>
        </w:numPr>
      </w:pPr>
      <w:r>
        <w:t xml:space="preserve">JGI = Joint Genomics Institute</w:t>
      </w:r>
    </w:p>
    <w:p>
      <w:pPr>
        <w:pStyle w:val="Compact"/>
        <w:numPr>
          <w:ilvl w:val="0"/>
          <w:numId w:val="1280"/>
        </w:numPr>
      </w:pPr>
      <w:r>
        <w:t xml:space="preserve">AGI = Arizona Genome Institute</w:t>
      </w:r>
    </w:p>
    <w:bookmarkEnd w:id="222"/>
    <w:bookmarkStart w:id="223" w:name="associated-documents"/>
    <w:p>
      <w:pPr>
        <w:pStyle w:val="Heading3"/>
      </w:pPr>
      <w:r>
        <w:t xml:space="preserve">Associated Documents</w:t>
      </w:r>
    </w:p>
    <w:p>
      <w:pPr>
        <w:pStyle w:val="FirstParagraph"/>
      </w:pPr>
      <w:r>
        <w:t xml:space="preserve">MycoEd Metadata Form</w:t>
      </w:r>
    </w:p>
    <w:bookmarkEnd w:id="223"/>
    <w:bookmarkStart w:id="224" w:name="process-steps"/>
    <w:p>
      <w:pPr>
        <w:pStyle w:val="Heading3"/>
      </w:pPr>
      <w:r>
        <w:t xml:space="preserve">Process Steps</w:t>
      </w:r>
    </w:p>
    <w:p>
      <w:pPr>
        <w:pStyle w:val="Compact"/>
        <w:numPr>
          <w:ilvl w:val="0"/>
          <w:numId w:val="1281"/>
        </w:numPr>
      </w:pPr>
      <w:r>
        <w:t xml:space="preserve">Create a JGI Single Sign on Account</w:t>
      </w:r>
    </w:p>
    <w:p>
      <w:pPr>
        <w:pStyle w:val="Compact"/>
        <w:numPr>
          <w:ilvl w:val="0"/>
          <w:numId w:val="1281"/>
        </w:numPr>
      </w:pPr>
      <w:r>
        <w:t xml:space="preserve">Email photos of the live tissue you intend to send AGI before collection to JTALAG@email.arizona.edu and kwbarry@lbl.gov.</w:t>
      </w:r>
    </w:p>
    <w:p>
      <w:pPr>
        <w:pStyle w:val="Compact"/>
        <w:numPr>
          <w:ilvl w:val="0"/>
          <w:numId w:val="1281"/>
        </w:numPr>
      </w:pPr>
      <w:r>
        <w:t xml:space="preserve">Make a copy of the MycoEd Metadata Form</w:t>
      </w:r>
    </w:p>
    <w:p>
      <w:pPr>
        <w:pStyle w:val="Compact"/>
        <w:numPr>
          <w:ilvl w:val="1"/>
          <w:numId w:val="1282"/>
        </w:numPr>
      </w:pPr>
      <w:r>
        <w:t xml:space="preserve">Click on MycoEd Metadata Form link</w:t>
      </w:r>
    </w:p>
    <w:p>
      <w:pPr>
        <w:pStyle w:val="Compact"/>
        <w:numPr>
          <w:ilvl w:val="1"/>
          <w:numId w:val="1282"/>
        </w:numPr>
      </w:pPr>
      <w:r>
        <w:t xml:space="preserve">Under file, select Make a Copy</w:t>
      </w:r>
    </w:p>
    <w:p>
      <w:pPr>
        <w:pStyle w:val="Compact"/>
        <w:numPr>
          <w:ilvl w:val="1"/>
          <w:numId w:val="1282"/>
        </w:numPr>
      </w:pPr>
      <w:r>
        <w:t xml:space="preserve">Rename your new copy [University][Instructor Last Name][MycoEd Metadata][Date]</w:t>
      </w:r>
    </w:p>
    <w:p>
      <w:pPr>
        <w:pStyle w:val="Compact"/>
        <w:numPr>
          <w:ilvl w:val="0"/>
          <w:numId w:val="1281"/>
        </w:numPr>
      </w:pPr>
      <w:r>
        <w:t xml:space="preserve">Fill out your copy of the MycoEd Metadata Form</w:t>
      </w:r>
    </w:p>
    <w:p>
      <w:pPr>
        <w:pStyle w:val="Compact"/>
        <w:numPr>
          <w:ilvl w:val="1"/>
          <w:numId w:val="1283"/>
        </w:numPr>
      </w:pPr>
      <w:r>
        <w:t xml:space="preserve">Professor is the instructor for the class and their email address</w:t>
      </w:r>
    </w:p>
    <w:p>
      <w:pPr>
        <w:pStyle w:val="Compact"/>
        <w:numPr>
          <w:ilvl w:val="1"/>
          <w:numId w:val="1283"/>
        </w:numPr>
      </w:pPr>
      <w:r>
        <w:t xml:space="preserve">Name of the University/Institution is your University/Institution</w:t>
      </w:r>
    </w:p>
    <w:p>
      <w:pPr>
        <w:pStyle w:val="Compact"/>
        <w:numPr>
          <w:ilvl w:val="1"/>
          <w:numId w:val="1283"/>
        </w:numPr>
      </w:pPr>
      <w:r>
        <w:t xml:space="preserve">Date submitted/shipped is the date you ship the samples to AGI</w:t>
      </w:r>
    </w:p>
    <w:p>
      <w:pPr>
        <w:pStyle w:val="Compact"/>
        <w:numPr>
          <w:ilvl w:val="1"/>
          <w:numId w:val="1283"/>
        </w:numPr>
      </w:pPr>
      <w:r>
        <w:t xml:space="preserve">JGI proposal name &amp; number is DS 509937 (already provided)</w:t>
      </w:r>
    </w:p>
    <w:p>
      <w:pPr>
        <w:pStyle w:val="Compact"/>
        <w:numPr>
          <w:ilvl w:val="0"/>
          <w:numId w:val="1281"/>
        </w:numPr>
      </w:pPr>
      <w:r>
        <w:t xml:space="preserve">Fill out Sample Table</w:t>
      </w:r>
    </w:p>
    <w:p>
      <w:pPr>
        <w:pStyle w:val="Compact"/>
        <w:numPr>
          <w:ilvl w:val="1"/>
          <w:numId w:val="1284"/>
        </w:numPr>
      </w:pPr>
      <w:r>
        <w:t xml:space="preserve">Enter requested metadata into the table</w:t>
      </w:r>
    </w:p>
    <w:p>
      <w:pPr>
        <w:pStyle w:val="Compact"/>
        <w:numPr>
          <w:ilvl w:val="1"/>
          <w:numId w:val="1284"/>
        </w:numPr>
      </w:pPr>
      <w:r>
        <w:t xml:space="preserve">Use one row per sample/tube</w:t>
      </w:r>
    </w:p>
    <w:p>
      <w:pPr>
        <w:pStyle w:val="Compact"/>
        <w:numPr>
          <w:ilvl w:val="1"/>
          <w:numId w:val="1284"/>
        </w:numPr>
      </w:pPr>
      <w:r>
        <w:t xml:space="preserve">Insert additional rows if needed</w:t>
      </w:r>
    </w:p>
    <w:p>
      <w:pPr>
        <w:pStyle w:val="Compact"/>
        <w:numPr>
          <w:ilvl w:val="1"/>
          <w:numId w:val="1284"/>
        </w:numPr>
      </w:pPr>
      <w:r>
        <w:t xml:space="preserve">Columns with gray field headers, B and D, will be filled out by JGI</w:t>
      </w:r>
    </w:p>
    <w:p>
      <w:pPr>
        <w:pStyle w:val="Compact"/>
        <w:numPr>
          <w:ilvl w:val="1"/>
          <w:numId w:val="1284"/>
        </w:numPr>
      </w:pPr>
      <w:r>
        <w:t xml:space="preserve">For Column C, Sample Name - please use below convention for naming: [University][Plant][Plant tissue] Metagenome [Sample ID]</w:t>
      </w:r>
    </w:p>
    <w:p>
      <w:pPr>
        <w:pStyle w:val="Compact"/>
        <w:numPr>
          <w:ilvl w:val="1"/>
          <w:numId w:val="1284"/>
        </w:numPr>
      </w:pPr>
      <w:r>
        <w:t xml:space="preserve">Column G is only needed if you are sending more than 22 samples</w:t>
      </w:r>
    </w:p>
    <w:p>
      <w:pPr>
        <w:pStyle w:val="Compact"/>
        <w:numPr>
          <w:ilvl w:val="1"/>
          <w:numId w:val="1284"/>
        </w:numPr>
      </w:pPr>
      <w:r>
        <w:t xml:space="preserve">Student is the full name of student that collected the sample and their email address</w:t>
      </w:r>
    </w:p>
    <w:p>
      <w:pPr>
        <w:pStyle w:val="Compact"/>
        <w:numPr>
          <w:ilvl w:val="1"/>
          <w:numId w:val="1284"/>
        </w:numPr>
      </w:pPr>
      <w:r>
        <w:t xml:space="preserve">Columns with Yellow Header, X-AF, will be filled out by AGI after DNA extraction</w:t>
      </w:r>
    </w:p>
    <w:p>
      <w:pPr>
        <w:pStyle w:val="Compact"/>
        <w:numPr>
          <w:ilvl w:val="0"/>
          <w:numId w:val="1281"/>
        </w:numPr>
      </w:pPr>
      <w:r>
        <w:t xml:space="preserve">Email form to AGI &amp; JGI</w:t>
      </w:r>
    </w:p>
    <w:p>
      <w:pPr>
        <w:pStyle w:val="Compact"/>
        <w:numPr>
          <w:ilvl w:val="1"/>
          <w:numId w:val="1285"/>
        </w:numPr>
      </w:pPr>
      <w:r>
        <w:t xml:space="preserve">Once all required metadata is provided, download a copy to excel</w:t>
      </w:r>
    </w:p>
    <w:p>
      <w:pPr>
        <w:pStyle w:val="Compact"/>
        <w:numPr>
          <w:ilvl w:val="1"/>
          <w:numId w:val="1285"/>
        </w:numPr>
      </w:pPr>
      <w:r>
        <w:t xml:space="preserve">Email a copy to Jayson at (jtalag@ag.arizona.edu ) and Kerrie (kwbarry@lbl.gov).</w:t>
      </w:r>
    </w:p>
    <w:p>
      <w:pPr>
        <w:pStyle w:val="Compact"/>
        <w:numPr>
          <w:ilvl w:val="1"/>
          <w:numId w:val="128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85"/>
        </w:numPr>
      </w:pPr>
      <w:r>
        <w:t xml:space="preserve">Include in your email your name, your college/university, the exact name of your samples (column D) that are ready to ship to AGI (and the rows in this sheet).</w:t>
      </w:r>
    </w:p>
    <w:p>
      <w:pPr>
        <w:pStyle w:val="Compact"/>
        <w:numPr>
          <w:ilvl w:val="1"/>
          <w:numId w:val="1285"/>
        </w:numPr>
      </w:pPr>
      <w:r>
        <w:t xml:space="preserve">Wait for approval/confirmation from AGI &amp; JGI.</w:t>
      </w:r>
    </w:p>
    <w:p>
      <w:pPr>
        <w:pStyle w:val="Compact"/>
        <w:numPr>
          <w:ilvl w:val="2"/>
          <w:numId w:val="1286"/>
        </w:numPr>
      </w:pPr>
      <w:r>
        <w:t xml:space="preserve">If needed make requested changed and email updated copy</w:t>
      </w:r>
    </w:p>
    <w:p>
      <w:pPr>
        <w:pStyle w:val="Compact"/>
        <w:numPr>
          <w:ilvl w:val="0"/>
          <w:numId w:val="1281"/>
        </w:numPr>
      </w:pPr>
      <w:r>
        <w:t xml:space="preserve">Prepare samples for shipment</w:t>
      </w:r>
    </w:p>
    <w:p>
      <w:pPr>
        <w:pStyle w:val="Compact"/>
        <w:numPr>
          <w:ilvl w:val="1"/>
          <w:numId w:val="1287"/>
        </w:numPr>
      </w:pPr>
    </w:p>
    <w:p>
      <w:pPr>
        <w:pStyle w:val="Compact"/>
        <w:numPr>
          <w:ilvl w:val="2"/>
          <w:numId w:val="128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87"/>
        </w:numPr>
      </w:pPr>
      <w:r>
        <w:t xml:space="preserve">Email FEDEX tracking # when your shipment is picked up.</w:t>
      </w:r>
    </w:p>
    <w:p>
      <w:pPr>
        <w:pStyle w:val="Compact"/>
        <w:numPr>
          <w:ilvl w:val="1"/>
          <w:numId w:val="128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24"/>
    <w:bookmarkStart w:id="225"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25"/>
    <w:bookmarkEnd w:id="226"/>
    <w:bookmarkEnd w:id="227"/>
    <w:bookmarkStart w:id="247"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37" w:name="X46999d4e04aaa0bd6e7f1cf0936f3283e50c93c"/>
    <w:p>
      <w:pPr>
        <w:pStyle w:val="Heading2"/>
      </w:pPr>
      <w:r>
        <w:t xml:space="preserve">Module 7.1 – Sexual Reproduction in Ascomycota Genomic Analysis</w:t>
      </w:r>
    </w:p>
    <w:bookmarkStart w:id="230"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30"/>
    <w:bookmarkStart w:id="231" w:name="references"/>
    <w:p>
      <w:pPr>
        <w:pStyle w:val="Heading3"/>
      </w:pPr>
      <w:r>
        <w:t xml:space="preserve">References</w:t>
      </w:r>
    </w:p>
    <w:p>
      <w:pPr>
        <w:pStyle w:val="Compact"/>
        <w:numPr>
          <w:ilvl w:val="0"/>
          <w:numId w:val="1289"/>
        </w:numPr>
      </w:pPr>
      <w:r>
        <w:t xml:space="preserve">Casselton, L.A., Olesnicky, N.S., 1998. Molecular Genetics of Mating Recognition in Basidiomycete Fungi. Microbiol Mol Biol Rev., 62(1): 55–70. doi: 10.1128/mmbr.62.1.55-70.1998</w:t>
      </w:r>
    </w:p>
    <w:p>
      <w:pPr>
        <w:pStyle w:val="Compact"/>
        <w:numPr>
          <w:ilvl w:val="0"/>
          <w:numId w:val="1289"/>
        </w:numPr>
      </w:pPr>
      <w:r>
        <w:t xml:space="preserve">Cambareri, E.B., Singer, M.J., Selker, E.U., 1991. Recurrence of repeat-induced point mutation (RIP) in Neurospora crassa. Genetics, 127(4):699-710. doi: 10.1093/genetics/127.4.699.</w:t>
      </w:r>
    </w:p>
    <w:p>
      <w:pPr>
        <w:pStyle w:val="Compact"/>
        <w:numPr>
          <w:ilvl w:val="0"/>
          <w:numId w:val="1289"/>
        </w:numPr>
      </w:pPr>
      <w:r>
        <w:t xml:space="preserve">Metzenberg, R.L., Glass, N.L., 1990. Mating type and mating strategies in Neurospora. Bioessays. 1990 Feb;12(2):53-9. doi: 10.1002/bies.950120202.</w:t>
      </w:r>
    </w:p>
    <w:bookmarkEnd w:id="231"/>
    <w:bookmarkStart w:id="236" w:name="finding-mat-a"/>
    <w:p>
      <w:pPr>
        <w:pStyle w:val="Heading3"/>
      </w:pPr>
      <w:r>
        <w:t xml:space="preserve">Finding mat A</w:t>
      </w:r>
    </w:p>
    <w:bookmarkStart w:id="232"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9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9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90"/>
        </w:numPr>
      </w:pPr>
      <w:r>
        <w:t xml:space="preserve">Let’s find the location of this gene in the genome! Go to the Neucr2 MycoCosm portal (https://mycocosm.jgi.doe.gov/Neucr2) and search for it using the BLAST tool.</w:t>
      </w:r>
    </w:p>
    <w:p>
      <w:pPr>
        <w:pStyle w:val="Compact"/>
        <w:numPr>
          <w:ilvl w:val="0"/>
          <w:numId w:val="129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90"/>
        </w:numPr>
      </w:pPr>
      <w:r>
        <w:t xml:space="preserve">You should see two hits, each shown in a separate row.</w:t>
      </w:r>
    </w:p>
    <w:p>
      <w:pPr>
        <w:pStyle w:val="Compact"/>
        <w:numPr>
          <w:ilvl w:val="1"/>
          <w:numId w:val="129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91"/>
        </w:numPr>
      </w:pPr>
      <w:r>
        <w:t xml:space="preserve">The second column shows an alignment of that sequence against your query, which is helpful for seeing how well hits cover your query sequence.</w:t>
      </w:r>
    </w:p>
    <w:p>
      <w:pPr>
        <w:pStyle w:val="Compact"/>
        <w:numPr>
          <w:ilvl w:val="1"/>
          <w:numId w:val="1291"/>
        </w:numPr>
      </w:pPr>
      <w:r>
        <w:t xml:space="preserve">The score and EValue columns are also useful when assessing hit quality. Higher scores are better, and conversely, lower e-values are better.</w:t>
      </w:r>
    </w:p>
    <w:p>
      <w:pPr>
        <w:pStyle w:val="Compact"/>
        <w:numPr>
          <w:ilvl w:val="0"/>
          <w:numId w:val="129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9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9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9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9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9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9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9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90"/>
        </w:numPr>
      </w:pPr>
      <w:r>
        <w:t xml:space="preserve">Using the information on the protein page, can you find mat A-2 and mat-A3?</w:t>
      </w:r>
    </w:p>
    <w:p>
      <w:pPr>
        <w:pStyle w:val="Compact"/>
        <w:numPr>
          <w:ilvl w:val="0"/>
          <w:numId w:val="1290"/>
        </w:numPr>
      </w:pPr>
      <w:r>
        <w:t xml:space="preserve">At the mating type locus, do you notice anything interesting when exploring the read depth coverage plots (pink tracks) from related Neurospora genomes?</w:t>
      </w:r>
    </w:p>
    <w:p>
      <w:pPr>
        <w:pStyle w:val="Compact"/>
        <w:numPr>
          <w:ilvl w:val="0"/>
          <w:numId w:val="129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32"/>
    <w:bookmarkStart w:id="233"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9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9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9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9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9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9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33"/>
    <w:bookmarkStart w:id="234"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9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93"/>
        </w:numPr>
      </w:pPr>
      <w:r>
        <w:t xml:space="preserve">Let’s find it on the mat a genome portal you found earlier for N. tetrasperma strain FGSC 2509, (https://mycocosm.jgi.doe.gov/Neute_mat_a1).</w:t>
      </w:r>
    </w:p>
    <w:p>
      <w:pPr>
        <w:pStyle w:val="Compact"/>
        <w:numPr>
          <w:ilvl w:val="0"/>
          <w:numId w:val="129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93"/>
        </w:numPr>
      </w:pPr>
      <w:r>
        <w:t xml:space="preserve">The best hit is to N. tetrasperma protein ID 124723, can you explain why?</w:t>
      </w:r>
    </w:p>
    <w:p>
      <w:pPr>
        <w:pStyle w:val="Compact"/>
        <w:numPr>
          <w:ilvl w:val="0"/>
          <w:numId w:val="1293"/>
        </w:numPr>
      </w:pPr>
      <w:r>
        <w:t xml:space="preserve">Let’s revisit the Neucr2 mcl clustering page and search for this, again by typing portalID.proteinID (e.g. Neute_mat_a1.124723) in the search field.</w:t>
      </w:r>
    </w:p>
    <w:p>
      <w:pPr>
        <w:pStyle w:val="Compact"/>
        <w:numPr>
          <w:ilvl w:val="0"/>
          <w:numId w:val="129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93"/>
        </w:numPr>
      </w:pPr>
      <w:r>
        <w:t xml:space="preserve">It looks like our mat a gene is found in a region that is not present in any of the others, which are all the opposite mating type (mat A)!</w:t>
      </w:r>
    </w:p>
    <w:p>
      <w:pPr>
        <w:pStyle w:val="Compact"/>
        <w:numPr>
          <w:ilvl w:val="0"/>
          <w:numId w:val="1293"/>
        </w:numPr>
      </w:pPr>
      <w:r>
        <w:t xml:space="preserve">With this information, we can say that all our current evidence supports our hypothesis that fungal mating types are driven by presence/absence of specific genes, mat a and A in particular!</w:t>
      </w:r>
    </w:p>
    <w:bookmarkEnd w:id="234"/>
    <w:bookmarkStart w:id="235"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9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9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94"/>
        </w:numPr>
      </w:pPr>
      <w:r>
        <w:t xml:space="preserve">Go through the same exercise to search mcl clusters. Do you see a similar pattern to what we observed in N. crassa?</w:t>
      </w:r>
    </w:p>
    <w:p>
      <w:pPr>
        <w:pStyle w:val="Compact"/>
        <w:numPr>
          <w:ilvl w:val="0"/>
          <w:numId w:val="129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9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9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9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9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35"/>
    <w:bookmarkEnd w:id="236"/>
    <w:bookmarkEnd w:id="237"/>
    <w:bookmarkStart w:id="246" w:name="Xe7b646958662d93788a5fac43551e0623449021"/>
    <w:p>
      <w:pPr>
        <w:pStyle w:val="Heading2"/>
      </w:pPr>
      <w:r>
        <w:t xml:space="preserve">Module 7.2 – Fungal Natural Product Production Genomic Analysis</w:t>
      </w:r>
    </w:p>
    <w:bookmarkStart w:id="238"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38"/>
    <w:bookmarkStart w:id="239" w:name="references-1"/>
    <w:p>
      <w:pPr>
        <w:pStyle w:val="Heading3"/>
      </w:pPr>
      <w:r>
        <w:t xml:space="preserve">References</w:t>
      </w:r>
    </w:p>
    <w:p>
      <w:pPr>
        <w:pStyle w:val="Compact"/>
        <w:numPr>
          <w:ilvl w:val="0"/>
          <w:numId w:val="129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95"/>
        </w:numPr>
      </w:pPr>
      <w:r>
        <w:t xml:space="preserve">Seenivasan, A., Subhagar, S., Aravindan, R., Viruthagiri, T., 2008. Microbial Production and Biomedical Applications of Lovastatin. Indian J Pharm Sci. 2008, doi: 10.4103/0250-474X.49087</w:t>
      </w:r>
    </w:p>
    <w:p>
      <w:pPr>
        <w:pStyle w:val="Compact"/>
        <w:numPr>
          <w:ilvl w:val="0"/>
          <w:numId w:val="129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95"/>
        </w:numPr>
      </w:pPr>
      <w:r>
        <w:t xml:space="preserve">Strieker, M., Tanovic, A., Marahiel, M.A., 2010. Nonribosomal peptide synthetases: structures and dynamics. Current Opinion in Structural Biology 2010, 20:234–240</w:t>
      </w:r>
    </w:p>
    <w:p>
      <w:pPr>
        <w:pStyle w:val="Compact"/>
        <w:numPr>
          <w:ilvl w:val="0"/>
          <w:numId w:val="1295"/>
        </w:numPr>
      </w:pPr>
      <w:r>
        <w:t xml:space="preserve">Keller, N., 2019. Fungal secondary metabolism: regulation, function and drug discovery. Nature Reviews Microbiology, 17(3): 167–180. doi: 10.1038/s41579-018-0121-1</w:t>
      </w:r>
    </w:p>
    <w:bookmarkEnd w:id="239"/>
    <w:bookmarkStart w:id="242" w:name="X31643484012ee51f67fd2def9a4608ddd3c7490"/>
    <w:p>
      <w:pPr>
        <w:pStyle w:val="Heading3"/>
      </w:pPr>
      <w:r>
        <w:t xml:space="preserve">Finding the Penicillin Biosynthetic Gene Cluster</w:t>
      </w:r>
    </w:p>
    <w:bookmarkStart w:id="240" w:name="X27e5a65183f9483aec43514a5289c555b8e099a"/>
    <w:p>
      <w:pPr>
        <w:pStyle w:val="Heading4"/>
      </w:pPr>
      <w:r>
        <w:t xml:space="preserve">Locate the known cluster in P. chrysogenum</w:t>
      </w:r>
    </w:p>
    <w:p>
      <w:pPr>
        <w:pStyle w:val="Compact"/>
        <w:numPr>
          <w:ilvl w:val="0"/>
          <w:numId w:val="129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9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9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9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9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96"/>
        </w:numPr>
      </w:pPr>
      <w:r>
        <w:t xml:space="preserve">You should see a single hit! Click on the coordinates to view this region of the genome.</w:t>
      </w:r>
    </w:p>
    <w:p>
      <w:pPr>
        <w:pStyle w:val="Compact"/>
        <w:numPr>
          <w:ilvl w:val="0"/>
          <w:numId w:val="1296"/>
        </w:numPr>
      </w:pPr>
      <w:r>
        <w:t xml:space="preserve">Of course, we are searching for DNA that is mostly found in between these penicillin-related genes. Click -10x to get a bigger view of this locus.</w:t>
      </w:r>
    </w:p>
    <w:p>
      <w:pPr>
        <w:pStyle w:val="Compact"/>
        <w:numPr>
          <w:ilvl w:val="0"/>
          <w:numId w:val="129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9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9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40"/>
    <w:bookmarkStart w:id="241" w:name="X3367d9de4d4452f0e4500f817aabeb87e960cf9"/>
    <w:p>
      <w:pPr>
        <w:pStyle w:val="Heading4"/>
      </w:pPr>
      <w:r>
        <w:t xml:space="preserve">Find candidate Penicillin BGCs in related fungi</w:t>
      </w:r>
    </w:p>
    <w:p>
      <w:pPr>
        <w:pStyle w:val="Compact"/>
        <w:numPr>
          <w:ilvl w:val="0"/>
          <w:numId w:val="1297"/>
        </w:numPr>
      </w:pPr>
      <w:r>
        <w:t xml:space="preserve">With our NRPS bait in hand, let’s try to fish out similar genes in related fungi! But before we do, do you have any hypotheses about how often it will be found?</w:t>
      </w:r>
    </w:p>
    <w:p>
      <w:pPr>
        <w:pStyle w:val="Compact"/>
        <w:numPr>
          <w:ilvl w:val="0"/>
          <w:numId w:val="129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9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9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9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9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9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97"/>
        </w:numPr>
      </w:pPr>
      <w:r>
        <w:t xml:space="preserve">Can you find where hit quality begins to drop off? You can see by just looking at the top 10 that quality drops off really fast!</w:t>
      </w:r>
    </w:p>
    <w:p>
      <w:pPr>
        <w:pStyle w:val="Compact"/>
        <w:numPr>
          <w:ilvl w:val="0"/>
          <w:numId w:val="129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9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9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9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9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9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9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9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9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9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9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9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41"/>
    <w:bookmarkEnd w:id="242"/>
    <w:bookmarkStart w:id="245" w:name="characterize-myco-ed-bgcs"/>
    <w:p>
      <w:pPr>
        <w:pStyle w:val="Heading3"/>
      </w:pPr>
      <w:r>
        <w:t xml:space="preserve">Characterize Myco-Ed BGCs</w:t>
      </w:r>
    </w:p>
    <w:bookmarkStart w:id="243"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9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9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98"/>
        </w:numPr>
      </w:pPr>
      <w:r>
        <w:t xml:space="preserve">Let’s set a goal to describe the distribution of fungal BGC backbone genes, following the same workflow you just did for penicillin.</w:t>
      </w:r>
    </w:p>
    <w:p>
      <w:pPr>
        <w:pStyle w:val="Compact"/>
        <w:numPr>
          <w:ilvl w:val="0"/>
          <w:numId w:val="129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9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9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9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9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9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9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43"/>
    <w:bookmarkStart w:id="244" w:name="annotate-them"/>
    <w:p>
      <w:pPr>
        <w:pStyle w:val="Heading4"/>
      </w:pPr>
      <w:r>
        <w:t xml:space="preserve">Annotate them!</w:t>
      </w:r>
    </w:p>
    <w:p>
      <w:pPr>
        <w:pStyle w:val="Compact"/>
        <w:numPr>
          <w:ilvl w:val="0"/>
          <w:numId w:val="129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9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9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44"/>
    <w:bookmarkEnd w:id="245"/>
    <w:bookmarkEnd w:id="246"/>
    <w:bookmarkEnd w:id="247"/>
    <w:bookmarkStart w:id="249"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48">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49"/>
    <w:bookmarkStart w:id="250" w:name="carlos-c.-goller"/>
    <w:p>
      <w:pPr>
        <w:pStyle w:val="Heading1"/>
      </w:pPr>
      <w:r>
        <w:t xml:space="preserve">1. Carlos C. Goller</w:t>
      </w:r>
    </w:p>
    <w:bookmarkEnd w:id="250"/>
    <w:bookmarkStart w:id="253"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51"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51"/>
    <w:bookmarkStart w:id="252"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52"/>
    <w:bookmarkEnd w:id="253"/>
    <w:bookmarkStart w:id="260" w:name="references-2"/>
    <w:p>
      <w:pPr>
        <w:pStyle w:val="Heading1"/>
      </w:pPr>
      <w:r>
        <w:t xml:space="preserve">References</w:t>
      </w:r>
    </w:p>
    <w:bookmarkStart w:id="254" w:name="workbook-references"/>
    <w:p>
      <w:pPr>
        <w:pStyle w:val="Heading2"/>
      </w:pPr>
      <w:r>
        <w:t xml:space="preserve">Workbook References</w:t>
      </w:r>
    </w:p>
    <w:p>
      <w:pPr>
        <w:pStyle w:val="Compact"/>
        <w:numPr>
          <w:ilvl w:val="0"/>
          <w:numId w:val="1300"/>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300"/>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54"/>
    <w:bookmarkStart w:id="259" w:name="module-7.1-references"/>
    <w:p>
      <w:pPr>
        <w:pStyle w:val="Heading2"/>
      </w:pPr>
      <w:r>
        <w:t xml:space="preserve">Module 7.1 References</w:t>
      </w:r>
    </w:p>
    <w:p>
      <w:pPr>
        <w:pStyle w:val="Compact"/>
        <w:numPr>
          <w:ilvl w:val="0"/>
          <w:numId w:val="1301"/>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301"/>
        </w:numPr>
      </w:pPr>
      <w:r>
        <w:t xml:space="preserve">Cambareri, E.B., Singer, M.J., Selker, E.U., 1991. Recurrence of repeat-induced point mutation (RIP) in Neurospora crassa. Genetics, 127(4): 699-710. https://doi.org/10.1093/genetics/127.4.699</w:t>
      </w:r>
    </w:p>
    <w:p>
      <w:pPr>
        <w:pStyle w:val="Compact"/>
        <w:numPr>
          <w:ilvl w:val="0"/>
          <w:numId w:val="1301"/>
        </w:numPr>
      </w:pPr>
      <w:r>
        <w:t xml:space="preserve">Metzenberg, R.L., Glass, N.L., 1990. Mating type and mating strategies in Neurospora. BioEssays, 12(2): 53-59. https://doi.org/10.1002/bies.950120202</w:t>
      </w:r>
    </w:p>
    <w:bookmarkStart w:id="258" w:name="refs"/>
    <w:bookmarkStart w:id="255"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55"/>
    <w:bookmarkStart w:id="257"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56">
        <w:r>
          <w:rPr>
            <w:rStyle w:val="Hyperlink"/>
          </w:rPr>
          <w:t xml:space="preserve">https://doi.org/10.17504/protocols.io.rm7vzqd5xvx1/v1</w:t>
        </w:r>
      </w:hyperlink>
      <w:r>
        <w:t xml:space="preserve">.</w:t>
      </w:r>
    </w:p>
    <w:bookmarkEnd w:id="257"/>
    <w:bookmarkEnd w:id="258"/>
    <w:bookmarkEnd w:id="259"/>
    <w:bookmarkEnd w:id="2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
  </w:num>
  <w:num w:numId="1247">
    <w:abstractNumId w:val="992"/>
  </w:num>
  <w:num w:numId="1248">
    <w:abstractNumId w:val="992"/>
  </w:num>
  <w:num w:numId="1249">
    <w:abstractNumId w:val="992"/>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2"/>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1" Target="media/rId191.png"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6"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8"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0"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6"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8"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0"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2026-06-03T02:01:18Z</dcterms:created>
  <dcterms:modified xsi:type="dcterms:W3CDTF">2026-06-03T02:01:18Z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