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27.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t xml:space="preserve">Documentation using iNaturalist</w:t>
      </w:r>
    </w:p>
    <w:p>
      <w:pPr>
        <w:pStyle w:val="Compact"/>
        <w:numPr>
          <w:ilvl w:val="0"/>
          <w:numId w:val="1067"/>
        </w:numPr>
      </w:pPr>
      <w:r>
        <w:t xml:space="preserve">Practice sterile technique</w:t>
      </w:r>
    </w:p>
    <w:p>
      <w:pPr>
        <w:pStyle w:val="Compact"/>
        <w:numPr>
          <w:ilvl w:val="0"/>
          <w:numId w:val="1067"/>
        </w:numPr>
      </w:pPr>
      <w:r>
        <w:t xml:space="preserve">Culture and isolate fungi</w:t>
      </w:r>
    </w:p>
    <w:p>
      <w:pPr>
        <w:pStyle w:val="Compact"/>
        <w:numPr>
          <w:ilvl w:val="0"/>
          <w:numId w:val="1067"/>
        </w:numPr>
      </w:pPr>
      <w:r>
        <w:t xml:space="preserve">Investigate fungal endophytes</w:t>
      </w:r>
    </w:p>
    <w:p>
      <w:pPr>
        <w:pStyle w:val="Compact"/>
        <w:numPr>
          <w:ilvl w:val="0"/>
          <w:numId w:val="1067"/>
        </w:numPr>
      </w:pPr>
      <w:r>
        <w:t xml:space="preserve">Characterize morphology of fungal cultures</w:t>
      </w:r>
    </w:p>
    <w:bookmarkEnd w:id="86"/>
    <w:bookmarkStart w:id="87" w:name="materials-1"/>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2"/>
    <w:p>
      <w:pPr>
        <w:pStyle w:val="Heading4"/>
      </w:pPr>
      <w:r>
        <w:t xml:space="preserve">Materials</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3"/>
        </w:numPr>
      </w:pPr>
      <w:r>
        <w:t xml:space="preserve">Practice sterile technique</w:t>
      </w:r>
    </w:p>
    <w:p>
      <w:pPr>
        <w:pStyle w:val="Compact"/>
        <w:numPr>
          <w:ilvl w:val="0"/>
          <w:numId w:val="1103"/>
        </w:numPr>
      </w:pPr>
      <w:r>
        <w:t xml:space="preserve">Culture and isolate fungi</w:t>
      </w:r>
    </w:p>
    <w:p>
      <w:pPr>
        <w:pStyle w:val="Compact"/>
        <w:numPr>
          <w:ilvl w:val="0"/>
          <w:numId w:val="1103"/>
        </w:numPr>
      </w:pPr>
      <w:r>
        <w:t xml:space="preserve">Investigate fungal endophytes</w:t>
      </w:r>
    </w:p>
    <w:p>
      <w:pPr>
        <w:pStyle w:val="Compact"/>
        <w:numPr>
          <w:ilvl w:val="0"/>
          <w:numId w:val="1103"/>
        </w:numPr>
      </w:pPr>
      <w:r>
        <w:t xml:space="preserve">Characterize morphology of fungal cultures</w:t>
      </w:r>
    </w:p>
    <w:p>
      <w:pPr>
        <w:pStyle w:val="Compact"/>
        <w:numPr>
          <w:ilvl w:val="0"/>
          <w:numId w:val="1103"/>
        </w:numPr>
      </w:pPr>
      <w:r>
        <w:t xml:space="preserve">Create data spreadsheets</w:t>
      </w:r>
    </w:p>
    <w:p>
      <w:pPr>
        <w:pStyle w:val="Compact"/>
        <w:numPr>
          <w:ilvl w:val="0"/>
          <w:numId w:val="1103"/>
        </w:numPr>
      </w:pPr>
      <w:r>
        <w:t xml:space="preserve">Isolate fungi for molecular extraction and analysis</w:t>
      </w:r>
    </w:p>
    <w:p>
      <w:pPr>
        <w:pStyle w:val="Compact"/>
        <w:numPr>
          <w:ilvl w:val="0"/>
          <w:numId w:val="1103"/>
        </w:numPr>
      </w:pPr>
      <w:r>
        <w:t xml:space="preserve">Create growth curves</w:t>
      </w:r>
    </w:p>
    <w:bookmarkEnd w:id="125"/>
    <w:bookmarkStart w:id="137" w:name="instructions-1"/>
    <w:p>
      <w:pPr>
        <w:pStyle w:val="Heading3"/>
      </w:pPr>
      <w:r>
        <w:t xml:space="preserve">Instructions</w:t>
      </w:r>
    </w:p>
    <w:bookmarkStart w:id="126" w:name="materials-3"/>
    <w:p>
      <w:pPr>
        <w:pStyle w:val="Heading4"/>
      </w:pPr>
      <w:r>
        <w:t xml:space="preserve">Materials</w:t>
      </w:r>
    </w:p>
    <w:p>
      <w:pPr>
        <w:pStyle w:val="Compact"/>
        <w:numPr>
          <w:ilvl w:val="0"/>
          <w:numId w:val="1104"/>
        </w:numPr>
      </w:pPr>
      <w:r>
        <w:t xml:space="preserve">Fungal endophyte sample plates</w:t>
      </w:r>
    </w:p>
    <w:p>
      <w:pPr>
        <w:pStyle w:val="Compact"/>
        <w:numPr>
          <w:ilvl w:val="0"/>
          <w:numId w:val="1105"/>
        </w:numPr>
      </w:pPr>
      <w:r>
        <w:t xml:space="preserve">PDA plates (60x15 mm)</w:t>
      </w:r>
    </w:p>
    <w:p>
      <w:pPr>
        <w:pStyle w:val="Compact"/>
        <w:numPr>
          <w:ilvl w:val="0"/>
          <w:numId w:val="1106"/>
        </w:numPr>
      </w:pPr>
      <w:r>
        <w:t xml:space="preserve">70% ethanol</w:t>
      </w:r>
    </w:p>
    <w:p>
      <w:pPr>
        <w:pStyle w:val="Compact"/>
        <w:numPr>
          <w:ilvl w:val="0"/>
          <w:numId w:val="1107"/>
        </w:numPr>
      </w:pPr>
      <w:r>
        <w:t xml:space="preserve">Kimwipes and paper towels</w:t>
      </w:r>
    </w:p>
    <w:p>
      <w:pPr>
        <w:pStyle w:val="Compact"/>
        <w:numPr>
          <w:ilvl w:val="0"/>
          <w:numId w:val="1108"/>
        </w:numPr>
      </w:pPr>
      <w:r>
        <w:t xml:space="preserve">Parafilm</w:t>
      </w:r>
    </w:p>
    <w:p>
      <w:pPr>
        <w:pStyle w:val="Compact"/>
        <w:numPr>
          <w:ilvl w:val="0"/>
          <w:numId w:val="1109"/>
        </w:numPr>
      </w:pPr>
      <w:r>
        <w:t xml:space="preserve">Fine-tip Sharpie</w:t>
      </w:r>
    </w:p>
    <w:p>
      <w:pPr>
        <w:pStyle w:val="Compact"/>
        <w:numPr>
          <w:ilvl w:val="0"/>
          <w:numId w:val="1110"/>
        </w:numPr>
      </w:pPr>
      <w:r>
        <w:t xml:space="preserve">Ethanol for sterilization</w:t>
      </w:r>
    </w:p>
    <w:p>
      <w:pPr>
        <w:pStyle w:val="Compact"/>
        <w:numPr>
          <w:ilvl w:val="0"/>
          <w:numId w:val="1111"/>
        </w:numPr>
      </w:pPr>
      <w:r>
        <w:t xml:space="preserve">Beaker or autoclavable container for ethanol</w:t>
      </w:r>
    </w:p>
    <w:p>
      <w:pPr>
        <w:pStyle w:val="Compact"/>
        <w:numPr>
          <w:ilvl w:val="0"/>
          <w:numId w:val="1112"/>
        </w:numPr>
      </w:pPr>
      <w:r>
        <w:t xml:space="preserve">Scalpel</w:t>
      </w:r>
    </w:p>
    <w:p>
      <w:pPr>
        <w:pStyle w:val="Compact"/>
        <w:numPr>
          <w:ilvl w:val="0"/>
          <w:numId w:val="1113"/>
        </w:numPr>
      </w:pPr>
      <w:r>
        <w:t xml:space="preserve">Ruler</w:t>
      </w:r>
    </w:p>
    <w:p>
      <w:pPr>
        <w:pStyle w:val="Compact"/>
        <w:numPr>
          <w:ilvl w:val="0"/>
          <w:numId w:val="1114"/>
        </w:numPr>
      </w:pPr>
      <w:r>
        <w:t xml:space="preserve">Forceps</w:t>
      </w:r>
    </w:p>
    <w:p>
      <w:pPr>
        <w:pStyle w:val="Compact"/>
        <w:numPr>
          <w:ilvl w:val="0"/>
          <w:numId w:val="1115"/>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6"/>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6"/>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6"/>
        </w:numPr>
      </w:pPr>
      <w:r>
        <w:t xml:space="preserve">Use a sterilized scalpel, forceps, and agar punch.</w:t>
      </w:r>
    </w:p>
    <w:p>
      <w:pPr>
        <w:pStyle w:val="Compact"/>
        <w:numPr>
          <w:ilvl w:val="0"/>
          <w:numId w:val="1116"/>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7"/>
        </w:numPr>
      </w:pPr>
      <w:r>
        <w:t xml:space="preserve">Work quickly and cleanly and consider your technique to prevent contamination. Remove Parafilm from the water agar plate.</w:t>
      </w:r>
    </w:p>
    <w:p>
      <w:pPr>
        <w:pStyle w:val="Compact"/>
        <w:numPr>
          <w:ilvl w:val="1"/>
          <w:numId w:val="1117"/>
        </w:numPr>
      </w:pPr>
      <w:r>
        <w:t xml:space="preserve">Tilt or lift the lid of the water agar petri dish as little as possible, try to keep the lid covering or hovering over the plate to prevent airborne contaminants.</w:t>
      </w:r>
    </w:p>
    <w:p>
      <w:pPr>
        <w:pStyle w:val="Compact"/>
        <w:numPr>
          <w:ilvl w:val="1"/>
          <w:numId w:val="1117"/>
        </w:numPr>
      </w:pPr>
      <w:r>
        <w:t xml:space="preserve">Using a sterile scalpel remove the chunk of agar from the target fungal isolate.</w:t>
      </w:r>
    </w:p>
    <w:p>
      <w:pPr>
        <w:pStyle w:val="Compact"/>
        <w:numPr>
          <w:ilvl w:val="1"/>
          <w:numId w:val="1117"/>
        </w:numPr>
      </w:pPr>
      <w:r>
        <w:t xml:space="preserve">Replace the lid of the water agar.</w:t>
      </w:r>
    </w:p>
    <w:p>
      <w:pPr>
        <w:pStyle w:val="Compact"/>
        <w:numPr>
          <w:ilvl w:val="1"/>
          <w:numId w:val="111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7"/>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18"/>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18"/>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19"/>
        </w:numPr>
      </w:pPr>
      <w:r>
        <w:t xml:space="preserve">Measure, in mm, new growth at each of the eight edges along the lines (Figures 3 and 4)</w:t>
      </w:r>
    </w:p>
    <w:p>
      <w:pPr>
        <w:pStyle w:val="Compact"/>
        <w:numPr>
          <w:ilvl w:val="0"/>
          <w:numId w:val="111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0"/>
        </w:numPr>
      </w:pPr>
      <w:r>
        <w:t xml:space="preserve">Continue to measure average growth in mm 7 days from plating.</w:t>
      </w:r>
    </w:p>
    <w:p>
      <w:pPr>
        <w:pStyle w:val="Compact"/>
        <w:numPr>
          <w:ilvl w:val="0"/>
          <w:numId w:val="1120"/>
        </w:numPr>
      </w:pPr>
      <w:r>
        <w:t xml:space="preserve">Calculate the average growth rate (distance/time).</w:t>
      </w:r>
    </w:p>
    <w:p>
      <w:pPr>
        <w:pStyle w:val="Compact"/>
        <w:numPr>
          <w:ilvl w:val="0"/>
          <w:numId w:val="1120"/>
        </w:numPr>
      </w:pPr>
      <w:r>
        <w:t xml:space="preserve">Plot a graph of your fungal isolate(s) growth rate.</w:t>
      </w:r>
    </w:p>
    <w:p>
      <w:pPr>
        <w:pStyle w:val="Compact"/>
        <w:numPr>
          <w:ilvl w:val="0"/>
          <w:numId w:val="1120"/>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63"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
    <w:p>
      <w:pPr>
        <w:pStyle w:val="Heading4"/>
      </w:pPr>
      <w:r>
        <w:t xml:space="preserve">Materials and Equipment</w:t>
      </w:r>
    </w:p>
    <w:p>
      <w:pPr>
        <w:pStyle w:val="Compact"/>
        <w:numPr>
          <w:ilvl w:val="0"/>
          <w:numId w:val="1121"/>
        </w:numPr>
      </w:pPr>
      <w:r>
        <w:t xml:space="preserve">Autoclave</w:t>
      </w:r>
    </w:p>
    <w:p>
      <w:pPr>
        <w:pStyle w:val="Compact"/>
        <w:numPr>
          <w:ilvl w:val="0"/>
          <w:numId w:val="1122"/>
        </w:numPr>
      </w:pPr>
      <w:r>
        <w:t xml:space="preserve">Laminar flow hood (if available)</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Ruler for measuring growth (mm ruler)</w:t>
      </w:r>
    </w:p>
    <w:p>
      <w:pPr>
        <w:pStyle w:val="Compact"/>
        <w:numPr>
          <w:ilvl w:val="0"/>
          <w:numId w:val="1135"/>
        </w:numPr>
      </w:pPr>
      <w:r>
        <w:t xml:space="preserve">Incubators set to 4 °C, room temperature (~20 °C), and 28 °C</w:t>
      </w:r>
    </w:p>
    <w:p>
      <w:pPr>
        <w:pStyle w:val="Compact"/>
        <w:numPr>
          <w:ilvl w:val="0"/>
          <w:numId w:val="1136"/>
        </w:numPr>
      </w:pPr>
      <w:r>
        <w:t xml:space="preserve">Refrigerator for storing plates at ~4 °C</w:t>
      </w:r>
    </w:p>
    <w:p>
      <w:pPr>
        <w:pStyle w:val="Compact"/>
        <w:numPr>
          <w:ilvl w:val="0"/>
          <w:numId w:val="1137"/>
        </w:numPr>
      </w:pPr>
      <w:r>
        <w:t xml:space="preserve">70% ethanol for sterilization</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62"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38"/>
        </w:numPr>
      </w:pPr>
      <w:r>
        <w:t xml:space="preserve">Determine how fungal isolates react to environmental stressors</w:t>
      </w:r>
    </w:p>
    <w:p>
      <w:pPr>
        <w:pStyle w:val="Compact"/>
        <w:numPr>
          <w:ilvl w:val="0"/>
          <w:numId w:val="1138"/>
        </w:numPr>
      </w:pPr>
      <w:r>
        <w:t xml:space="preserve">Practice sterile technique</w:t>
      </w:r>
    </w:p>
    <w:p>
      <w:pPr>
        <w:pStyle w:val="Compact"/>
        <w:numPr>
          <w:ilvl w:val="0"/>
          <w:numId w:val="1138"/>
        </w:numPr>
      </w:pPr>
      <w:r>
        <w:t xml:space="preserve">Culture and isolate fungi</w:t>
      </w:r>
    </w:p>
    <w:p>
      <w:pPr>
        <w:pStyle w:val="Compact"/>
        <w:numPr>
          <w:ilvl w:val="0"/>
          <w:numId w:val="1138"/>
        </w:numPr>
      </w:pPr>
      <w:r>
        <w:t xml:space="preserve">Investigate fungal endophytes</w:t>
      </w:r>
    </w:p>
    <w:p>
      <w:pPr>
        <w:pStyle w:val="Compact"/>
        <w:numPr>
          <w:ilvl w:val="0"/>
          <w:numId w:val="1138"/>
        </w:numPr>
      </w:pPr>
      <w:r>
        <w:t xml:space="preserve">Characterize morphology of fungal cultures</w:t>
      </w:r>
    </w:p>
    <w:p>
      <w:pPr>
        <w:pStyle w:val="Compact"/>
        <w:numPr>
          <w:ilvl w:val="0"/>
          <w:numId w:val="1138"/>
        </w:numPr>
      </w:pPr>
      <w:r>
        <w:t xml:space="preserve">Create data spreadsheets</w:t>
      </w:r>
    </w:p>
    <w:p>
      <w:pPr>
        <w:pStyle w:val="Compact"/>
        <w:numPr>
          <w:ilvl w:val="0"/>
          <w:numId w:val="1138"/>
        </w:numPr>
      </w:pPr>
      <w:r>
        <w:t xml:space="preserve">Isolate fungi for molecular extraction and analysis</w:t>
      </w:r>
    </w:p>
    <w:p>
      <w:pPr>
        <w:pStyle w:val="Compact"/>
        <w:numPr>
          <w:ilvl w:val="0"/>
          <w:numId w:val="1138"/>
        </w:numPr>
      </w:pPr>
      <w:r>
        <w:t xml:space="preserve">Record data to create growth curves</w:t>
      </w:r>
    </w:p>
    <w:bookmarkEnd w:id="148"/>
    <w:bookmarkStart w:id="159" w:name="instructions-2"/>
    <w:p>
      <w:pPr>
        <w:pStyle w:val="Heading3"/>
      </w:pPr>
      <w:r>
        <w:t xml:space="preserve">Instructions</w:t>
      </w:r>
    </w:p>
    <w:bookmarkStart w:id="149" w:name="materials-4"/>
    <w:p>
      <w:pPr>
        <w:pStyle w:val="Heading4"/>
      </w:pPr>
      <w:r>
        <w:t xml:space="preserve">Materials</w:t>
      </w:r>
    </w:p>
    <w:p>
      <w:pPr>
        <w:pStyle w:val="Compact"/>
        <w:numPr>
          <w:ilvl w:val="0"/>
          <w:numId w:val="1139"/>
        </w:numPr>
      </w:pPr>
      <w:r>
        <w:t xml:space="preserve">Student fungal isolates</w:t>
      </w:r>
    </w:p>
    <w:p>
      <w:pPr>
        <w:pStyle w:val="Compact"/>
        <w:numPr>
          <w:ilvl w:val="0"/>
          <w:numId w:val="1140"/>
        </w:numPr>
      </w:pPr>
      <w:r>
        <w:t xml:space="preserve">PDA with antibiotics (3 per student)</w:t>
      </w:r>
    </w:p>
    <w:p>
      <w:pPr>
        <w:pStyle w:val="Compact"/>
        <w:numPr>
          <w:ilvl w:val="0"/>
          <w:numId w:val="1141"/>
        </w:numPr>
      </w:pPr>
      <w:r>
        <w:t xml:space="preserve">PDA with antibiotics and Zn (3 per student)</w:t>
      </w:r>
    </w:p>
    <w:p>
      <w:pPr>
        <w:pStyle w:val="Compact"/>
        <w:numPr>
          <w:ilvl w:val="0"/>
          <w:numId w:val="1142"/>
        </w:numPr>
      </w:pPr>
      <w:r>
        <w:t xml:space="preserve">Fine tip Sharpie or marker</w:t>
      </w:r>
    </w:p>
    <w:p>
      <w:pPr>
        <w:pStyle w:val="Compact"/>
        <w:numPr>
          <w:ilvl w:val="0"/>
          <w:numId w:val="1143"/>
        </w:numPr>
      </w:pPr>
      <w:r>
        <w:t xml:space="preserve">Agar cutting tool and whole punch</w:t>
      </w:r>
    </w:p>
    <w:p>
      <w:pPr>
        <w:pStyle w:val="Compact"/>
        <w:numPr>
          <w:ilvl w:val="0"/>
          <w:numId w:val="1144"/>
        </w:numPr>
      </w:pPr>
      <w:r>
        <w:t xml:space="preserve">Ethanol jar for sterilization</w:t>
      </w:r>
    </w:p>
    <w:p>
      <w:pPr>
        <w:pStyle w:val="Compact"/>
        <w:numPr>
          <w:ilvl w:val="0"/>
          <w:numId w:val="1145"/>
        </w:numPr>
      </w:pPr>
      <w:r>
        <w:t xml:space="preserve">Incubators set to 4 °C, room temperature (~20 °C), and 28 °C</w:t>
      </w:r>
    </w:p>
    <w:p>
      <w:pPr>
        <w:pStyle w:val="FirstParagraph"/>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49"/>
    <w:bookmarkStart w:id="150"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0"/>
    <w:bookmarkStart w:id="151" w:name="objectives"/>
    <w:p>
      <w:pPr>
        <w:pStyle w:val="Heading4"/>
      </w:pPr>
      <w:r>
        <w:t xml:space="preserve">Objectives</w:t>
      </w:r>
    </w:p>
    <w:p>
      <w:pPr>
        <w:numPr>
          <w:ilvl w:val="0"/>
          <w:numId w:val="1146"/>
        </w:numPr>
      </w:pPr>
      <w:r>
        <w:t xml:space="preserve">Determine if the fungal isolates are tolerant of Zn.</w:t>
      </w:r>
    </w:p>
    <w:p>
      <w:pPr>
        <w:numPr>
          <w:ilvl w:val="0"/>
          <w:numId w:val="1146"/>
        </w:numPr>
      </w:pPr>
      <w:r>
        <w:t xml:space="preserve">Measure how different concentrations of Zn influence fungal growth rates.</w:t>
      </w:r>
    </w:p>
    <w:bookmarkEnd w:id="151"/>
    <w:bookmarkStart w:id="152" w:name="materials-5"/>
    <w:p>
      <w:pPr>
        <w:pStyle w:val="Heading4"/>
      </w:pPr>
      <w:r>
        <w:t xml:space="preserve">Materials</w:t>
      </w:r>
    </w:p>
    <w:p>
      <w:pPr>
        <w:pStyle w:val="Compact"/>
        <w:numPr>
          <w:ilvl w:val="0"/>
          <w:numId w:val="1147"/>
        </w:numPr>
      </w:pPr>
      <w:r>
        <w:t xml:space="preserve">Pure fungal cultures</w:t>
      </w:r>
    </w:p>
    <w:p>
      <w:pPr>
        <w:pStyle w:val="Compact"/>
        <w:numPr>
          <w:ilvl w:val="0"/>
          <w:numId w:val="1148"/>
        </w:numPr>
      </w:pPr>
      <w:r>
        <w:t xml:space="preserve">PDA 0 mM Zn + antibiotics</w:t>
      </w:r>
    </w:p>
    <w:p>
      <w:pPr>
        <w:pStyle w:val="Compact"/>
        <w:numPr>
          <w:ilvl w:val="0"/>
          <w:numId w:val="1149"/>
        </w:numPr>
      </w:pPr>
      <w:r>
        <w:t xml:space="preserve">PDA 1 mM Zn + antibiotics</w:t>
      </w:r>
    </w:p>
    <w:p>
      <w:pPr>
        <w:pStyle w:val="Compact"/>
        <w:numPr>
          <w:ilvl w:val="0"/>
          <w:numId w:val="1150"/>
        </w:numPr>
      </w:pPr>
      <w:r>
        <w:t xml:space="preserve">PDA 10 mM Zn + antibiotics</w:t>
      </w:r>
    </w:p>
    <w:p>
      <w:pPr>
        <w:pStyle w:val="Compact"/>
        <w:numPr>
          <w:ilvl w:val="0"/>
          <w:numId w:val="1151"/>
        </w:numPr>
      </w:pPr>
      <w:r>
        <w:t xml:space="preserve">Fine tip Sharpie or marker</w:t>
      </w:r>
    </w:p>
    <w:p>
      <w:pPr>
        <w:pStyle w:val="Compact"/>
        <w:numPr>
          <w:ilvl w:val="0"/>
          <w:numId w:val="1152"/>
        </w:numPr>
      </w:pPr>
      <w:r>
        <w:t xml:space="preserve">Agar cutting tool and whole punch</w:t>
      </w:r>
    </w:p>
    <w:p>
      <w:pPr>
        <w:pStyle w:val="Compact"/>
        <w:numPr>
          <w:ilvl w:val="0"/>
          <w:numId w:val="1153"/>
        </w:numPr>
      </w:pPr>
      <w:r>
        <w:t xml:space="preserve">Ethanol jar</w:t>
      </w:r>
    </w:p>
    <w:p>
      <w:pPr>
        <w:pStyle w:val="FirstParagraph"/>
      </w:pPr>
      <w:r>
        <w:rPr>
          <w:b/>
          <w:bCs/>
        </w:rPr>
        <w:t xml:space="preserve">Procedure:</w:t>
      </w:r>
      <w:r>
        <w:t xml:space="preserve"> </w:t>
      </w:r>
      <w:r>
        <w:t xml:space="preserve">- Label your plates with identifying information</w:t>
      </w:r>
      <w:r>
        <w:t xml:space="preserve"> </w:t>
      </w:r>
      <w:r>
        <w:t xml:space="preserve">- On the bottom of each plate, draw four lines that intersect in the center of the plate</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52"/>
    <w:bookmarkStart w:id="153" w:name="part-ii-fungal-microscopy"/>
    <w:p>
      <w:pPr>
        <w:pStyle w:val="Heading4"/>
      </w:pPr>
      <w:r>
        <w:t xml:space="preserve">Part II: Fungal Microscopy</w:t>
      </w:r>
    </w:p>
    <w:p>
      <w:pPr>
        <w:pStyle w:val="FirstParagraph"/>
      </w:pPr>
      <w:r>
        <w:t xml:space="preserve">In this lab, we will perform microscopic examinations of the fungal cultures to analyze their morphology and cellular characteristics.</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53"/>
    <w:bookmarkStart w:id="154" w:name="objectives-1"/>
    <w:p>
      <w:pPr>
        <w:pStyle w:val="Heading4"/>
      </w:pPr>
      <w:r>
        <w:t xml:space="preserve">Objectives</w:t>
      </w:r>
    </w:p>
    <w:p>
      <w:pPr>
        <w:numPr>
          <w:ilvl w:val="0"/>
          <w:numId w:val="1154"/>
        </w:numPr>
      </w:pPr>
      <w:r>
        <w:t xml:space="preserve">Prepare slides of fungal cultures for microscopic examination.</w:t>
      </w:r>
    </w:p>
    <w:p>
      <w:pPr>
        <w:numPr>
          <w:ilvl w:val="0"/>
          <w:numId w:val="1154"/>
        </w:numPr>
      </w:pPr>
      <w:r>
        <w:t xml:space="preserve">Document and analyze the morphological characteristics of the fungal isolates under the microscope.</w:t>
      </w:r>
    </w:p>
    <w:bookmarkEnd w:id="154"/>
    <w:bookmarkStart w:id="158" w:name="materials-6"/>
    <w:p>
      <w:pPr>
        <w:pStyle w:val="Heading4"/>
      </w:pPr>
      <w:r>
        <w:t xml:space="preserve">Materials</w:t>
      </w:r>
    </w:p>
    <w:p>
      <w:pPr>
        <w:pStyle w:val="Compact"/>
        <w:numPr>
          <w:ilvl w:val="0"/>
          <w:numId w:val="1155"/>
        </w:numPr>
      </w:pPr>
      <w:r>
        <w:t xml:space="preserve">Pure fungal cultures</w:t>
      </w:r>
    </w:p>
    <w:p>
      <w:pPr>
        <w:pStyle w:val="Compact"/>
        <w:numPr>
          <w:ilvl w:val="0"/>
          <w:numId w:val="1156"/>
        </w:numPr>
      </w:pPr>
      <w:r>
        <w:t xml:space="preserve">Microscope slides and cover slips</w:t>
      </w:r>
    </w:p>
    <w:p>
      <w:pPr>
        <w:pStyle w:val="Compact"/>
        <w:numPr>
          <w:ilvl w:val="0"/>
          <w:numId w:val="1157"/>
        </w:numPr>
      </w:pPr>
      <w:r>
        <w:t xml:space="preserve">Staining reagents (e.g., lactophenol cotton blue)</w:t>
      </w:r>
    </w:p>
    <w:p>
      <w:pPr>
        <w:pStyle w:val="Compact"/>
        <w:numPr>
          <w:ilvl w:val="0"/>
          <w:numId w:val="1158"/>
        </w:numPr>
      </w:pPr>
      <w:r>
        <w:t xml:space="preserve">Hardy Diagnostics BlueMount, Permanent Fungal Stain, Lactophenol Cotton Blue with PVA</w:t>
      </w:r>
    </w:p>
    <w:p>
      <w:pPr>
        <w:pStyle w:val="Compact"/>
        <w:numPr>
          <w:ilvl w:val="0"/>
          <w:numId w:val="1159"/>
        </w:numPr>
      </w:pPr>
      <w:r>
        <w:t xml:space="preserve">Compound microscope with appropriate magnification</w:t>
      </w:r>
    </w:p>
    <w:p>
      <w:pPr>
        <w:pStyle w:val="Compact"/>
        <w:numPr>
          <w:ilvl w:val="0"/>
          <w:numId w:val="1160"/>
        </w:numPr>
      </w:pPr>
      <w:r>
        <w:t xml:space="preserve">Fine tip Sharpie or marker</w:t>
      </w:r>
    </w:p>
    <w:p>
      <w:pPr>
        <w:pStyle w:val="Compact"/>
        <w:numPr>
          <w:ilvl w:val="0"/>
          <w:numId w:val="1161"/>
        </w:numPr>
      </w:pPr>
      <w:r>
        <w:t xml:space="preserve">Agar cutting tool and whole punch</w:t>
      </w:r>
    </w:p>
    <w:p>
      <w:pPr>
        <w:pStyle w:val="Compact"/>
        <w:numPr>
          <w:ilvl w:val="0"/>
          <w:numId w:val="1162"/>
        </w:numPr>
      </w:pPr>
      <w:r>
        <w:t xml:space="preserve">Ethanol jar</w:t>
      </w:r>
    </w:p>
    <w:p>
      <w:pPr>
        <w:pStyle w:val="Compact"/>
        <w:numPr>
          <w:ilvl w:val="0"/>
          <w:numId w:val="1163"/>
        </w:numPr>
      </w:pPr>
      <w:r>
        <w:t xml:space="preserve">Parafilm</w:t>
      </w:r>
    </w:p>
    <w:p>
      <w:pPr>
        <w:pStyle w:val="Compact"/>
        <w:numPr>
          <w:ilvl w:val="0"/>
          <w:numId w:val="1164"/>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55">
        <w:r>
          <w:rPr>
            <w:rStyle w:val="Hyperlink"/>
          </w:rPr>
          <w:t xml:space="preserve">BlueMount Permanent Fungal Stain</w:t>
        </w:r>
      </w:hyperlink>
      <w:r>
        <w:t xml:space="preserve">.</w:t>
      </w:r>
      <w:r>
        <w:t xml:space="preserve"> </w:t>
      </w:r>
      <w:r>
        <w:t xml:space="preserve">1. Place one drop of BlueMount™ in the center of a clean slide.</w:t>
      </w:r>
      <w:r>
        <w:t xml:space="preserve"> </w:t>
      </w:r>
      <w:r>
        <w:t xml:space="preserve">2. Remove a fragment of the fungus colony 2-3 mm from the colony edge using an innoculating loop or p1000 tip.</w:t>
      </w:r>
      <w:r>
        <w:t xml:space="preserve"> </w:t>
      </w:r>
      <w:r>
        <w:t xml:space="preserve">3. Place the fragment in the drop of stain and tease gently</w:t>
      </w:r>
      <w:r>
        <w:t xml:space="preserve"> </w:t>
      </w:r>
      <w:r>
        <w:t xml:space="preserve">4. Place the fragment in the drop of stain and tease gently.</w:t>
      </w:r>
      <w:r>
        <w:t xml:space="preserve"> </w:t>
      </w:r>
      <w:r>
        <w:t xml:space="preserve">5. 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warning.png" id="15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65"/>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65"/>
        </w:numPr>
      </w:pPr>
      <w:r>
        <w:t xml:space="preserve">Document your observations by drawing the structures you see and taking notes on their characteristics (e.g., shape, size, color, arrangement).</w:t>
      </w:r>
    </w:p>
    <w:p>
      <w:pPr>
        <w:pStyle w:val="Compact"/>
        <w:numPr>
          <w:ilvl w:val="0"/>
          <w:numId w:val="1165"/>
        </w:numPr>
      </w:pPr>
      <w:r>
        <w:t xml:space="preserve">Compare your observations with known fungal characteristics to help identify and classify your isolates.</w:t>
      </w:r>
    </w:p>
    <w:bookmarkEnd w:id="158"/>
    <w:bookmarkEnd w:id="159"/>
    <w:bookmarkStart w:id="160" w:name="part-iiitemperature-assays"/>
    <w:p>
      <w:pPr>
        <w:pStyle w:val="Heading3"/>
      </w:pPr>
      <w:r>
        <w:t xml:space="preserve">Part III:Temperature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 ] Pure cultures (2 per student)</w:t>
      </w:r>
      <w:r>
        <w:t xml:space="preserve"> </w:t>
      </w:r>
      <w:r>
        <w:t xml:space="preserve">- [ ] PDA with antibiotics (6 per student)</w:t>
      </w:r>
      <w:r>
        <w:t xml:space="preserve"> </w:t>
      </w:r>
      <w:r>
        <w:t xml:space="preserve">- [ ] Fine tip Sharpie or marker</w:t>
      </w:r>
      <w:r>
        <w:t xml:space="preserve"> </w:t>
      </w:r>
      <w:r>
        <w:t xml:space="preserve">- [ ] Culture cutting tool</w:t>
      </w:r>
      <w:r>
        <w:t xml:space="preserve"> </w:t>
      </w:r>
      <w:r>
        <w:t xml:space="preserve">- [ ] Ethanol jar</w:t>
      </w:r>
    </w:p>
    <w:p>
      <w:pPr>
        <w:pStyle w:val="BodyText"/>
      </w:pPr>
      <w:r>
        <w:rPr>
          <w:b/>
          <w:bCs/>
        </w:rPr>
        <w:t xml:space="preserve">Procedures:</w:t>
      </w:r>
      <w:r>
        <w:t xml:space="preserve"> </w:t>
      </w:r>
      <w:r>
        <w:t xml:space="preserve">1. Label your plates with identifying information and growth temperatures (2 per temp.)</w:t>
      </w:r>
      <w:r>
        <w:t xml:space="preserve"> </w:t>
      </w:r>
      <w:r>
        <w:t xml:space="preserve">2. On the bottom of each plate, draw four lines that intersect in the center of the plate.</w:t>
      </w:r>
      <w:r>
        <w:t xml:space="preserve"> </w:t>
      </w:r>
      <w:r>
        <w:t xml:space="preserve">3. Cut out three 0.5 cm chunks from the edge of your pure culture and place one in the center of each of the temperature plates</w:t>
      </w:r>
      <w:r>
        <w:t xml:space="preserve"> </w:t>
      </w:r>
      <w:r>
        <w:t xml:space="preserve">4. Close and parafilm your plates</w:t>
      </w:r>
      <w:r>
        <w:t xml:space="preserve"> </w:t>
      </w:r>
      <w:r>
        <w:t xml:space="preserve">5. Carefully, flip the plates over and trace the cube using a fine-tip marker</w:t>
      </w:r>
      <w:r>
        <w:t xml:space="preserve"> </w:t>
      </w:r>
      <w:r>
        <w:t xml:space="preserve">6. Bring your plates to the front of the class and place them (unflipped) in the correct box for incubation</w:t>
      </w:r>
    </w:p>
    <w:bookmarkEnd w:id="160"/>
    <w:bookmarkStart w:id="161"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 ] Fine tip Sharpie</w:t>
      </w:r>
      <w:r>
        <w:t xml:space="preserve"> </w:t>
      </w:r>
      <w:r>
        <w:t xml:space="preserve">- [ ] Three Zn culture plates</w:t>
      </w:r>
      <w:r>
        <w:t xml:space="preserve"> </w:t>
      </w:r>
      <w:r>
        <w:t xml:space="preserve">- [ ] Three temperature culture plates</w:t>
      </w:r>
      <w:r>
        <w:t xml:space="preserve"> </w:t>
      </w:r>
      <w:r>
        <w:t xml:space="preserve">- [ ] Ruler to measure growth in mm (mm ruler)</w:t>
      </w:r>
    </w:p>
    <w:p>
      <w:pPr>
        <w:pStyle w:val="BodyText"/>
      </w:pPr>
      <w:r>
        <w:rPr>
          <w:b/>
          <w:bCs/>
        </w:rPr>
        <w:t xml:space="preserve">Procedures:</w:t>
      </w:r>
      <w:r>
        <w:t xml:space="preserve"> </w:t>
      </w:r>
      <w:r>
        <w:t xml:space="preserve">1. On the bottom of the plate, trace the edge of your fungal culture</w:t>
      </w:r>
      <w:r>
        <w:t xml:space="preserve"> </w:t>
      </w:r>
      <w:r>
        <w:t xml:space="preserve">2. Measure, in mm, new growth at each of the four edges along the lines</w:t>
      </w:r>
      <w:r>
        <w:t xml:space="preserve"> </w:t>
      </w:r>
      <w:r>
        <w:t xml:space="preserve">3. Average the eight measurements to get the average growth and determine the average growth rate (distance/time)</w:t>
      </w:r>
    </w:p>
    <w:bookmarkEnd w:id="161"/>
    <w:bookmarkEnd w:id="162"/>
    <w:bookmarkEnd w:id="163"/>
    <w:bookmarkStart w:id="191"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68" w:name="X1f9141d941555e98bd81ab73b3543cfd3247ac1"/>
    <w:p>
      <w:pPr>
        <w:pStyle w:val="Heading2"/>
      </w:pPr>
      <w:r>
        <w:t xml:space="preserve">Module 4.1 – DNA Sequencing and Species Identification Instructor Resources</w:t>
      </w:r>
    </w:p>
    <w:bookmarkStart w:id="167" w:name="Xf2d43db359788ca93a2d8fe43440f1f2685953f"/>
    <w:p>
      <w:pPr>
        <w:pStyle w:val="Heading3"/>
      </w:pPr>
      <w:r>
        <w:t xml:space="preserve">Instructor Laboratory Preparation Instructions</w:t>
      </w:r>
    </w:p>
    <w:bookmarkStart w:id="166" w:name="materials-7"/>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66"/>
        </w:numPr>
      </w:pPr>
      <w:r>
        <w:t xml:space="preserve">☐ Gloves</w:t>
      </w:r>
    </w:p>
    <w:p>
      <w:pPr>
        <w:pStyle w:val="Compact"/>
        <w:numPr>
          <w:ilvl w:val="0"/>
          <w:numId w:val="1166"/>
        </w:numPr>
      </w:pPr>
      <w:r>
        <w:t xml:space="preserve">☐ Sharpie</w:t>
      </w:r>
    </w:p>
    <w:p>
      <w:pPr>
        <w:pStyle w:val="Compact"/>
        <w:numPr>
          <w:ilvl w:val="0"/>
          <w:numId w:val="1166"/>
        </w:numPr>
      </w:pPr>
      <w:r>
        <w:t xml:space="preserve">☐ Thermal cycler</w:t>
      </w:r>
    </w:p>
    <w:p>
      <w:pPr>
        <w:pStyle w:val="Compact"/>
        <w:numPr>
          <w:ilvl w:val="0"/>
          <w:numId w:val="1166"/>
        </w:numPr>
      </w:pPr>
      <w:r>
        <w:t xml:space="preserve">☐ Vortex</w:t>
      </w:r>
    </w:p>
    <w:p>
      <w:pPr>
        <w:pStyle w:val="Compact"/>
        <w:numPr>
          <w:ilvl w:val="0"/>
          <w:numId w:val="1166"/>
        </w:numPr>
      </w:pPr>
      <w:r>
        <w:t xml:space="preserve">☐ Centrifuge for PCR and microfuge tubes</w:t>
      </w:r>
    </w:p>
    <w:p>
      <w:pPr>
        <w:pStyle w:val="Compact"/>
        <w:numPr>
          <w:ilvl w:val="0"/>
          <w:numId w:val="1166"/>
        </w:numPr>
      </w:pPr>
      <w:r>
        <w:t xml:space="preserve">☐ Heat block/thermomixer for 1.5-2.0 ml microfuge tubes</w:t>
      </w:r>
    </w:p>
    <w:p>
      <w:pPr>
        <w:pStyle w:val="Compact"/>
        <w:numPr>
          <w:ilvl w:val="0"/>
          <w:numId w:val="1166"/>
        </w:numPr>
      </w:pPr>
      <w:r>
        <w:t xml:space="preserve">☐ 1.5mL microcentrifuge tubes (Eppendorf DNA LoBind)</w:t>
      </w:r>
    </w:p>
    <w:p>
      <w:pPr>
        <w:pStyle w:val="Compact"/>
        <w:numPr>
          <w:ilvl w:val="0"/>
          <w:numId w:val="1166"/>
        </w:numPr>
      </w:pPr>
      <w:r>
        <w:t xml:space="preserve">☐ 0.2 mL PCR tubes</w:t>
      </w:r>
    </w:p>
    <w:p>
      <w:pPr>
        <w:pStyle w:val="Compact"/>
        <w:numPr>
          <w:ilvl w:val="0"/>
          <w:numId w:val="1166"/>
        </w:numPr>
      </w:pPr>
      <w:r>
        <w:t xml:space="preserve">☐ Microfuge and PCR tube racks</w:t>
      </w:r>
    </w:p>
    <w:p>
      <w:pPr>
        <w:pStyle w:val="Compact"/>
        <w:numPr>
          <w:ilvl w:val="0"/>
          <w:numId w:val="1166"/>
        </w:numPr>
      </w:pPr>
      <w:r>
        <w:t xml:space="preserve">☐ Labeling tape</w:t>
      </w:r>
    </w:p>
    <w:p>
      <w:pPr>
        <w:pStyle w:val="Compact"/>
        <w:numPr>
          <w:ilvl w:val="0"/>
          <w:numId w:val="1166"/>
        </w:numPr>
      </w:pPr>
      <w:r>
        <w:t xml:space="preserve">☐ Monarch® Spin gDNA Extraction Kit (New England BioLabs,T3010S)</w:t>
      </w:r>
    </w:p>
    <w:p>
      <w:pPr>
        <w:pStyle w:val="Compact"/>
        <w:numPr>
          <w:ilvl w:val="0"/>
          <w:numId w:val="1166"/>
        </w:numPr>
      </w:pPr>
      <w:r>
        <w:t xml:space="preserve">☐ MetaPolyzyme, DNA free (Millipore Sigma, MAC4LDF-5X1VL)</w:t>
      </w:r>
    </w:p>
    <w:p>
      <w:pPr>
        <w:pStyle w:val="Compact"/>
        <w:numPr>
          <w:ilvl w:val="0"/>
          <w:numId w:val="1166"/>
        </w:numPr>
      </w:pPr>
      <w:r>
        <w:t xml:space="preserve">☐ TE Buffer</w:t>
      </w:r>
    </w:p>
    <w:p>
      <w:pPr>
        <w:pStyle w:val="Compact"/>
        <w:numPr>
          <w:ilvl w:val="0"/>
          <w:numId w:val="1166"/>
        </w:numPr>
      </w:pPr>
      <w:r>
        <w:t xml:space="preserve">☐ CTAB solution (100 ml, Promega, MC1411)</w:t>
      </w:r>
    </w:p>
    <w:p>
      <w:pPr>
        <w:pStyle w:val="Compact"/>
        <w:numPr>
          <w:ilvl w:val="0"/>
          <w:numId w:val="1166"/>
        </w:numPr>
      </w:pPr>
      <w:r>
        <w:t xml:space="preserve">☐ Parafilm</w:t>
      </w:r>
    </w:p>
    <w:p>
      <w:pPr>
        <w:pStyle w:val="Compact"/>
        <w:numPr>
          <w:ilvl w:val="0"/>
          <w:numId w:val="1166"/>
        </w:numPr>
      </w:pPr>
      <w:r>
        <w:t xml:space="preserve">☐ 70% ETOH</w:t>
      </w:r>
    </w:p>
    <w:p>
      <w:pPr>
        <w:pStyle w:val="Compact"/>
        <w:numPr>
          <w:ilvl w:val="0"/>
          <w:numId w:val="1166"/>
        </w:numPr>
      </w:pPr>
      <w:r>
        <w:t xml:space="preserve">☐ 1-10, 20-200, and 100-1000 µL micropipettors</w:t>
      </w:r>
    </w:p>
    <w:p>
      <w:pPr>
        <w:pStyle w:val="Compact"/>
        <w:numPr>
          <w:ilvl w:val="0"/>
          <w:numId w:val="1166"/>
        </w:numPr>
      </w:pPr>
      <w:r>
        <w:t xml:space="preserve">☐ 1-10, 20-200, and 100-1000 µL micropipette tips (preferably filtered)</w:t>
      </w:r>
    </w:p>
    <w:p>
      <w:pPr>
        <w:pStyle w:val="Compact"/>
        <w:numPr>
          <w:ilvl w:val="0"/>
          <w:numId w:val="1166"/>
        </w:numPr>
      </w:pPr>
      <w:r>
        <w:t xml:space="preserve">☐ Kimwipes</w:t>
      </w:r>
    </w:p>
    <w:p>
      <w:pPr>
        <w:pStyle w:val="Compact"/>
        <w:numPr>
          <w:ilvl w:val="0"/>
          <w:numId w:val="1166"/>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67"/>
        </w:numPr>
      </w:pPr>
      <w:r>
        <w:t xml:space="preserve">ITS1f: 5’-CTTGGTCATTTAGAGGAAGTAA-3’</w:t>
      </w:r>
    </w:p>
    <w:p>
      <w:pPr>
        <w:pStyle w:val="Compact"/>
        <w:numPr>
          <w:ilvl w:val="1"/>
          <w:numId w:val="1167"/>
        </w:numPr>
      </w:pPr>
      <w:r>
        <w:t xml:space="preserve">ITS4: 5’-TCCTCCGCTTATTGATATGC-3’</w:t>
      </w:r>
    </w:p>
    <w:p>
      <w:pPr>
        <w:pStyle w:val="Compact"/>
        <w:numPr>
          <w:ilvl w:val="1"/>
          <w:numId w:val="1167"/>
        </w:numPr>
      </w:pPr>
      <w:r>
        <w:t xml:space="preserve">5.8SR: 5’-CGCTGCGTTCTTCATCG-3’</w:t>
      </w:r>
    </w:p>
    <w:p>
      <w:pPr>
        <w:pStyle w:val="Compact"/>
        <w:numPr>
          <w:ilvl w:val="1"/>
          <w:numId w:val="1167"/>
        </w:numPr>
      </w:pPr>
      <w:r>
        <w:t xml:space="preserve">fITS7: 5’-GTGARTCATCGAATCTTTG-3’</w:t>
      </w:r>
    </w:p>
    <w:p>
      <w:pPr>
        <w:pStyle w:val="Compact"/>
        <w:numPr>
          <w:ilvl w:val="0"/>
          <w:numId w:val="1166"/>
        </w:numPr>
      </w:pPr>
      <w:r>
        <w:t xml:space="preserve">☐ Q5® Hot Start High-Fidelity 2X Master Mix - 100 reactions(New England BioLabs, M0494S)</w:t>
      </w:r>
    </w:p>
    <w:p>
      <w:pPr>
        <w:pStyle w:val="Compact"/>
        <w:numPr>
          <w:ilvl w:val="0"/>
          <w:numId w:val="1166"/>
        </w:numPr>
      </w:pPr>
      <w:r>
        <w:t xml:space="preserve">☐ PCR water (New England BioLabs, B1500S)</w:t>
      </w:r>
    </w:p>
    <w:p>
      <w:pPr>
        <w:pStyle w:val="Compact"/>
        <w:numPr>
          <w:ilvl w:val="0"/>
          <w:numId w:val="1166"/>
        </w:numPr>
      </w:pPr>
      <w:r>
        <w:t xml:space="preserve">☐ Exo-CIP Rapid PCR Cleanup Kit - 100 reactions (New England BioLabs, E1050S)</w:t>
      </w:r>
    </w:p>
    <w:p>
      <w:pPr>
        <w:pStyle w:val="Compact"/>
        <w:numPr>
          <w:ilvl w:val="0"/>
          <w:numId w:val="1166"/>
        </w:numPr>
      </w:pPr>
      <w:r>
        <w:t xml:space="preserve">☐ E-Gel system with 1.2% agarose gels (ThermoFisher, G4010010) or similar gel electrophoresis system</w:t>
      </w:r>
    </w:p>
    <w:p>
      <w:pPr>
        <w:pStyle w:val="Compact"/>
        <w:numPr>
          <w:ilvl w:val="0"/>
          <w:numId w:val="1166"/>
        </w:numPr>
      </w:pPr>
      <w:r>
        <w:t xml:space="preserve">☐ E-Gel™ Sizing DNA Ladder (ThermoFisher, 10488100)</w:t>
      </w:r>
    </w:p>
    <w:p>
      <w:pPr>
        <w:pStyle w:val="Compact"/>
        <w:numPr>
          <w:ilvl w:val="0"/>
          <w:numId w:val="1166"/>
        </w:numPr>
      </w:pPr>
      <w:r>
        <w:t xml:space="preserve">☐ DNA quantification system (for example, Qubit Fluorometer with dsDNA HS Assay Kit, ThermoFisher, Q32851)</w:t>
      </w:r>
    </w:p>
    <w:p>
      <w:pPr>
        <w:pStyle w:val="Compact"/>
        <w:numPr>
          <w:ilvl w:val="0"/>
          <w:numId w:val="1166"/>
        </w:numPr>
      </w:pPr>
      <w:r>
        <w:t xml:space="preserve">☐ Access to Sanger sequencing services (for example, Genewiz, Eurofins, Eton, or similar provider).</w:t>
      </w:r>
    </w:p>
    <w:p>
      <w:pPr>
        <w:pStyle w:val="Compact"/>
        <w:numPr>
          <w:ilvl w:val="0"/>
          <w:numId w:val="1166"/>
        </w:numPr>
      </w:pPr>
      <w:r>
        <w:t xml:space="preserve">☐ Rapid Barcoding Kit v14 (Oxford Nanopore Technologies), SQK-RBK114.24 or similar kit for long-read sequencing (optional)</w:t>
      </w:r>
    </w:p>
    <w:p>
      <w:pPr>
        <w:pStyle w:val="Compact"/>
        <w:numPr>
          <w:ilvl w:val="0"/>
          <w:numId w:val="1166"/>
        </w:numPr>
      </w:pPr>
      <w:r>
        <w:t xml:space="preserve">☐ MinION sequencing device</w:t>
      </w:r>
    </w:p>
    <w:p>
      <w:pPr>
        <w:pStyle w:val="Compact"/>
        <w:numPr>
          <w:ilvl w:val="0"/>
          <w:numId w:val="1166"/>
        </w:numPr>
      </w:pPr>
      <w:r>
        <w:t xml:space="preserve">☐ MinION flow cells (R10.4.1 or similar, Oxford Nanopore Technologies, FLO-MIN114)</w:t>
      </w:r>
    </w:p>
    <w:p>
      <w:pPr>
        <w:pStyle w:val="Compact"/>
        <w:numPr>
          <w:ilvl w:val="0"/>
          <w:numId w:val="1166"/>
        </w:numPr>
      </w:pPr>
      <w:r>
        <w:t xml:space="preserve">☐ Ultrapure BSA 50mg/ml (ThermoFisher, AM2616) for long-read sequencing</w:t>
      </w:r>
    </w:p>
    <w:p>
      <w:pPr>
        <w:pStyle w:val="Compact"/>
        <w:numPr>
          <w:ilvl w:val="0"/>
          <w:numId w:val="1166"/>
        </w:numPr>
      </w:pPr>
      <w:r>
        <w:t xml:space="preserve">☐ 1.5mL microcentrifuge tubes (Eppendorf DNA LoBind) for long-read sequencing</w:t>
      </w:r>
    </w:p>
    <w:p>
      <w:pPr>
        <w:pStyle w:val="Compact"/>
        <w:numPr>
          <w:ilvl w:val="0"/>
          <w:numId w:val="1166"/>
        </w:numPr>
      </w:pPr>
      <w:r>
        <w:t xml:space="preserve">0.2 mL PCR tubes for long-read sequencing</w:t>
      </w:r>
    </w:p>
    <w:p>
      <w:pPr>
        <w:pStyle w:val="Compact"/>
        <w:numPr>
          <w:ilvl w:val="0"/>
          <w:numId w:val="1166"/>
        </w:numPr>
      </w:pPr>
      <w:r>
        <w:t xml:space="preserve">Magnetic rack for 1.5ml microcentrifuge tubes (for example, ThermoFisher DynaMag-2, 12321D) for long-read sequencing</w:t>
      </w:r>
    </w:p>
    <w:p>
      <w:pPr>
        <w:pStyle w:val="Compact"/>
        <w:numPr>
          <w:ilvl w:val="0"/>
          <w:numId w:val="1166"/>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66"/>
    <w:bookmarkEnd w:id="167"/>
    <w:bookmarkEnd w:id="168"/>
    <w:bookmarkStart w:id="190" w:name="X84ab9f30f319591ed283388a48344a8ca0af377"/>
    <w:p>
      <w:pPr>
        <w:pStyle w:val="Heading2"/>
      </w:pPr>
      <w:r>
        <w:t xml:space="preserve">Module 4.2 – DNA Sequencing and Species Identification</w:t>
      </w:r>
    </w:p>
    <w:bookmarkStart w:id="169"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69"/>
    <w:bookmarkStart w:id="170" w:name="learning-goals-3"/>
    <w:p>
      <w:pPr>
        <w:pStyle w:val="Heading3"/>
      </w:pPr>
      <w:r>
        <w:t xml:space="preserve">Learning Goals</w:t>
      </w:r>
    </w:p>
    <w:p>
      <w:pPr>
        <w:pStyle w:val="Compact"/>
        <w:numPr>
          <w:ilvl w:val="0"/>
          <w:numId w:val="1168"/>
        </w:numPr>
      </w:pPr>
      <w:r>
        <w:t xml:space="preserve">Practice extracting fungal DNA</w:t>
      </w:r>
    </w:p>
    <w:p>
      <w:pPr>
        <w:pStyle w:val="Compact"/>
        <w:numPr>
          <w:ilvl w:val="0"/>
          <w:numId w:val="1168"/>
        </w:numPr>
      </w:pPr>
      <w:r>
        <w:t xml:space="preserve">Successfully PCR amplify fungal ITS</w:t>
      </w:r>
    </w:p>
    <w:p>
      <w:pPr>
        <w:pStyle w:val="Compact"/>
        <w:numPr>
          <w:ilvl w:val="0"/>
          <w:numId w:val="1168"/>
        </w:numPr>
      </w:pPr>
      <w:r>
        <w:t xml:space="preserve">Learn to BLAST ITS sequence to identify fungal isolates</w:t>
      </w:r>
    </w:p>
    <w:bookmarkEnd w:id="170"/>
    <w:bookmarkStart w:id="174" w:name="part-i-dna-extraction"/>
    <w:p>
      <w:pPr>
        <w:pStyle w:val="Heading3"/>
      </w:pPr>
      <w:r>
        <w:t xml:space="preserve">Part I: DNA Extraction</w:t>
      </w:r>
    </w:p>
    <w:bookmarkStart w:id="171"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71"/>
    <w:bookmarkStart w:id="172" w:name="materials-8"/>
    <w:p>
      <w:pPr>
        <w:pStyle w:val="Heading4"/>
      </w:pPr>
      <w:r>
        <w:t xml:space="preserve">Materials</w:t>
      </w:r>
    </w:p>
    <w:p>
      <w:pPr>
        <w:pStyle w:val="Compact"/>
        <w:numPr>
          <w:ilvl w:val="0"/>
          <w:numId w:val="1169"/>
        </w:numPr>
      </w:pPr>
      <w:r>
        <w:t xml:space="preserve">☐ Fungal isolates</w:t>
      </w:r>
    </w:p>
    <w:p>
      <w:pPr>
        <w:pStyle w:val="Compact"/>
        <w:numPr>
          <w:ilvl w:val="0"/>
          <w:numId w:val="1169"/>
        </w:numPr>
      </w:pPr>
      <w:r>
        <w:t xml:space="preserve">[ ]0.2 mL PCR tubes</w:t>
      </w:r>
    </w:p>
    <w:p>
      <w:pPr>
        <w:pStyle w:val="Compact"/>
        <w:numPr>
          <w:ilvl w:val="0"/>
          <w:numId w:val="1169"/>
        </w:numPr>
      </w:pPr>
      <w:r>
        <w:t xml:space="preserve">[ ]P20 micropipette with tips</w:t>
      </w:r>
    </w:p>
    <w:p>
      <w:pPr>
        <w:pStyle w:val="Compact"/>
        <w:numPr>
          <w:ilvl w:val="0"/>
          <w:numId w:val="1169"/>
        </w:numPr>
      </w:pPr>
      <w:r>
        <w:t xml:space="preserve">[ ]DNA extraction kit (New England BioLabs, Monarch® Spin gDNA Extraction Kit, T3010S)</w:t>
      </w:r>
    </w:p>
    <w:p>
      <w:pPr>
        <w:pStyle w:val="Compact"/>
        <w:numPr>
          <w:ilvl w:val="0"/>
          <w:numId w:val="1169"/>
        </w:numPr>
      </w:pPr>
      <w:r>
        <w:t xml:space="preserve">[ ]DNA quantification system (for example, Qubit Fluorometer with dsDNA HS Assay Kit, ThermoFisher, Q32851)</w:t>
      </w:r>
    </w:p>
    <w:p>
      <w:pPr>
        <w:pStyle w:val="Compact"/>
        <w:numPr>
          <w:ilvl w:val="0"/>
          <w:numId w:val="1169"/>
        </w:numPr>
      </w:pPr>
      <w:r>
        <w:t xml:space="preserve">[ ]Ethanol jar</w:t>
      </w:r>
    </w:p>
    <w:p>
      <w:pPr>
        <w:pStyle w:val="Compact"/>
        <w:numPr>
          <w:ilvl w:val="0"/>
          <w:numId w:val="1169"/>
        </w:numPr>
      </w:pPr>
      <w:r>
        <w:t xml:space="preserve">[ ]Loop, pick, and forceps</w:t>
      </w:r>
    </w:p>
    <w:bookmarkEnd w:id="172"/>
    <w:bookmarkStart w:id="173" w:name="procedures"/>
    <w:p>
      <w:pPr>
        <w:pStyle w:val="Heading4"/>
      </w:pPr>
      <w:r>
        <w:t xml:space="preserve">Procedures</w:t>
      </w:r>
    </w:p>
    <w:p>
      <w:pPr>
        <w:pStyle w:val="Compact"/>
        <w:numPr>
          <w:ilvl w:val="0"/>
          <w:numId w:val="1170"/>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70"/>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70"/>
        </w:numPr>
      </w:pPr>
      <w:r>
        <w:t xml:space="preserve">Close the snap-caps and incubate at 65 °C for 10 minutes followed by 95 °C for 10 minutes.</w:t>
      </w:r>
    </w:p>
    <w:p>
      <w:pPr>
        <w:pStyle w:val="Compact"/>
        <w:numPr>
          <w:ilvl w:val="0"/>
          <w:numId w:val="1170"/>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73"/>
    <w:bookmarkEnd w:id="174"/>
    <w:bookmarkStart w:id="179" w:name="part-ii-polymerase-chain-reaction-pcr"/>
    <w:p>
      <w:pPr>
        <w:pStyle w:val="Heading3"/>
      </w:pPr>
      <w:r>
        <w:t xml:space="preserve">Part II: Polymerase Chain Reaction (PCR)</w:t>
      </w:r>
    </w:p>
    <w:bookmarkStart w:id="175"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75"/>
    <w:bookmarkStart w:id="176" w:name="materials-9"/>
    <w:p>
      <w:pPr>
        <w:pStyle w:val="Heading4"/>
      </w:pPr>
      <w:r>
        <w:t xml:space="preserve">Materials</w:t>
      </w:r>
    </w:p>
    <w:p>
      <w:pPr>
        <w:pStyle w:val="Compact"/>
        <w:numPr>
          <w:ilvl w:val="0"/>
          <w:numId w:val="1171"/>
        </w:numPr>
      </w:pPr>
      <w:r>
        <w:t xml:space="preserve">DNA extraction kit</w:t>
      </w:r>
    </w:p>
    <w:p>
      <w:pPr>
        <w:pStyle w:val="Compact"/>
        <w:numPr>
          <w:ilvl w:val="0"/>
          <w:numId w:val="1172"/>
        </w:numPr>
      </w:pPr>
      <w:r>
        <w:t xml:space="preserve">Control DNA sample</w:t>
      </w:r>
    </w:p>
    <w:p>
      <w:pPr>
        <w:pStyle w:val="Compact"/>
        <w:numPr>
          <w:ilvl w:val="0"/>
          <w:numId w:val="1173"/>
        </w:numPr>
      </w:pPr>
      <w:r>
        <w:t xml:space="preserve">0.2 mL PCR tubes</w:t>
      </w:r>
    </w:p>
    <w:p>
      <w:pPr>
        <w:pStyle w:val="Compact"/>
        <w:numPr>
          <w:ilvl w:val="0"/>
          <w:numId w:val="1174"/>
        </w:numPr>
      </w:pPr>
      <w:r>
        <w:t xml:space="preserve">P10 micropipette with tips</w:t>
      </w:r>
    </w:p>
    <w:p>
      <w:pPr>
        <w:pStyle w:val="Compact"/>
        <w:numPr>
          <w:ilvl w:val="0"/>
          <w:numId w:val="1175"/>
        </w:numPr>
      </w:pPr>
      <w:r>
        <w:t xml:space="preserve">P20 micropipette with tips</w:t>
      </w:r>
    </w:p>
    <w:p>
      <w:pPr>
        <w:pStyle w:val="Compact"/>
        <w:numPr>
          <w:ilvl w:val="0"/>
          <w:numId w:val="1176"/>
        </w:numPr>
      </w:pPr>
      <w:r>
        <w:t xml:space="preserve">P200 micropipette with tips</w:t>
      </w:r>
    </w:p>
    <w:p>
      <w:pPr>
        <w:pStyle w:val="Compact"/>
        <w:numPr>
          <w:ilvl w:val="0"/>
          <w:numId w:val="1177"/>
        </w:numPr>
      </w:pPr>
      <w:r>
        <w:t xml:space="preserve">P1000 micropipette with tips</w:t>
      </w:r>
    </w:p>
    <w:p>
      <w:pPr>
        <w:pStyle w:val="Compact"/>
        <w:numPr>
          <w:ilvl w:val="0"/>
          <w:numId w:val="1178"/>
        </w:numPr>
      </w:pPr>
      <w:r>
        <w:t xml:space="preserve">Master mix containing buffer (MgCl2, dNTPs, primers, polymerase enzyme)</w:t>
      </w:r>
    </w:p>
    <w:p>
      <w:pPr>
        <w:pStyle w:val="Compact"/>
        <w:numPr>
          <w:ilvl w:val="0"/>
          <w:numId w:val="1179"/>
        </w:numPr>
      </w:pPr>
      <w:r>
        <w:t xml:space="preserve">PCR tube centrifuge</w:t>
      </w:r>
    </w:p>
    <w:p>
      <w:pPr>
        <w:pStyle w:val="Compact"/>
        <w:numPr>
          <w:ilvl w:val="0"/>
          <w:numId w:val="1180"/>
        </w:numPr>
      </w:pPr>
      <w:r>
        <w:t xml:space="preserve">Thermal cycler</w:t>
      </w:r>
    </w:p>
    <w:bookmarkEnd w:id="176"/>
    <w:bookmarkStart w:id="177"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81"/>
        </w:numPr>
      </w:pPr>
      <w:r>
        <w:t xml:space="preserve">Dilute DNA 1:10 (2 µl of DNA + 18 µL of DS)</w:t>
      </w:r>
    </w:p>
    <w:p>
      <w:pPr>
        <w:pStyle w:val="Compact"/>
        <w:numPr>
          <w:ilvl w:val="0"/>
          <w:numId w:val="1181"/>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81"/>
        </w:numPr>
      </w:pPr>
      <w:r>
        <w:t xml:space="preserve">Spin down your tubes before placing them in the thermal cycler. Run the reaction and observe the temperature cycles. After the reactions are finished, we will store your PCR products at -20 °C.</w:t>
      </w:r>
    </w:p>
    <w:bookmarkEnd w:id="177"/>
    <w:bookmarkStart w:id="178" w:name="X7a9437114b66a535474c7c1f8d36e2e2fb635f1"/>
    <w:p>
      <w:pPr>
        <w:pStyle w:val="Heading4"/>
      </w:pPr>
      <w:r>
        <w:t xml:space="preserve">PCR Troubleshooting after Gel Electrophoresis</w:t>
      </w:r>
    </w:p>
    <w:p>
      <w:pPr>
        <w:pStyle w:val="Compact"/>
        <w:numPr>
          <w:ilvl w:val="0"/>
          <w:numId w:val="1182"/>
        </w:numPr>
      </w:pPr>
      <w:r>
        <w:t xml:space="preserve">No amplification on any samples: check primers, polymerase, and other reagents.</w:t>
      </w:r>
    </w:p>
    <w:p>
      <w:pPr>
        <w:pStyle w:val="Compact"/>
        <w:numPr>
          <w:ilvl w:val="0"/>
          <w:numId w:val="118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82"/>
        </w:numPr>
      </w:pPr>
      <w:r>
        <w:t xml:space="preserve">Weak or multiple bands, smear: Mispriming from the incorrect program. Check primer concentration: an imbalance of primers can lead to multiple bands.</w:t>
      </w:r>
    </w:p>
    <w:bookmarkEnd w:id="178"/>
    <w:bookmarkEnd w:id="179"/>
    <w:bookmarkStart w:id="184"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80"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80"/>
    <w:bookmarkStart w:id="181" w:name="materials-needed-1"/>
    <w:p>
      <w:pPr>
        <w:pStyle w:val="Heading4"/>
      </w:pPr>
      <w:r>
        <w:t xml:space="preserve">Materials Needed</w:t>
      </w:r>
    </w:p>
    <w:p>
      <w:pPr>
        <w:pStyle w:val="Compact"/>
        <w:numPr>
          <w:ilvl w:val="0"/>
          <w:numId w:val="1183"/>
        </w:numPr>
      </w:pPr>
      <w:r>
        <w:t xml:space="preserve">Agarose</w:t>
      </w:r>
    </w:p>
    <w:p>
      <w:pPr>
        <w:pStyle w:val="Compact"/>
        <w:numPr>
          <w:ilvl w:val="0"/>
          <w:numId w:val="1183"/>
        </w:numPr>
      </w:pPr>
      <w:r>
        <w:t xml:space="preserve">1X TAE (or TE, TBE, or SB) buffer to make gels and running buffer</w:t>
      </w:r>
      <w:r>
        <w:t xml:space="preserve"> </w:t>
      </w:r>
      <w:r>
        <w:t xml:space="preserve">Note: Use the same buffer for making and running the gel</w:t>
      </w:r>
    </w:p>
    <w:p>
      <w:pPr>
        <w:pStyle w:val="Compact"/>
        <w:numPr>
          <w:ilvl w:val="0"/>
          <w:numId w:val="1183"/>
        </w:numPr>
      </w:pPr>
      <w:r>
        <w:t xml:space="preserve">SYBR Safe to visualize DNA</w:t>
      </w:r>
    </w:p>
    <w:p>
      <w:pPr>
        <w:pStyle w:val="Compact"/>
        <w:numPr>
          <w:ilvl w:val="0"/>
          <w:numId w:val="1183"/>
        </w:numPr>
      </w:pPr>
      <w:r>
        <w:t xml:space="preserve">250 mL Erlenmeyer Flask</w:t>
      </w:r>
    </w:p>
    <w:p>
      <w:pPr>
        <w:pStyle w:val="Compact"/>
        <w:numPr>
          <w:ilvl w:val="0"/>
          <w:numId w:val="1183"/>
        </w:numPr>
      </w:pPr>
      <w:r>
        <w:t xml:space="preserve">P20 micropipette with tips</w:t>
      </w:r>
    </w:p>
    <w:p>
      <w:pPr>
        <w:pStyle w:val="Compact"/>
        <w:numPr>
          <w:ilvl w:val="0"/>
          <w:numId w:val="1183"/>
        </w:numPr>
      </w:pPr>
      <w:r>
        <w:t xml:space="preserve">PCR products</w:t>
      </w:r>
    </w:p>
    <w:p>
      <w:pPr>
        <w:pStyle w:val="Compact"/>
        <w:numPr>
          <w:ilvl w:val="0"/>
          <w:numId w:val="1183"/>
        </w:numPr>
      </w:pPr>
      <w:r>
        <w:t xml:space="preserve">100 bp Ladder</w:t>
      </w:r>
    </w:p>
    <w:p>
      <w:pPr>
        <w:pStyle w:val="Compact"/>
        <w:numPr>
          <w:ilvl w:val="0"/>
          <w:numId w:val="1183"/>
        </w:numPr>
      </w:pPr>
      <w:r>
        <w:t xml:space="preserve">Digital Balance</w:t>
      </w:r>
    </w:p>
    <w:p>
      <w:pPr>
        <w:pStyle w:val="Compact"/>
        <w:numPr>
          <w:ilvl w:val="0"/>
          <w:numId w:val="1183"/>
        </w:numPr>
      </w:pPr>
      <w:r>
        <w:t xml:space="preserve">Weigh Boats</w:t>
      </w:r>
    </w:p>
    <w:p>
      <w:pPr>
        <w:pStyle w:val="Compact"/>
        <w:numPr>
          <w:ilvl w:val="0"/>
          <w:numId w:val="1183"/>
        </w:numPr>
      </w:pPr>
      <w:r>
        <w:t xml:space="preserve">Gel rigs</w:t>
      </w:r>
    </w:p>
    <w:p>
      <w:pPr>
        <w:pStyle w:val="Compact"/>
        <w:numPr>
          <w:ilvl w:val="0"/>
          <w:numId w:val="1183"/>
        </w:numPr>
      </w:pPr>
      <w:r>
        <w:t xml:space="preserve">Gel comb</w:t>
      </w:r>
    </w:p>
    <w:p>
      <w:pPr>
        <w:pStyle w:val="Compact"/>
        <w:numPr>
          <w:ilvl w:val="0"/>
          <w:numId w:val="1183"/>
        </w:numPr>
      </w:pPr>
      <w:r>
        <w:t xml:space="preserve">Power source</w:t>
      </w:r>
    </w:p>
    <w:bookmarkEnd w:id="181"/>
    <w:bookmarkStart w:id="182" w:name="X27e3611931edb00682f71c58d3e85dfeecf25c4"/>
    <w:p>
      <w:pPr>
        <w:pStyle w:val="Heading4"/>
      </w:pPr>
      <w:r>
        <w:t xml:space="preserve">Gel Preparation Protocol (Prep gel at least 20 minutes prior to use)</w:t>
      </w:r>
    </w:p>
    <w:p>
      <w:pPr>
        <w:pStyle w:val="Compact"/>
        <w:numPr>
          <w:ilvl w:val="0"/>
          <w:numId w:val="1184"/>
        </w:numPr>
      </w:pPr>
      <w:r>
        <w:t xml:space="preserve">Measure 100 mL of 1x TE buffer in an Erlenmeyer flask.</w:t>
      </w:r>
    </w:p>
    <w:p>
      <w:pPr>
        <w:pStyle w:val="Compact"/>
        <w:numPr>
          <w:ilvl w:val="0"/>
          <w:numId w:val="1184"/>
        </w:numPr>
      </w:pPr>
      <w:r>
        <w:t xml:space="preserve">Add 1 gram of agarose to the buffer.</w:t>
      </w:r>
    </w:p>
    <w:p>
      <w:pPr>
        <w:pStyle w:val="Compact"/>
        <w:numPr>
          <w:ilvl w:val="0"/>
          <w:numId w:val="1184"/>
        </w:numPr>
      </w:pPr>
      <w:r>
        <w:t xml:space="preserve">Microwave for 30-second intervals.</w:t>
      </w:r>
    </w:p>
    <w:p>
      <w:pPr>
        <w:pStyle w:val="Compact"/>
        <w:numPr>
          <w:ilvl w:val="0"/>
          <w:numId w:val="118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84"/>
        </w:numPr>
      </w:pPr>
      <w:r>
        <w:t xml:space="preserve">Once all the agarose is melted, let sit on the counter until it cools enough to handle. Don’t let it cool too long as it will solidify.</w:t>
      </w:r>
    </w:p>
    <w:p>
      <w:pPr>
        <w:pStyle w:val="Compact"/>
        <w:numPr>
          <w:ilvl w:val="0"/>
          <w:numId w:val="1184"/>
        </w:numPr>
      </w:pPr>
      <w:r>
        <w:t xml:space="preserve">Set up the agarose mold and add a comb.</w:t>
      </w:r>
    </w:p>
    <w:p>
      <w:pPr>
        <w:pStyle w:val="Compact"/>
        <w:numPr>
          <w:ilvl w:val="0"/>
          <w:numId w:val="1184"/>
        </w:numPr>
      </w:pPr>
      <w:r>
        <w:t xml:space="preserve">Once the agarose has cooled to the touch. Pour into the mold. Make sure the agarose is approximately 1/3 to 1/2 way up the combs.</w:t>
      </w:r>
    </w:p>
    <w:p>
      <w:pPr>
        <w:pStyle w:val="Compact"/>
        <w:numPr>
          <w:ilvl w:val="0"/>
          <w:numId w:val="1184"/>
        </w:numPr>
      </w:pPr>
      <w:r>
        <w:t xml:space="preserve">If bubbles are present, use a micropipette tip to draw them to the sides of the gel.</w:t>
      </w:r>
    </w:p>
    <w:p>
      <w:pPr>
        <w:pStyle w:val="Compact"/>
        <w:numPr>
          <w:ilvl w:val="0"/>
          <w:numId w:val="1184"/>
        </w:numPr>
      </w:pPr>
      <w:r>
        <w:t xml:space="preserve">Allow approximately 20 minutes for the gel to solidify and become somewhat translucent.</w:t>
      </w:r>
    </w:p>
    <w:p>
      <w:pPr>
        <w:pStyle w:val="Compact"/>
        <w:numPr>
          <w:ilvl w:val="0"/>
          <w:numId w:val="1184"/>
        </w:numPr>
      </w:pPr>
      <w:r>
        <w:t xml:space="preserve">Gently remove the comb.</w:t>
      </w:r>
    </w:p>
    <w:p>
      <w:pPr>
        <w:pStyle w:val="Compact"/>
        <w:numPr>
          <w:ilvl w:val="0"/>
          <w:numId w:val="118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84"/>
        </w:numPr>
      </w:pPr>
      <w:r>
        <w:t xml:space="preserve">Gels can be wrapped in saran wrap and stored for approximately 1 week.</w:t>
      </w:r>
    </w:p>
    <w:bookmarkEnd w:id="182"/>
    <w:bookmarkStart w:id="183" w:name="gel-loading"/>
    <w:p>
      <w:pPr>
        <w:pStyle w:val="Heading4"/>
      </w:pPr>
      <w:r>
        <w:t xml:space="preserve">Gel Loading</w:t>
      </w:r>
    </w:p>
    <w:p>
      <w:pPr>
        <w:pStyle w:val="Compact"/>
        <w:numPr>
          <w:ilvl w:val="0"/>
          <w:numId w:val="1185"/>
        </w:numPr>
      </w:pPr>
      <w:r>
        <w:t xml:space="preserve">Fill the gel rig with 1X TAE (or equivalent) buffer until it covers the surface of the gel.</w:t>
      </w:r>
    </w:p>
    <w:p>
      <w:pPr>
        <w:pStyle w:val="Compact"/>
        <w:numPr>
          <w:ilvl w:val="0"/>
          <w:numId w:val="1185"/>
        </w:numPr>
      </w:pPr>
      <w:r>
        <w:t xml:space="preserve">Make a map of your samples in your gel.</w:t>
      </w:r>
    </w:p>
    <w:p>
      <w:pPr>
        <w:pStyle w:val="Compact"/>
        <w:numPr>
          <w:ilvl w:val="0"/>
          <w:numId w:val="1185"/>
        </w:numPr>
      </w:pPr>
      <w:r>
        <w:t xml:space="preserve">Load Gel</w:t>
      </w:r>
    </w:p>
    <w:p>
      <w:pPr>
        <w:pStyle w:val="Compact"/>
        <w:numPr>
          <w:ilvl w:val="1"/>
          <w:numId w:val="118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86"/>
        </w:numPr>
      </w:pPr>
      <w:r>
        <w:t xml:space="preserve">PCR product with loading dye: Draw up 5 μL of PCR product using micropipette.</w:t>
      </w:r>
    </w:p>
    <w:p>
      <w:pPr>
        <w:pStyle w:val="Compact"/>
        <w:numPr>
          <w:ilvl w:val="0"/>
          <w:numId w:val="118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85"/>
        </w:numPr>
      </w:pPr>
      <w:r>
        <w:t xml:space="preserve">Be sure to reserve one well per row for a standardized DNA ladder.</w:t>
      </w:r>
    </w:p>
    <w:p>
      <w:pPr>
        <w:pStyle w:val="Compact"/>
        <w:numPr>
          <w:ilvl w:val="0"/>
          <w:numId w:val="1185"/>
        </w:numPr>
      </w:pPr>
      <w:r>
        <w:t xml:space="preserve">Run at 300 volts for about 15 minutes</w:t>
      </w:r>
    </w:p>
    <w:p>
      <w:pPr>
        <w:pStyle w:val="Compact"/>
        <w:numPr>
          <w:ilvl w:val="1"/>
          <w:numId w:val="1187"/>
        </w:numPr>
      </w:pPr>
      <w:r>
        <w:t xml:space="preserve">Keep an eye on the migration of your PCR product across the gel to ensure it doesn’t run off the other end of the gel.</w:t>
      </w:r>
    </w:p>
    <w:p>
      <w:pPr>
        <w:pStyle w:val="Compact"/>
        <w:numPr>
          <w:ilvl w:val="0"/>
          <w:numId w:val="1185"/>
        </w:numPr>
      </w:pPr>
      <w:r>
        <w:t xml:space="preserve">Visualize with UV light.</w:t>
      </w:r>
    </w:p>
    <w:bookmarkEnd w:id="183"/>
    <w:bookmarkEnd w:id="184"/>
    <w:bookmarkStart w:id="185"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85"/>
    <w:bookmarkStart w:id="186"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86"/>
    <w:bookmarkStart w:id="188" w:name="X119230681215c553508703bd9b858aabc863314"/>
    <w:p>
      <w:pPr>
        <w:pStyle w:val="Heading3"/>
      </w:pPr>
      <w:r>
        <w:t xml:space="preserve">Part VI: Identifying Species using DNA Barcode</w:t>
      </w:r>
    </w:p>
    <w:bookmarkStart w:id="187"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88"/>
        </w:numPr>
      </w:pPr>
      <w:r>
        <w:t xml:space="preserve">Go to NCBI: https://www.ncbi.nlm.nih.gov/.</w:t>
      </w:r>
    </w:p>
    <w:p>
      <w:pPr>
        <w:pStyle w:val="Compact"/>
        <w:numPr>
          <w:ilvl w:val="0"/>
          <w:numId w:val="118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89"/>
        </w:numPr>
      </w:pPr>
      <w:r>
        <w:t xml:space="preserve">BLAST = Basic Local Alignment Search Tool</w:t>
      </w:r>
    </w:p>
    <w:p>
      <w:pPr>
        <w:pStyle w:val="Compact"/>
        <w:numPr>
          <w:ilvl w:val="0"/>
          <w:numId w:val="1188"/>
        </w:numPr>
      </w:pPr>
      <w:r>
        <w:t xml:space="preserve">Click on the Nucleotide BLAST image.</w:t>
      </w:r>
    </w:p>
    <w:p>
      <w:pPr>
        <w:pStyle w:val="Compact"/>
        <w:numPr>
          <w:ilvl w:val="1"/>
          <w:numId w:val="119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88"/>
        </w:numPr>
      </w:pPr>
      <w:r>
        <w:t xml:space="preserve">Paste your sequence data into the big space under</w:t>
      </w:r>
      <w:r>
        <w:t xml:space="preserve"> </w:t>
      </w:r>
      <w:r>
        <w:t xml:space="preserve">“Enter Query Sequence”</w:t>
      </w:r>
      <w:r>
        <w:t xml:space="preserve">.</w:t>
      </w:r>
    </w:p>
    <w:p>
      <w:pPr>
        <w:pStyle w:val="Compact"/>
        <w:numPr>
          <w:ilvl w:val="1"/>
          <w:numId w:val="119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88"/>
        </w:numPr>
      </w:pPr>
      <w:r>
        <w:t xml:space="preserve">Under Choose Search Set you can keep it under</w:t>
      </w:r>
      <w:r>
        <w:t xml:space="preserve"> </w:t>
      </w:r>
      <w:r>
        <w:t xml:space="preserve">“Standard databases (nr etc.)”</w:t>
      </w:r>
      <w:r>
        <w:t xml:space="preserve">.</w:t>
      </w:r>
    </w:p>
    <w:p>
      <w:pPr>
        <w:pStyle w:val="Compact"/>
        <w:numPr>
          <w:ilvl w:val="1"/>
          <w:numId w:val="119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88"/>
        </w:numPr>
      </w:pPr>
      <w:r>
        <w:t xml:space="preserve">Select the</w:t>
      </w:r>
      <w:r>
        <w:t xml:space="preserve"> </w:t>
      </w:r>
      <w:r>
        <w:t xml:space="preserve">“BLAST”</w:t>
      </w:r>
      <w:r>
        <w:t xml:space="preserve"> </w:t>
      </w:r>
      <w:r>
        <w:t xml:space="preserve">button at the end.</w:t>
      </w:r>
    </w:p>
    <w:p>
      <w:pPr>
        <w:pStyle w:val="Compact"/>
        <w:numPr>
          <w:ilvl w:val="1"/>
          <w:numId w:val="119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93"/>
        </w:numPr>
      </w:pPr>
      <w:r>
        <w:t xml:space="preserve">Percent Identity = What percent of your sequence (query sequence) is identical to the matched sequence.</w:t>
      </w:r>
    </w:p>
    <w:p>
      <w:pPr>
        <w:pStyle w:val="Compact"/>
        <w:numPr>
          <w:ilvl w:val="1"/>
          <w:numId w:val="1193"/>
        </w:numPr>
      </w:pPr>
      <w:r>
        <w:t xml:space="preserve">Query Cover = How much of the query sequence covers the matched sequence.</w:t>
      </w:r>
    </w:p>
    <w:p>
      <w:pPr>
        <w:pStyle w:val="Compact"/>
        <w:numPr>
          <w:ilvl w:val="1"/>
          <w:numId w:val="1193"/>
        </w:numPr>
      </w:pPr>
      <w:r>
        <w:t xml:space="preserve">E value = The probability that this match occurred by chance in the provided database.</w:t>
      </w:r>
    </w:p>
    <w:p>
      <w:pPr>
        <w:pStyle w:val="Compact"/>
        <w:numPr>
          <w:ilvl w:val="0"/>
          <w:numId w:val="1188"/>
        </w:numPr>
      </w:pPr>
      <w:r>
        <w:t xml:space="preserve">Review the results.</w:t>
      </w:r>
    </w:p>
    <w:p>
      <w:pPr>
        <w:pStyle w:val="Compact"/>
        <w:numPr>
          <w:ilvl w:val="1"/>
          <w:numId w:val="1194"/>
        </w:numPr>
      </w:pPr>
      <w:r>
        <w:t xml:space="preserve">What is the</w:t>
      </w:r>
      <w:r>
        <w:t xml:space="preserve"> </w:t>
      </w:r>
      <w:r>
        <w:t xml:space="preserve">“top hit”</w:t>
      </w:r>
      <w:r>
        <w:t xml:space="preserve">?</w:t>
      </w:r>
    </w:p>
    <w:p>
      <w:pPr>
        <w:pStyle w:val="Compact"/>
        <w:numPr>
          <w:ilvl w:val="1"/>
          <w:numId w:val="1194"/>
        </w:numPr>
      </w:pPr>
      <w:r>
        <w:t xml:space="preserve">How much support is provided for this hit given the current database used?</w:t>
      </w:r>
    </w:p>
    <w:p>
      <w:pPr>
        <w:pStyle w:val="Compact"/>
        <w:numPr>
          <w:ilvl w:val="1"/>
          <w:numId w:val="1194"/>
        </w:numPr>
      </w:pPr>
      <w:r>
        <w:t xml:space="preserve">What is the taxonomic ID of this result? What kind of fungi are these?</w:t>
      </w:r>
    </w:p>
    <w:p>
      <w:pPr>
        <w:pStyle w:val="Compact"/>
        <w:numPr>
          <w:ilvl w:val="1"/>
          <w:numId w:val="1194"/>
        </w:numPr>
      </w:pPr>
      <w:r>
        <w:t xml:space="preserve">You may google the names and search under Wikipedia to get a better understanding of these organisms and what is known.</w:t>
      </w:r>
    </w:p>
    <w:bookmarkEnd w:id="187"/>
    <w:bookmarkEnd w:id="188"/>
    <w:bookmarkStart w:id="189"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89"/>
    <w:bookmarkEnd w:id="190"/>
    <w:bookmarkEnd w:id="191"/>
    <w:bookmarkStart w:id="205"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opt/quarto/share/formats/docx/tip.png" id="19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96" w:name="X0d17ba572a281133a22d073b368b9fbe73454ca"/>
    <w:p>
      <w:pPr>
        <w:pStyle w:val="Heading2"/>
      </w:pPr>
      <w:r>
        <w:t xml:space="preserve">Module 5.1 – Tissue Preparation for Genome Sequencing</w:t>
      </w:r>
    </w:p>
    <w:bookmarkStart w:id="195" w:name="Xaadd1af7be5342dd14d66f9d9ba06249647885a"/>
    <w:p>
      <w:pPr>
        <w:pStyle w:val="Heading3"/>
      </w:pPr>
      <w:r>
        <w:t xml:space="preserve">Instructor Laboratory Preparation Instructions</w:t>
      </w:r>
    </w:p>
    <w:bookmarkStart w:id="194" w:name="materials-and-equipment-1"/>
    <w:p>
      <w:pPr>
        <w:pStyle w:val="Heading4"/>
      </w:pPr>
      <w:r>
        <w:t xml:space="preserve">Materials and Equipment</w:t>
      </w:r>
    </w:p>
    <w:p>
      <w:pPr>
        <w:pStyle w:val="Compact"/>
        <w:numPr>
          <w:ilvl w:val="0"/>
          <w:numId w:val="1195"/>
        </w:numPr>
      </w:pPr>
      <w:r>
        <w:t xml:space="preserve">Autoclave</w:t>
      </w:r>
    </w:p>
    <w:p>
      <w:pPr>
        <w:pStyle w:val="Compact"/>
        <w:numPr>
          <w:ilvl w:val="0"/>
          <w:numId w:val="1196"/>
        </w:numPr>
      </w:pPr>
      <w:r>
        <w:t xml:space="preserve">Laminar Flow Hood (if available)</w:t>
      </w:r>
    </w:p>
    <w:p>
      <w:pPr>
        <w:pStyle w:val="Compact"/>
        <w:numPr>
          <w:ilvl w:val="0"/>
          <w:numId w:val="1197"/>
        </w:numPr>
      </w:pPr>
      <w:r>
        <w:t xml:space="preserve">Cellophane</w:t>
      </w:r>
    </w:p>
    <w:p>
      <w:pPr>
        <w:pStyle w:val="Compact"/>
        <w:numPr>
          <w:ilvl w:val="0"/>
          <w:numId w:val="1198"/>
        </w:numPr>
      </w:pPr>
      <w:r>
        <w:t xml:space="preserve">100x15mm Petri Dishes</w:t>
      </w:r>
    </w:p>
    <w:p>
      <w:pPr>
        <w:pStyle w:val="Compact"/>
        <w:numPr>
          <w:ilvl w:val="0"/>
          <w:numId w:val="1199"/>
        </w:numPr>
      </w:pPr>
      <w:r>
        <w:t xml:space="preserve">60x15mm Petri Dishes</w:t>
      </w:r>
    </w:p>
    <w:p>
      <w:pPr>
        <w:pStyle w:val="Compact"/>
        <w:numPr>
          <w:ilvl w:val="0"/>
          <w:numId w:val="1200"/>
        </w:numPr>
      </w:pPr>
      <w:r>
        <w:t xml:space="preserve">Agar, Bacteriological</w:t>
      </w:r>
    </w:p>
    <w:p>
      <w:pPr>
        <w:pStyle w:val="Compact"/>
        <w:numPr>
          <w:ilvl w:val="0"/>
          <w:numId w:val="1201"/>
        </w:numPr>
      </w:pPr>
      <w:r>
        <w:t xml:space="preserve">Potato Dextrose Agar (PDA) media</w:t>
      </w:r>
    </w:p>
    <w:p>
      <w:pPr>
        <w:pStyle w:val="Compact"/>
        <w:numPr>
          <w:ilvl w:val="0"/>
          <w:numId w:val="1202"/>
        </w:numPr>
      </w:pPr>
      <w:r>
        <w:t xml:space="preserve">Alcohol for sterilization</w:t>
      </w:r>
    </w:p>
    <w:p>
      <w:pPr>
        <w:pStyle w:val="Compact"/>
        <w:numPr>
          <w:ilvl w:val="0"/>
          <w:numId w:val="1203"/>
        </w:numPr>
      </w:pPr>
      <w:r>
        <w:t xml:space="preserve">Forceps</w:t>
      </w:r>
    </w:p>
    <w:p>
      <w:pPr>
        <w:pStyle w:val="Compact"/>
        <w:numPr>
          <w:ilvl w:val="0"/>
          <w:numId w:val="1204"/>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94"/>
    <w:bookmarkEnd w:id="195"/>
    <w:bookmarkEnd w:id="196"/>
    <w:bookmarkStart w:id="204" w:name="Xc8205bcafd44c2f0f2777871d0b670e5430cb18"/>
    <w:p>
      <w:pPr>
        <w:pStyle w:val="Heading2"/>
      </w:pPr>
      <w:r>
        <w:t xml:space="preserve">Module 5.2 – Tissue Preparation for Genome Sequencing</w:t>
      </w:r>
    </w:p>
    <w:bookmarkStart w:id="197" w:name="purpose-4"/>
    <w:p>
      <w:pPr>
        <w:pStyle w:val="Heading3"/>
      </w:pPr>
      <w:r>
        <w:t xml:space="preserve">Purpose</w:t>
      </w:r>
    </w:p>
    <w:p>
      <w:pPr>
        <w:pStyle w:val="FirstParagraph"/>
      </w:pPr>
      <w:r>
        <w:t xml:space="preserve">This protocol guides you through the culturing and harvesting of fungal tissue for molecular applications.</w:t>
      </w:r>
    </w:p>
    <w:bookmarkEnd w:id="197"/>
    <w:bookmarkStart w:id="19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98"/>
    <w:bookmarkStart w:id="199" w:name="sub-culturing-on-cellophane"/>
    <w:p>
      <w:pPr>
        <w:pStyle w:val="Heading3"/>
      </w:pPr>
      <w:r>
        <w:t xml:space="preserve">Sub-Culturing on Cellophane</w:t>
      </w:r>
    </w:p>
    <w:p>
      <w:pPr>
        <w:pStyle w:val="Compact"/>
        <w:numPr>
          <w:ilvl w:val="0"/>
          <w:numId w:val="1205"/>
        </w:numPr>
      </w:pPr>
      <w:r>
        <w:t xml:space="preserve">Clean your workspace as described previously. Work under flames or in a laminar flow hood if available.</w:t>
      </w:r>
    </w:p>
    <w:p>
      <w:pPr>
        <w:pStyle w:val="Compact"/>
        <w:numPr>
          <w:ilvl w:val="0"/>
          <w:numId w:val="1205"/>
        </w:numPr>
      </w:pPr>
      <w:r>
        <w:t xml:space="preserve">Label your Cellophane lined Petri Dish appropriately.</w:t>
      </w:r>
    </w:p>
    <w:p>
      <w:pPr>
        <w:pStyle w:val="Compact"/>
        <w:numPr>
          <w:ilvl w:val="0"/>
          <w:numId w:val="1205"/>
        </w:numPr>
      </w:pPr>
      <w:r>
        <w:t xml:space="preserve">Sterilize implements (forceps and scalpel).</w:t>
      </w:r>
    </w:p>
    <w:p>
      <w:pPr>
        <w:pStyle w:val="Compact"/>
        <w:numPr>
          <w:ilvl w:val="0"/>
          <w:numId w:val="1205"/>
        </w:numPr>
      </w:pPr>
      <w:r>
        <w:t xml:space="preserve">Scrape mycelia from PDA plates that you have been growing. Be sure to avoid transferring any media as much as possible.</w:t>
      </w:r>
    </w:p>
    <w:p>
      <w:pPr>
        <w:pStyle w:val="Compact"/>
        <w:numPr>
          <w:ilvl w:val="1"/>
          <w:numId w:val="1206"/>
        </w:numPr>
      </w:pPr>
      <w:r>
        <w:t xml:space="preserve">Leaving the assay plate on the bench space, remove the parafilm of the inoculation plate and slightly crack open the lid using your non-dominant hand.</w:t>
      </w:r>
    </w:p>
    <w:p>
      <w:pPr>
        <w:pStyle w:val="Compact"/>
        <w:numPr>
          <w:ilvl w:val="1"/>
          <w:numId w:val="1206"/>
        </w:numPr>
      </w:pPr>
      <w:r>
        <w:t xml:space="preserve">Insert your forceps into the crack of the Petri dish and attempt to sample some mycelium.</w:t>
      </w:r>
    </w:p>
    <w:p>
      <w:pPr>
        <w:pStyle w:val="Compact"/>
        <w:numPr>
          <w:ilvl w:val="2"/>
          <w:numId w:val="1207"/>
        </w:numPr>
      </w:pPr>
      <w:r>
        <w:t xml:space="preserve">If you are unable to remove mycelia with your forceps, use your scalpel to remove mycelia with the least amount of agar possible.</w:t>
      </w:r>
    </w:p>
    <w:p>
      <w:pPr>
        <w:pStyle w:val="Compact"/>
        <w:numPr>
          <w:ilvl w:val="0"/>
          <w:numId w:val="1205"/>
        </w:numPr>
      </w:pPr>
      <w:r>
        <w:t xml:space="preserve">Transfer the mycelia to a Petri dish with cellophane.</w:t>
      </w:r>
    </w:p>
    <w:p>
      <w:pPr>
        <w:pStyle w:val="Compact"/>
        <w:numPr>
          <w:ilvl w:val="1"/>
          <w:numId w:val="1208"/>
        </w:numPr>
      </w:pPr>
      <w:r>
        <w:t xml:space="preserve">Carefully remove the chunk of agar. Replace the lid. Slide the sample plate away. Slide a cellophane plate towards you.</w:t>
      </w:r>
    </w:p>
    <w:p>
      <w:pPr>
        <w:pStyle w:val="Compact"/>
        <w:numPr>
          <w:ilvl w:val="1"/>
          <w:numId w:val="1208"/>
        </w:numPr>
      </w:pPr>
      <w:r>
        <w:t xml:space="preserve">Crack open the cellophane plate using your non-dominant hand, and carefully insert the forceps with the agar and mycelium.</w:t>
      </w:r>
    </w:p>
    <w:p>
      <w:pPr>
        <w:pStyle w:val="Compact"/>
        <w:numPr>
          <w:ilvl w:val="1"/>
          <w:numId w:val="1208"/>
        </w:numPr>
      </w:pPr>
      <w:r>
        <w:t xml:space="preserve">To deposit the agar onto the PDA agar, submerge the forceps into the agar on the plate. This should force the agar and mycelium from your forceps, onto the PDA agar.</w:t>
      </w:r>
    </w:p>
    <w:p>
      <w:pPr>
        <w:pStyle w:val="Compact"/>
        <w:numPr>
          <w:ilvl w:val="1"/>
          <w:numId w:val="1208"/>
        </w:numPr>
      </w:pPr>
      <w:r>
        <w:t xml:space="preserve">Pull your forceps straight out to leave the agar and mycelium on the plate.</w:t>
      </w:r>
    </w:p>
    <w:p>
      <w:pPr>
        <w:pStyle w:val="Compact"/>
        <w:numPr>
          <w:ilvl w:val="1"/>
          <w:numId w:val="120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05"/>
        </w:numPr>
      </w:pPr>
      <w:r>
        <w:t xml:space="preserve">Seal Petri dish with parafilm.</w:t>
      </w:r>
    </w:p>
    <w:p>
      <w:pPr>
        <w:pStyle w:val="Compact"/>
        <w:numPr>
          <w:ilvl w:val="0"/>
          <w:numId w:val="1205"/>
        </w:numPr>
      </w:pPr>
      <w:r>
        <w:t xml:space="preserve">Allow fungi to fill the cellophane.</w:t>
      </w:r>
    </w:p>
    <w:p>
      <w:pPr>
        <w:pStyle w:val="Compact"/>
        <w:numPr>
          <w:ilvl w:val="0"/>
          <w:numId w:val="1205"/>
        </w:numPr>
      </w:pPr>
      <w:r>
        <w:t xml:space="preserve">Repeat this process with all fungal isolates that will be sent for genome sequencing.</w:t>
      </w:r>
    </w:p>
    <w:bookmarkEnd w:id="199"/>
    <w:bookmarkStart w:id="20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00"/>
    <w:bookmarkStart w:id="201" w:name="student-lab-supplies"/>
    <w:p>
      <w:pPr>
        <w:pStyle w:val="Heading3"/>
      </w:pPr>
      <w:r>
        <w:t xml:space="preserve">Student Lab Supplies</w:t>
      </w:r>
    </w:p>
    <w:p>
      <w:pPr>
        <w:pStyle w:val="Compact"/>
        <w:numPr>
          <w:ilvl w:val="0"/>
          <w:numId w:val="1209"/>
        </w:numPr>
      </w:pPr>
      <w:r>
        <w:t xml:space="preserve">1.5 ml Eppendorf tubes</w:t>
      </w:r>
    </w:p>
    <w:p>
      <w:pPr>
        <w:pStyle w:val="Compact"/>
        <w:numPr>
          <w:ilvl w:val="0"/>
          <w:numId w:val="1210"/>
        </w:numPr>
      </w:pPr>
      <w:r>
        <w:t xml:space="preserve">Sharpie</w:t>
      </w:r>
    </w:p>
    <w:p>
      <w:pPr>
        <w:pStyle w:val="Compact"/>
        <w:numPr>
          <w:ilvl w:val="0"/>
          <w:numId w:val="1211"/>
        </w:numPr>
      </w:pPr>
      <w:r>
        <w:t xml:space="preserve">Scalpel</w:t>
      </w:r>
    </w:p>
    <w:p>
      <w:pPr>
        <w:pStyle w:val="Compact"/>
        <w:numPr>
          <w:ilvl w:val="0"/>
          <w:numId w:val="1212"/>
        </w:numPr>
      </w:pPr>
      <w:r>
        <w:t xml:space="preserve">Forceps</w:t>
      </w:r>
    </w:p>
    <w:p>
      <w:pPr>
        <w:pStyle w:val="Compact"/>
        <w:numPr>
          <w:ilvl w:val="0"/>
          <w:numId w:val="1213"/>
        </w:numPr>
      </w:pPr>
      <w:r>
        <w:t xml:space="preserve">Silica</w:t>
      </w:r>
    </w:p>
    <w:p>
      <w:pPr>
        <w:pStyle w:val="Compact"/>
        <w:numPr>
          <w:ilvl w:val="0"/>
          <w:numId w:val="1214"/>
        </w:numPr>
      </w:pPr>
      <w:r>
        <w:t xml:space="preserve">Probe</w:t>
      </w:r>
    </w:p>
    <w:bookmarkEnd w:id="201"/>
    <w:bookmarkStart w:id="20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02"/>
    <w:bookmarkStart w:id="203" w:name="instructions-3"/>
    <w:p>
      <w:pPr>
        <w:pStyle w:val="Heading3"/>
      </w:pPr>
      <w:r>
        <w:t xml:space="preserve">Instructions</w:t>
      </w:r>
    </w:p>
    <w:p>
      <w:pPr>
        <w:pStyle w:val="Compact"/>
        <w:numPr>
          <w:ilvl w:val="0"/>
          <w:numId w:val="1215"/>
        </w:numPr>
      </w:pPr>
      <w:r>
        <w:t xml:space="preserve">You will be harvesting fungal tissue from the cellophane PDA petri dishes.</w:t>
      </w:r>
    </w:p>
    <w:p>
      <w:pPr>
        <w:pStyle w:val="Compact"/>
        <w:numPr>
          <w:ilvl w:val="0"/>
          <w:numId w:val="1215"/>
        </w:numPr>
      </w:pPr>
      <w:r>
        <w:t xml:space="preserve">Use a laminar flow hood or set up flames to create a sterile environment. Clean your sterile area.</w:t>
      </w:r>
    </w:p>
    <w:p>
      <w:pPr>
        <w:pStyle w:val="Compact"/>
        <w:numPr>
          <w:ilvl w:val="0"/>
          <w:numId w:val="1215"/>
        </w:numPr>
      </w:pPr>
      <w:r>
        <w:t xml:space="preserve">Light your flame source. Dip your harvesting implement(s) (scalpel, forceps, and/or probe) into alcohol. Flame your implements and let it cool.</w:t>
      </w:r>
    </w:p>
    <w:p>
      <w:pPr>
        <w:pStyle w:val="Compact"/>
        <w:numPr>
          <w:ilvl w:val="0"/>
          <w:numId w:val="1215"/>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15"/>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15"/>
        </w:numPr>
      </w:pPr>
      <w:r>
        <w:t xml:space="preserve">Seal silica-filled jar with the lid. Allow the tissue to dry for 5-10 days.</w:t>
      </w:r>
    </w:p>
    <w:p>
      <w:pPr>
        <w:pStyle w:val="Compact"/>
        <w:numPr>
          <w:ilvl w:val="0"/>
          <w:numId w:val="1215"/>
        </w:numPr>
      </w:pPr>
      <w:r>
        <w:t xml:space="preserve">Once the tissue is dry, remove the Eppendorf tubes from the silica jar and close the lids.</w:t>
      </w:r>
    </w:p>
    <w:p>
      <w:pPr>
        <w:pStyle w:val="Compact"/>
        <w:numPr>
          <w:ilvl w:val="0"/>
          <w:numId w:val="1215"/>
        </w:numPr>
      </w:pPr>
      <w:r>
        <w:t xml:space="preserve">Proceed to the Sample submission module.</w:t>
      </w:r>
    </w:p>
    <w:bookmarkEnd w:id="203"/>
    <w:bookmarkEnd w:id="204"/>
    <w:bookmarkEnd w:id="205"/>
    <w:bookmarkStart w:id="214"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13" w:name="module-6.1-myco-ed-sample-submission-sop"/>
    <w:p>
      <w:pPr>
        <w:pStyle w:val="Heading2"/>
      </w:pPr>
      <w:r>
        <w:t xml:space="preserve">Module 6.1 – Myco-Ed Sample Submission SOP</w:t>
      </w:r>
    </w:p>
    <w:bookmarkStart w:id="208" w:name="overview-2"/>
    <w:p>
      <w:pPr>
        <w:pStyle w:val="Heading3"/>
      </w:pPr>
      <w:r>
        <w:t xml:space="preserve">Overview</w:t>
      </w:r>
    </w:p>
    <w:p>
      <w:pPr>
        <w:pStyle w:val="FirstParagraph"/>
      </w:pPr>
      <w:r>
        <w:t xml:space="preserve">Use this document to submit fungal samples to Arizona Genomics Institute (AGI) for DNA extraction.</w:t>
      </w:r>
    </w:p>
    <w:bookmarkEnd w:id="208"/>
    <w:bookmarkStart w:id="209" w:name="definitions"/>
    <w:p>
      <w:pPr>
        <w:pStyle w:val="Heading3"/>
      </w:pPr>
      <w:r>
        <w:t xml:space="preserve">Definitions</w:t>
      </w:r>
    </w:p>
    <w:p>
      <w:pPr>
        <w:pStyle w:val="Compact"/>
        <w:numPr>
          <w:ilvl w:val="0"/>
          <w:numId w:val="1216"/>
        </w:numPr>
      </w:pPr>
      <w:r>
        <w:t xml:space="preserve">JGI = Joint Genomics Institute</w:t>
      </w:r>
    </w:p>
    <w:p>
      <w:pPr>
        <w:pStyle w:val="Compact"/>
        <w:numPr>
          <w:ilvl w:val="0"/>
          <w:numId w:val="1216"/>
        </w:numPr>
      </w:pPr>
      <w:r>
        <w:t xml:space="preserve">AGI = Arizona Genome Institute</w:t>
      </w:r>
    </w:p>
    <w:bookmarkEnd w:id="209"/>
    <w:bookmarkStart w:id="210" w:name="associated-documents"/>
    <w:p>
      <w:pPr>
        <w:pStyle w:val="Heading3"/>
      </w:pPr>
      <w:r>
        <w:t xml:space="preserve">Associated Documents</w:t>
      </w:r>
    </w:p>
    <w:p>
      <w:pPr>
        <w:pStyle w:val="FirstParagraph"/>
      </w:pPr>
      <w:r>
        <w:t xml:space="preserve">MycoEd Metadata Form</w:t>
      </w:r>
    </w:p>
    <w:bookmarkEnd w:id="210"/>
    <w:bookmarkStart w:id="211" w:name="process-steps"/>
    <w:p>
      <w:pPr>
        <w:pStyle w:val="Heading3"/>
      </w:pPr>
      <w:r>
        <w:t xml:space="preserve">Process Steps</w:t>
      </w:r>
    </w:p>
    <w:p>
      <w:pPr>
        <w:pStyle w:val="Compact"/>
        <w:numPr>
          <w:ilvl w:val="0"/>
          <w:numId w:val="1217"/>
        </w:numPr>
      </w:pPr>
      <w:r>
        <w:t xml:space="preserve">Create a JGI Single Sign on Account</w:t>
      </w:r>
    </w:p>
    <w:p>
      <w:pPr>
        <w:pStyle w:val="Compact"/>
        <w:numPr>
          <w:ilvl w:val="0"/>
          <w:numId w:val="1217"/>
        </w:numPr>
      </w:pPr>
      <w:r>
        <w:t xml:space="preserve">Email photos of the live tissue you intend to send AGI before collection to JTALAG@email.arizona.edu and kwbarry@lbl.gov.</w:t>
      </w:r>
    </w:p>
    <w:p>
      <w:pPr>
        <w:pStyle w:val="Compact"/>
        <w:numPr>
          <w:ilvl w:val="0"/>
          <w:numId w:val="1217"/>
        </w:numPr>
      </w:pPr>
      <w:r>
        <w:t xml:space="preserve">Make a copy of the MycoEd Metadata Form</w:t>
      </w:r>
    </w:p>
    <w:p>
      <w:pPr>
        <w:pStyle w:val="Compact"/>
        <w:numPr>
          <w:ilvl w:val="1"/>
          <w:numId w:val="1218"/>
        </w:numPr>
      </w:pPr>
      <w:r>
        <w:t xml:space="preserve">Click on MycoEd Metadata Form link</w:t>
      </w:r>
    </w:p>
    <w:p>
      <w:pPr>
        <w:pStyle w:val="Compact"/>
        <w:numPr>
          <w:ilvl w:val="1"/>
          <w:numId w:val="1218"/>
        </w:numPr>
      </w:pPr>
      <w:r>
        <w:t xml:space="preserve">Under file, select Make a Copy</w:t>
      </w:r>
    </w:p>
    <w:p>
      <w:pPr>
        <w:pStyle w:val="Compact"/>
        <w:numPr>
          <w:ilvl w:val="1"/>
          <w:numId w:val="1218"/>
        </w:numPr>
      </w:pPr>
      <w:r>
        <w:t xml:space="preserve">Rename your new copy [University][Instructor Last Name][MycoEd Metadata][Date]</w:t>
      </w:r>
    </w:p>
    <w:p>
      <w:pPr>
        <w:pStyle w:val="Compact"/>
        <w:numPr>
          <w:ilvl w:val="0"/>
          <w:numId w:val="1217"/>
        </w:numPr>
      </w:pPr>
      <w:r>
        <w:t xml:space="preserve">Fill out your copy of the MycoEd Metadata Form</w:t>
      </w:r>
    </w:p>
    <w:p>
      <w:pPr>
        <w:pStyle w:val="Compact"/>
        <w:numPr>
          <w:ilvl w:val="1"/>
          <w:numId w:val="1219"/>
        </w:numPr>
      </w:pPr>
      <w:r>
        <w:t xml:space="preserve">Professor is the instructor for the class and their email address</w:t>
      </w:r>
    </w:p>
    <w:p>
      <w:pPr>
        <w:pStyle w:val="Compact"/>
        <w:numPr>
          <w:ilvl w:val="1"/>
          <w:numId w:val="1219"/>
        </w:numPr>
      </w:pPr>
      <w:r>
        <w:t xml:space="preserve">Name of the University/Institution is your University/Institution</w:t>
      </w:r>
    </w:p>
    <w:p>
      <w:pPr>
        <w:pStyle w:val="Compact"/>
        <w:numPr>
          <w:ilvl w:val="1"/>
          <w:numId w:val="1219"/>
        </w:numPr>
      </w:pPr>
      <w:r>
        <w:t xml:space="preserve">Date submitted/shipped is the date you ship the samples to AGI</w:t>
      </w:r>
    </w:p>
    <w:p>
      <w:pPr>
        <w:pStyle w:val="Compact"/>
        <w:numPr>
          <w:ilvl w:val="1"/>
          <w:numId w:val="1219"/>
        </w:numPr>
      </w:pPr>
      <w:r>
        <w:t xml:space="preserve">JGI proposal name &amp; number is DS 509937 (already provided)</w:t>
      </w:r>
    </w:p>
    <w:p>
      <w:pPr>
        <w:pStyle w:val="Compact"/>
        <w:numPr>
          <w:ilvl w:val="0"/>
          <w:numId w:val="1217"/>
        </w:numPr>
      </w:pPr>
      <w:r>
        <w:t xml:space="preserve">Fill out Sample Table</w:t>
      </w:r>
    </w:p>
    <w:p>
      <w:pPr>
        <w:pStyle w:val="Compact"/>
        <w:numPr>
          <w:ilvl w:val="1"/>
          <w:numId w:val="1220"/>
        </w:numPr>
      </w:pPr>
      <w:r>
        <w:t xml:space="preserve">Enter requested metadata into the table</w:t>
      </w:r>
    </w:p>
    <w:p>
      <w:pPr>
        <w:pStyle w:val="Compact"/>
        <w:numPr>
          <w:ilvl w:val="1"/>
          <w:numId w:val="1220"/>
        </w:numPr>
      </w:pPr>
      <w:r>
        <w:t xml:space="preserve">Use one row per sample/tube</w:t>
      </w:r>
    </w:p>
    <w:p>
      <w:pPr>
        <w:pStyle w:val="Compact"/>
        <w:numPr>
          <w:ilvl w:val="1"/>
          <w:numId w:val="1220"/>
        </w:numPr>
      </w:pPr>
      <w:r>
        <w:t xml:space="preserve">Insert additional rows if needed</w:t>
      </w:r>
    </w:p>
    <w:p>
      <w:pPr>
        <w:pStyle w:val="Compact"/>
        <w:numPr>
          <w:ilvl w:val="1"/>
          <w:numId w:val="1220"/>
        </w:numPr>
      </w:pPr>
      <w:r>
        <w:t xml:space="preserve">Columns with gray field headers, B and D, will be filled out by JGI</w:t>
      </w:r>
    </w:p>
    <w:p>
      <w:pPr>
        <w:pStyle w:val="Compact"/>
        <w:numPr>
          <w:ilvl w:val="1"/>
          <w:numId w:val="1220"/>
        </w:numPr>
      </w:pPr>
      <w:r>
        <w:t xml:space="preserve">For Column C, Sample Name - please use below convention for naming: [University][Plant][Plant tissue] Metagenome [Sample ID]</w:t>
      </w:r>
    </w:p>
    <w:p>
      <w:pPr>
        <w:pStyle w:val="Compact"/>
        <w:numPr>
          <w:ilvl w:val="1"/>
          <w:numId w:val="1220"/>
        </w:numPr>
      </w:pPr>
      <w:r>
        <w:t xml:space="preserve">Column G is only needed if you are sending more than 22 samples</w:t>
      </w:r>
    </w:p>
    <w:p>
      <w:pPr>
        <w:pStyle w:val="Compact"/>
        <w:numPr>
          <w:ilvl w:val="1"/>
          <w:numId w:val="1220"/>
        </w:numPr>
      </w:pPr>
      <w:r>
        <w:t xml:space="preserve">Student is the full name of student that collected the sample and their email address</w:t>
      </w:r>
    </w:p>
    <w:p>
      <w:pPr>
        <w:pStyle w:val="Compact"/>
        <w:numPr>
          <w:ilvl w:val="1"/>
          <w:numId w:val="1220"/>
        </w:numPr>
      </w:pPr>
      <w:r>
        <w:t xml:space="preserve">Columns with Yellow Header, X-AF, will be filled out by AGI after DNA extraction</w:t>
      </w:r>
    </w:p>
    <w:p>
      <w:pPr>
        <w:pStyle w:val="Compact"/>
        <w:numPr>
          <w:ilvl w:val="0"/>
          <w:numId w:val="1217"/>
        </w:numPr>
      </w:pPr>
      <w:r>
        <w:t xml:space="preserve">Email form to AGI &amp; JGI</w:t>
      </w:r>
    </w:p>
    <w:p>
      <w:pPr>
        <w:pStyle w:val="Compact"/>
        <w:numPr>
          <w:ilvl w:val="1"/>
          <w:numId w:val="1221"/>
        </w:numPr>
      </w:pPr>
      <w:r>
        <w:t xml:space="preserve">Once all required metadata is provided, download a copy to excel</w:t>
      </w:r>
    </w:p>
    <w:p>
      <w:pPr>
        <w:pStyle w:val="Compact"/>
        <w:numPr>
          <w:ilvl w:val="1"/>
          <w:numId w:val="1221"/>
        </w:numPr>
      </w:pPr>
      <w:r>
        <w:t xml:space="preserve">Email a copy to Jayson at (jtalag@ag.arizona.edu ) and Kerrie (kwbarry@lbl.gov).</w:t>
      </w:r>
    </w:p>
    <w:p>
      <w:pPr>
        <w:pStyle w:val="Compact"/>
        <w:numPr>
          <w:ilvl w:val="1"/>
          <w:numId w:val="1221"/>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21"/>
        </w:numPr>
      </w:pPr>
      <w:r>
        <w:t xml:space="preserve">Include in your email your name, your college/university, the exact name of your samples (column D) that are ready to ship to AGI (and the rows in this sheet).</w:t>
      </w:r>
    </w:p>
    <w:p>
      <w:pPr>
        <w:pStyle w:val="Compact"/>
        <w:numPr>
          <w:ilvl w:val="1"/>
          <w:numId w:val="1221"/>
        </w:numPr>
      </w:pPr>
      <w:r>
        <w:t xml:space="preserve">Wait for approval/confirmation from AGI &amp; JGI.</w:t>
      </w:r>
    </w:p>
    <w:p>
      <w:pPr>
        <w:pStyle w:val="Compact"/>
        <w:numPr>
          <w:ilvl w:val="2"/>
          <w:numId w:val="1222"/>
        </w:numPr>
      </w:pPr>
      <w:r>
        <w:t xml:space="preserve">If needed make requested changed and email updated copy</w:t>
      </w:r>
    </w:p>
    <w:p>
      <w:pPr>
        <w:pStyle w:val="Compact"/>
        <w:numPr>
          <w:ilvl w:val="0"/>
          <w:numId w:val="1217"/>
        </w:numPr>
      </w:pPr>
      <w:r>
        <w:t xml:space="preserve">Prepare samples for shipment</w:t>
      </w:r>
    </w:p>
    <w:p>
      <w:pPr>
        <w:pStyle w:val="Compact"/>
        <w:numPr>
          <w:ilvl w:val="1"/>
          <w:numId w:val="1223"/>
        </w:numPr>
      </w:pPr>
    </w:p>
    <w:p>
      <w:pPr>
        <w:pStyle w:val="Compact"/>
        <w:numPr>
          <w:ilvl w:val="2"/>
          <w:numId w:val="1224"/>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23"/>
        </w:numPr>
      </w:pPr>
      <w:r>
        <w:t xml:space="preserve">Email FEDEX tracking # when your shipment is picked up.</w:t>
      </w:r>
    </w:p>
    <w:p>
      <w:pPr>
        <w:pStyle w:val="Compact"/>
        <w:numPr>
          <w:ilvl w:val="1"/>
          <w:numId w:val="1223"/>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11"/>
    <w:bookmarkStart w:id="21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12"/>
    <w:bookmarkEnd w:id="213"/>
    <w:bookmarkEnd w:id="214"/>
    <w:bookmarkStart w:id="234"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24" w:name="X46999d4e04aaa0bd6e7f1cf0936f3283e50c93c"/>
    <w:p>
      <w:pPr>
        <w:pStyle w:val="Heading2"/>
      </w:pPr>
      <w:r>
        <w:t xml:space="preserve">Module 7.1 – Sexual Reproduction in Ascomycota Genomic Analysis</w:t>
      </w:r>
    </w:p>
    <w:bookmarkStart w:id="217"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17"/>
    <w:bookmarkStart w:id="218" w:name="references"/>
    <w:p>
      <w:pPr>
        <w:pStyle w:val="Heading3"/>
      </w:pPr>
      <w:r>
        <w:t xml:space="preserve">References</w:t>
      </w:r>
    </w:p>
    <w:p>
      <w:pPr>
        <w:pStyle w:val="Compact"/>
        <w:numPr>
          <w:ilvl w:val="0"/>
          <w:numId w:val="1225"/>
        </w:numPr>
      </w:pPr>
      <w:r>
        <w:t xml:space="preserve">Casselton, L.A., Olesnicky, N.S., 1998. Molecular Genetics of Mating Recognition in Basidiomycete Fungi. Microbiol Mol Biol Rev., 62(1): 55–70. doi: 10.1128/mmbr.62.1.55-70.1998</w:t>
      </w:r>
    </w:p>
    <w:p>
      <w:pPr>
        <w:pStyle w:val="Compact"/>
        <w:numPr>
          <w:ilvl w:val="0"/>
          <w:numId w:val="1225"/>
        </w:numPr>
      </w:pPr>
      <w:r>
        <w:t xml:space="preserve">Cambareri, E.B., Singer, M.J., Selker, E.U., 1991. Recurrence of repeat-induced point mutation (RIP) in Neurospora crassa. Genetics, 127(4):699-710. doi: 10.1093/genetics/127.4.699.</w:t>
      </w:r>
    </w:p>
    <w:p>
      <w:pPr>
        <w:pStyle w:val="Compact"/>
        <w:numPr>
          <w:ilvl w:val="0"/>
          <w:numId w:val="1225"/>
        </w:numPr>
      </w:pPr>
      <w:r>
        <w:t xml:space="preserve">Metzenberg, R.L., Glass, N.L., 1990. Mating type and mating strategies in Neurospora. Bioessays. 1990 Feb;12(2):53-9. doi: 10.1002/bies.950120202.</w:t>
      </w:r>
    </w:p>
    <w:bookmarkEnd w:id="218"/>
    <w:bookmarkStart w:id="223" w:name="finding-mat-a"/>
    <w:p>
      <w:pPr>
        <w:pStyle w:val="Heading3"/>
      </w:pPr>
      <w:r>
        <w:t xml:space="preserve">Finding mat A</w:t>
      </w:r>
    </w:p>
    <w:bookmarkStart w:id="219"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26"/>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26"/>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26"/>
        </w:numPr>
      </w:pPr>
      <w:r>
        <w:t xml:space="preserve">Let’s find the location of this gene in the genome! Go to the Neucr2 MycoCosm portal (https://mycocosm.jgi.doe.gov/Neucr2) and search for it using the BLAST tool.</w:t>
      </w:r>
    </w:p>
    <w:p>
      <w:pPr>
        <w:pStyle w:val="Compact"/>
        <w:numPr>
          <w:ilvl w:val="0"/>
          <w:numId w:val="1226"/>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26"/>
        </w:numPr>
      </w:pPr>
      <w:r>
        <w:t xml:space="preserve">You should see two hits, each shown in a separate row.</w:t>
      </w:r>
    </w:p>
    <w:p>
      <w:pPr>
        <w:pStyle w:val="Compact"/>
        <w:numPr>
          <w:ilvl w:val="1"/>
          <w:numId w:val="1227"/>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27"/>
        </w:numPr>
      </w:pPr>
      <w:r>
        <w:t xml:space="preserve">The second column shows an alignment of that sequence against your query, which is helpful for seeing how well hits cover your query sequence.</w:t>
      </w:r>
    </w:p>
    <w:p>
      <w:pPr>
        <w:pStyle w:val="Compact"/>
        <w:numPr>
          <w:ilvl w:val="1"/>
          <w:numId w:val="1227"/>
        </w:numPr>
      </w:pPr>
      <w:r>
        <w:t xml:space="preserve">The score and EValue columns are also useful when assessing hit quality. Higher scores are better, and conversely, lower e-values are better.</w:t>
      </w:r>
    </w:p>
    <w:p>
      <w:pPr>
        <w:pStyle w:val="Compact"/>
        <w:numPr>
          <w:ilvl w:val="0"/>
          <w:numId w:val="1226"/>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26"/>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26"/>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26"/>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26"/>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26"/>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26"/>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26"/>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26"/>
        </w:numPr>
      </w:pPr>
      <w:r>
        <w:t xml:space="preserve">Using the information on the protein page, can you find mat A-2 and mat-A3?</w:t>
      </w:r>
    </w:p>
    <w:p>
      <w:pPr>
        <w:pStyle w:val="Compact"/>
        <w:numPr>
          <w:ilvl w:val="0"/>
          <w:numId w:val="1226"/>
        </w:numPr>
      </w:pPr>
      <w:r>
        <w:t xml:space="preserve">At the mating type locus, do you notice anything interesting when exploring the read depth coverage plots (pink tracks) from related Neurospora genomes?</w:t>
      </w:r>
    </w:p>
    <w:p>
      <w:pPr>
        <w:pStyle w:val="Compact"/>
        <w:numPr>
          <w:ilvl w:val="0"/>
          <w:numId w:val="1226"/>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19"/>
    <w:bookmarkStart w:id="220"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28"/>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28"/>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28"/>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28"/>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28"/>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28"/>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20"/>
    <w:bookmarkStart w:id="221"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29"/>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29"/>
        </w:numPr>
      </w:pPr>
      <w:r>
        <w:t xml:space="preserve">Let’s find it on the mat a genome portal you found earlier for N. tetrasperma strain FGSC 2509, (https://mycocosm.jgi.doe.gov/Neute_mat_a1).</w:t>
      </w:r>
    </w:p>
    <w:p>
      <w:pPr>
        <w:pStyle w:val="Compact"/>
        <w:numPr>
          <w:ilvl w:val="0"/>
          <w:numId w:val="1229"/>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29"/>
        </w:numPr>
      </w:pPr>
      <w:r>
        <w:t xml:space="preserve">The best hit is to N. tetrasperma protein ID 124723, can you explain why?</w:t>
      </w:r>
    </w:p>
    <w:p>
      <w:pPr>
        <w:pStyle w:val="Compact"/>
        <w:numPr>
          <w:ilvl w:val="0"/>
          <w:numId w:val="1229"/>
        </w:numPr>
      </w:pPr>
      <w:r>
        <w:t xml:space="preserve">Let’s revisit the Neucr2 mcl clustering page and search for this, again by typing portalID.proteinID (e.g. Neute_mat_a1.124723) in the search field.</w:t>
      </w:r>
    </w:p>
    <w:p>
      <w:pPr>
        <w:pStyle w:val="Compact"/>
        <w:numPr>
          <w:ilvl w:val="0"/>
          <w:numId w:val="1229"/>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29"/>
        </w:numPr>
      </w:pPr>
      <w:r>
        <w:t xml:space="preserve">It looks like our mat a gene is found in a region that is not present in any of the others, which are all the opposite mating type (mat A)!</w:t>
      </w:r>
    </w:p>
    <w:p>
      <w:pPr>
        <w:pStyle w:val="Compact"/>
        <w:numPr>
          <w:ilvl w:val="0"/>
          <w:numId w:val="1229"/>
        </w:numPr>
      </w:pPr>
      <w:r>
        <w:t xml:space="preserve">With this information, we can say that all our current evidence supports our hypothesis that fungal mating types are driven by presence/absence of specific genes, mat a and A in particular!</w:t>
      </w:r>
    </w:p>
    <w:bookmarkEnd w:id="221"/>
    <w:bookmarkStart w:id="222"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30"/>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30"/>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30"/>
        </w:numPr>
      </w:pPr>
      <w:r>
        <w:t xml:space="preserve">Go through the same exercise to search mcl clusters. Do you see a similar pattern to what we observed in N. crassa?</w:t>
      </w:r>
    </w:p>
    <w:p>
      <w:pPr>
        <w:pStyle w:val="Compact"/>
        <w:numPr>
          <w:ilvl w:val="0"/>
          <w:numId w:val="1230"/>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30"/>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3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30"/>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30"/>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22"/>
    <w:bookmarkEnd w:id="223"/>
    <w:bookmarkEnd w:id="224"/>
    <w:bookmarkStart w:id="233" w:name="Xe7b646958662d93788a5fac43551e0623449021"/>
    <w:p>
      <w:pPr>
        <w:pStyle w:val="Heading2"/>
      </w:pPr>
      <w:r>
        <w:t xml:space="preserve">Module 7.2 – Fungal Natural Product Production Genomic Analysis</w:t>
      </w:r>
    </w:p>
    <w:bookmarkStart w:id="225"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25"/>
    <w:bookmarkStart w:id="226" w:name="references-1"/>
    <w:p>
      <w:pPr>
        <w:pStyle w:val="Heading3"/>
      </w:pPr>
      <w:r>
        <w:t xml:space="preserve">References</w:t>
      </w:r>
    </w:p>
    <w:p>
      <w:pPr>
        <w:pStyle w:val="Compact"/>
        <w:numPr>
          <w:ilvl w:val="0"/>
          <w:numId w:val="1231"/>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31"/>
        </w:numPr>
      </w:pPr>
      <w:r>
        <w:t xml:space="preserve">Seenivasan, A., Subhagar, S., Aravindan, R., Viruthagiri, T., 2008. Microbial Production and Biomedical Applications of Lovastatin. Indian J Pharm Sci. 2008, doi: 10.4103/0250-474X.49087</w:t>
      </w:r>
    </w:p>
    <w:p>
      <w:pPr>
        <w:pStyle w:val="Compact"/>
        <w:numPr>
          <w:ilvl w:val="0"/>
          <w:numId w:val="1231"/>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31"/>
        </w:numPr>
      </w:pPr>
      <w:r>
        <w:t xml:space="preserve">Strieker, M., Tanovic, A., Marahiel, M.A., 2010. Nonribosomal peptide synthetases: structures and dynamics. Current Opinion in Structural Biology 2010, 20:234–240</w:t>
      </w:r>
    </w:p>
    <w:p>
      <w:pPr>
        <w:pStyle w:val="Compact"/>
        <w:numPr>
          <w:ilvl w:val="0"/>
          <w:numId w:val="1231"/>
        </w:numPr>
      </w:pPr>
      <w:r>
        <w:t xml:space="preserve">Keller, N., 2019. Fungal secondary metabolism: regulation, function and drug discovery. Nature Reviews Microbiology, 17(3): 167–180. doi: 10.1038/s41579-018-0121-1</w:t>
      </w:r>
    </w:p>
    <w:bookmarkEnd w:id="226"/>
    <w:bookmarkStart w:id="229" w:name="X31643484012ee51f67fd2def9a4608ddd3c7490"/>
    <w:p>
      <w:pPr>
        <w:pStyle w:val="Heading3"/>
      </w:pPr>
      <w:r>
        <w:t xml:space="preserve">Finding the Penicillin Biosynthetic Gene Cluster</w:t>
      </w:r>
    </w:p>
    <w:bookmarkStart w:id="227" w:name="X27e5a65183f9483aec43514a5289c555b8e099a"/>
    <w:p>
      <w:pPr>
        <w:pStyle w:val="Heading4"/>
      </w:pPr>
      <w:r>
        <w:t xml:space="preserve">Locate the known cluster in P. chrysogenum</w:t>
      </w:r>
    </w:p>
    <w:p>
      <w:pPr>
        <w:pStyle w:val="Compact"/>
        <w:numPr>
          <w:ilvl w:val="0"/>
          <w:numId w:val="1232"/>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32"/>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32"/>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32"/>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32"/>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32"/>
        </w:numPr>
      </w:pPr>
      <w:r>
        <w:t xml:space="preserve">You should see a single hit! Click on the coordinates to view this region of the genome.</w:t>
      </w:r>
    </w:p>
    <w:p>
      <w:pPr>
        <w:pStyle w:val="Compact"/>
        <w:numPr>
          <w:ilvl w:val="0"/>
          <w:numId w:val="1232"/>
        </w:numPr>
      </w:pPr>
      <w:r>
        <w:t xml:space="preserve">Of course, we are searching for DNA that is mostly found in between these penicillin-related genes. Click -10x to get a bigger view of this locus.</w:t>
      </w:r>
    </w:p>
    <w:p>
      <w:pPr>
        <w:pStyle w:val="Compact"/>
        <w:numPr>
          <w:ilvl w:val="0"/>
          <w:numId w:val="1232"/>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32"/>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32"/>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27"/>
    <w:bookmarkStart w:id="228" w:name="X3367d9de4d4452f0e4500f817aabeb87e960cf9"/>
    <w:p>
      <w:pPr>
        <w:pStyle w:val="Heading4"/>
      </w:pPr>
      <w:r>
        <w:t xml:space="preserve">Find candidate Penicillin BGCs in related fungi</w:t>
      </w:r>
    </w:p>
    <w:p>
      <w:pPr>
        <w:pStyle w:val="Compact"/>
        <w:numPr>
          <w:ilvl w:val="0"/>
          <w:numId w:val="1233"/>
        </w:numPr>
      </w:pPr>
      <w:r>
        <w:t xml:space="preserve">With our NRPS bait in hand, let’s try to fish out similar genes in related fungi! But before we do, do you have any hypotheses about how often it will be found?</w:t>
      </w:r>
    </w:p>
    <w:p>
      <w:pPr>
        <w:pStyle w:val="Compact"/>
        <w:numPr>
          <w:ilvl w:val="0"/>
          <w:numId w:val="1233"/>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33"/>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33"/>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33"/>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33"/>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33"/>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33"/>
        </w:numPr>
      </w:pPr>
      <w:r>
        <w:t xml:space="preserve">Can you find where hit quality begins to drop off? You can see by just looking at the top 10 that quality drops off really fast!</w:t>
      </w:r>
    </w:p>
    <w:p>
      <w:pPr>
        <w:pStyle w:val="Compact"/>
        <w:numPr>
          <w:ilvl w:val="0"/>
          <w:numId w:val="1233"/>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33"/>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33"/>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33"/>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33"/>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33"/>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33"/>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33"/>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33"/>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33"/>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33"/>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33"/>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28"/>
    <w:bookmarkEnd w:id="229"/>
    <w:bookmarkStart w:id="232" w:name="characterize-myco-ed-bgcs"/>
    <w:p>
      <w:pPr>
        <w:pStyle w:val="Heading3"/>
      </w:pPr>
      <w:r>
        <w:t xml:space="preserve">Characterize Myco-Ed BGCs</w:t>
      </w:r>
    </w:p>
    <w:bookmarkStart w:id="230"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34"/>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34"/>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34"/>
        </w:numPr>
      </w:pPr>
      <w:r>
        <w:t xml:space="preserve">Let’s set a goal to describe the distribution of fungal BGC backbone genes, following the same workflow you just did for penicillin.</w:t>
      </w:r>
    </w:p>
    <w:p>
      <w:pPr>
        <w:pStyle w:val="Compact"/>
        <w:numPr>
          <w:ilvl w:val="0"/>
          <w:numId w:val="1234"/>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34"/>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34"/>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34"/>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34"/>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34"/>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34"/>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30"/>
    <w:bookmarkStart w:id="231" w:name="annotate-them"/>
    <w:p>
      <w:pPr>
        <w:pStyle w:val="Heading4"/>
      </w:pPr>
      <w:r>
        <w:t xml:space="preserve">Annotate them!</w:t>
      </w:r>
    </w:p>
    <w:p>
      <w:pPr>
        <w:pStyle w:val="Compact"/>
        <w:numPr>
          <w:ilvl w:val="0"/>
          <w:numId w:val="1235"/>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3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35"/>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31"/>
    <w:bookmarkEnd w:id="232"/>
    <w:bookmarkEnd w:id="233"/>
    <w:bookmarkEnd w:id="234"/>
    <w:bookmarkStart w:id="236"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35">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36"/>
    <w:bookmarkStart w:id="237" w:name="carlos-c.-goller"/>
    <w:p>
      <w:pPr>
        <w:pStyle w:val="Heading1"/>
      </w:pPr>
      <w:r>
        <w:t xml:space="preserve">1. Carlos C. Goller</w:t>
      </w:r>
    </w:p>
    <w:bookmarkEnd w:id="237"/>
    <w:bookmarkStart w:id="240"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38"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38"/>
    <w:bookmarkStart w:id="239"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39"/>
    <w:bookmarkEnd w:id="240"/>
    <w:bookmarkStart w:id="247" w:name="references-2"/>
    <w:p>
      <w:pPr>
        <w:pStyle w:val="Heading1"/>
      </w:pPr>
      <w:r>
        <w:t xml:space="preserve">References</w:t>
      </w:r>
    </w:p>
    <w:bookmarkStart w:id="241" w:name="workbook-references"/>
    <w:p>
      <w:pPr>
        <w:pStyle w:val="Heading2"/>
      </w:pPr>
      <w:r>
        <w:t xml:space="preserve">Workbook References</w:t>
      </w:r>
    </w:p>
    <w:p>
      <w:pPr>
        <w:pStyle w:val="Compact"/>
        <w:numPr>
          <w:ilvl w:val="0"/>
          <w:numId w:val="1236"/>
        </w:numPr>
      </w:pPr>
      <w:r>
        <w:t xml:space="preserve">Honan, A., Wilson, A., Cobian, G., Branco, S., Mondo, S., Barry, K., Gremillion, S., Avis, P., Stewart, J., Dow, E., Knight, C., LaButti, K., Quandt, A., Talag, J., and Lofgren, L., 2025. Myco-Ed Protocols Booklet. protocols.io. https://doi.org/10.17504/protocols.io.rm7vzqd5xvx1/v1</w:t>
      </w:r>
    </w:p>
    <w:bookmarkEnd w:id="241"/>
    <w:bookmarkStart w:id="246" w:name="module-7.1-references"/>
    <w:p>
      <w:pPr>
        <w:pStyle w:val="Heading2"/>
      </w:pPr>
      <w:r>
        <w:t xml:space="preserve">Module 7.1 References</w:t>
      </w:r>
    </w:p>
    <w:p>
      <w:pPr>
        <w:pStyle w:val="Compact"/>
        <w:numPr>
          <w:ilvl w:val="0"/>
          <w:numId w:val="1237"/>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37"/>
        </w:numPr>
      </w:pPr>
      <w:r>
        <w:t xml:space="preserve">Cambareri, E.B., Singer, M.J., Selker, E.U., 1991. Recurrence of repeat-induced point mutation (RIP) in Neurospora crassa. Genetics, 127(4): 699-710. https://doi.org/10.1093/genetics/127.4.699</w:t>
      </w:r>
    </w:p>
    <w:p>
      <w:pPr>
        <w:pStyle w:val="Compact"/>
        <w:numPr>
          <w:ilvl w:val="0"/>
          <w:numId w:val="1237"/>
        </w:numPr>
      </w:pPr>
      <w:r>
        <w:t xml:space="preserve">Metzenberg, R.L., Glass, N.L., 1990. Mating type and mating strategies in Neurospora. BioEssays, 12(2): 53-59. https://doi.org/10.1002/bies.950120202</w:t>
      </w:r>
    </w:p>
    <w:bookmarkStart w:id="245" w:name="refs"/>
    <w:bookmarkStart w:id="24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42"/>
    <w:bookmarkStart w:id="244"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43">
        <w:r>
          <w:rPr>
            <w:rStyle w:val="Hyperlink"/>
          </w:rPr>
          <w:t xml:space="preserve">https://doi.org/10.17504/protocols.io.rm7vzqd5xvx1/v1</w:t>
        </w:r>
      </w:hyperlink>
      <w:r>
        <w:t xml:space="preserve">.</w:t>
      </w:r>
    </w:p>
    <w:bookmarkEnd w:id="244"/>
    <w:bookmarkEnd w:id="245"/>
    <w:bookmarkEnd w:id="246"/>
    <w:bookmarkEnd w:id="2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27" Target="media/rId127.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4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3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55"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4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3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55"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2026-05-31T17:29:48Z</dcterms:created>
  <dcterms:modified xsi:type="dcterms:W3CDTF">2026-05-31T17:29:48Z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