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Start w:id="13" w:name="module-slides"/>
    <w:p>
      <w:pPr>
        <w:pStyle w:val="Heading2"/>
      </w:pPr>
      <w:r>
        <w:t xml:space="preserve">Module Slides</w:t>
      </w:r>
    </w:p>
    <w:p>
      <w:pPr>
        <w:pStyle w:val="Compact"/>
        <w:numPr>
          <w:ilvl w:val="0"/>
          <w:numId w:val="1001"/>
        </w:numPr>
      </w:pPr>
      <w:hyperlink r:id="rId11">
        <w:r>
          <w:rPr>
            <w:rStyle w:val="Hyperlink"/>
          </w:rPr>
          <w:t xml:space="preserve">Module 1 Slides</w:t>
        </w:r>
      </w:hyperlink>
    </w:p>
    <w:p>
      <w:pPr>
        <w:pStyle w:val="Compact"/>
        <w:numPr>
          <w:ilvl w:val="0"/>
          <w:numId w:val="1001"/>
        </w:numPr>
      </w:pPr>
      <w:hyperlink r:id="rId12">
        <w:r>
          <w:rPr>
            <w:rStyle w:val="Hyperlink"/>
          </w:rPr>
          <w:t xml:space="preserve">Module 2 Slides</w:t>
        </w:r>
      </w:hyperlink>
    </w:p>
    <w:bookmarkEnd w:id="13"/>
    <w:bookmarkEnd w:id="14"/>
    <w:bookmarkStart w:id="15"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5"/>
    <w:bookmarkStart w:id="33" w:name="Xb6a9464ee45b88b34e73bee5db9cbd7a5932867"/>
    <w:p>
      <w:pPr>
        <w:pStyle w:val="Heading1"/>
      </w:pPr>
      <w:r>
        <w:t xml:space="preserve">2. Module 0: Getting Started and Data Management [Instructor Instructions]</w:t>
      </w:r>
    </w:p>
    <w:bookmarkStart w:id="23"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6"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16"/>
    <w:bookmarkStart w:id="17"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17"/>
    <w:bookmarkStart w:id="18"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8"/>
    <w:bookmarkStart w:id="19"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9"/>
    <w:bookmarkStart w:id="20"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0"/>
    <w:bookmarkStart w:id="21"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1"/>
    <w:bookmarkStart w:id="22"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2"/>
    <w:bookmarkEnd w:id="23"/>
    <w:bookmarkStart w:id="28" w:name="Xcbdbfd15cc4383fe5deee011eccaab33ef2e95c"/>
    <w:p>
      <w:pPr>
        <w:pStyle w:val="Heading2"/>
      </w:pPr>
      <w:r>
        <w:t xml:space="preserve">2.2 Module 0.2 – Create iNaturalist Traditional Project Instructions</w:t>
      </w:r>
    </w:p>
    <w:bookmarkStart w:id="24"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4"/>
    <w:bookmarkStart w:id="25"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5"/>
    <w:bookmarkStart w:id="26"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6"/>
    <w:bookmarkStart w:id="27"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7"/>
    <w:bookmarkEnd w:id="28"/>
    <w:bookmarkStart w:id="32" w:name="module-0.3-inaturalist-checklist"/>
    <w:p>
      <w:pPr>
        <w:pStyle w:val="Heading2"/>
      </w:pPr>
      <w:r>
        <w:t xml:space="preserve">2.3 Module 0.3 – iNaturalist Checklist</w:t>
      </w:r>
    </w:p>
    <w:bookmarkStart w:id="31"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9"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29"/>
    <w:bookmarkStart w:id="30"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 ] Create an iNaturalist Account.</w:t>
      </w:r>
      <w:r>
        <w:t xml:space="preserve"> </w:t>
      </w:r>
      <w:r>
        <w:t xml:space="preserve">- [ ] Get the iNaturalist App for your phone</w:t>
      </w:r>
      <w:r>
        <w:t xml:space="preserve"> </w:t>
      </w:r>
      <w:r>
        <w:t xml:space="preserve">- [ ] Give your instructor your iNaturalist User Name.</w:t>
      </w:r>
      <w:r>
        <w:t xml:space="preserve"> </w:t>
      </w:r>
      <w:r>
        <w:t xml:space="preserve">- [ ] Update your real name under your account settings.</w:t>
      </w:r>
      <w:r>
        <w:t xml:space="preserve"> </w:t>
      </w:r>
      <w:r>
        <w:t xml:space="preserve">- [ ] Watch some videos and tutorials.</w:t>
      </w:r>
      <w:r>
        <w:t xml:space="preserve"> </w:t>
      </w:r>
      <w:r>
        <w:t xml:space="preserve">- [ ] Join the course project once you receive an invitation from the instructor/TA.</w:t>
      </w:r>
    </w:p>
    <w:p>
      <w:pPr>
        <w:pStyle w:val="BodyText"/>
      </w:pPr>
      <w:r>
        <w:rPr>
          <w:b/>
          <w:bCs/>
        </w:rPr>
        <w:t xml:space="preserve">Make an Observation (Module 1.2)</w:t>
      </w:r>
      <w:r>
        <w:t xml:space="preserve"> </w:t>
      </w:r>
      <w:r>
        <w:t xml:space="preserve">- [ ] Take multiple images of the plant host (or habitat photos of the environment) and include at least one image with a unique field number. (e.g., MycoEd_004)</w:t>
      </w:r>
      <w:r>
        <w:t xml:space="preserve"> </w:t>
      </w:r>
      <w:r>
        <w:t xml:space="preserve">- [ ] Add the observation to your course project.</w:t>
      </w:r>
      <w:r>
        <w:t xml:space="preserve"> </w:t>
      </w:r>
      <w:r>
        <w:t xml:space="preserve">- [ ] Save and upload the observation to the cloud once you’re connected to wifi.</w:t>
      </w:r>
      <w:r>
        <w:t xml:space="preserve"> </w:t>
      </w:r>
      <w:r>
        <w:t xml:space="preserve">- [ ] Add Observation Field for MycoEd ID.</w:t>
      </w:r>
      <w:r>
        <w:t xml:space="preserve"> </w:t>
      </w:r>
      <w:r>
        <w:t xml:space="preserve">- [ ] Add Observation Field for DNA Barcode ITS once you have DNA sequence data.</w:t>
      </w:r>
      <w:r>
        <w:t xml:space="preserve"> </w:t>
      </w:r>
      <w:r>
        <w:t xml:space="preserve">- [ ] Update the name of fungal isolates using DNA sequence BLAST results.</w:t>
      </w:r>
      <w:r>
        <w:t xml:space="preserve"> </w:t>
      </w:r>
      <w:r>
        <w:t xml:space="preserve">- [ ] Add Observation Field for Host Observation for fungal isolates linking to the original host on iNaturalist.</w:t>
      </w:r>
    </w:p>
    <w:bookmarkEnd w:id="30"/>
    <w:bookmarkEnd w:id="31"/>
    <w:bookmarkEnd w:id="32"/>
    <w:bookmarkEnd w:id="33"/>
    <w:bookmarkStart w:id="56" w:name="module-1-fungal-sampling"/>
    <w:p>
      <w:pPr>
        <w:pStyle w:val="Heading1"/>
      </w:pPr>
      <w:r>
        <w:t xml:space="preserve">3. Module 1: Fungal Sampling</w:t>
      </w:r>
    </w:p>
    <w:bookmarkStart w:id="38" w:name="module-1.1-lab-prep-overview"/>
    <w:p>
      <w:pPr>
        <w:pStyle w:val="Heading2"/>
      </w:pPr>
      <w:r>
        <w:t xml:space="preserve">3.1 Module 1.1 – Lab Prep Overview</w:t>
      </w:r>
    </w:p>
    <w:bookmarkStart w:id="37"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7"/>
    <w:bookmarkEnd w:id="38"/>
    <w:bookmarkStart w:id="45" w:name="module-1.2-metadata-directions"/>
    <w:p>
      <w:pPr>
        <w:pStyle w:val="Heading2"/>
      </w:pPr>
      <w:r>
        <w:t xml:space="preserve">3.2 Module 1.2 – Metadata Directions</w:t>
      </w:r>
    </w:p>
    <w:bookmarkStart w:id="39"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9"/>
    <w:bookmarkStart w:id="40" w:name="inaturalist-plant-observation"/>
    <w:p>
      <w:pPr>
        <w:pStyle w:val="Heading3"/>
      </w:pPr>
      <w:r>
        <w:t xml:space="preserve">3.2.2 iNaturalist plant observation:</w:t>
      </w:r>
    </w:p>
    <w:p>
      <w:pPr>
        <w:pStyle w:val="FirstParagraph"/>
      </w:pPr>
      <w:r>
        <w:t xml:space="preserve">Provide the URL link for your iNaturalist plant observation.</w:t>
      </w:r>
    </w:p>
    <w:bookmarkEnd w:id="40"/>
    <w:bookmarkStart w:id="41"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1"/>
    <w:bookmarkStart w:id="42"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2"/>
    <w:bookmarkStart w:id="43"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3"/>
    <w:bookmarkStart w:id="44"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4"/>
    <w:bookmarkEnd w:id="45"/>
    <w:bookmarkStart w:id="52" w:name="Xb4fb397bd02a3abfe006792dec75e7bd20d5dfd"/>
    <w:p>
      <w:pPr>
        <w:pStyle w:val="Heading2"/>
      </w:pPr>
      <w:r>
        <w:t xml:space="preserve">3.3 Module 1.3 - Fungal Sampling and Culturing</w:t>
      </w:r>
    </w:p>
    <w:bookmarkStart w:id="46"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6"/>
    <w:bookmarkStart w:id="47"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7"/>
    <w:bookmarkStart w:id="48" w:name="learning-goals"/>
    <w:p>
      <w:pPr>
        <w:pStyle w:val="Heading3"/>
      </w:pPr>
      <w:r>
        <w:t xml:space="preserve">3.3.3 Learning Goals</w:t>
      </w:r>
    </w:p>
    <w:p>
      <w:pPr>
        <w:pStyle w:val="Compact"/>
        <w:numPr>
          <w:ilvl w:val="0"/>
          <w:numId w:val="1020"/>
        </w:numPr>
      </w:pPr>
      <w:r>
        <w:t xml:space="preserve">Documentation using iNaturalist</w:t>
      </w:r>
    </w:p>
    <w:p>
      <w:pPr>
        <w:pStyle w:val="Compact"/>
        <w:numPr>
          <w:ilvl w:val="0"/>
          <w:numId w:val="1020"/>
        </w:numPr>
      </w:pPr>
      <w:r>
        <w:t xml:space="preserve">Practice sterile technique</w:t>
      </w:r>
    </w:p>
    <w:p>
      <w:pPr>
        <w:pStyle w:val="Compact"/>
        <w:numPr>
          <w:ilvl w:val="0"/>
          <w:numId w:val="1020"/>
        </w:numPr>
      </w:pPr>
      <w:r>
        <w:t xml:space="preserve">Culture and isolate fungi</w:t>
      </w:r>
    </w:p>
    <w:p>
      <w:pPr>
        <w:pStyle w:val="Compact"/>
        <w:numPr>
          <w:ilvl w:val="0"/>
          <w:numId w:val="1020"/>
        </w:numPr>
      </w:pPr>
      <w:r>
        <w:t xml:space="preserve">Investigate fungal endophytes</w:t>
      </w:r>
    </w:p>
    <w:p>
      <w:pPr>
        <w:pStyle w:val="Compact"/>
        <w:numPr>
          <w:ilvl w:val="0"/>
          <w:numId w:val="1020"/>
        </w:numPr>
      </w:pPr>
      <w:r>
        <w:t xml:space="preserve">Characterize morphology of fungal cultures</w:t>
      </w:r>
    </w:p>
    <w:bookmarkEnd w:id="48"/>
    <w:bookmarkStart w:id="49" w:name="student-lab-supplies"/>
    <w:p>
      <w:pPr>
        <w:pStyle w:val="Heading3"/>
      </w:pPr>
      <w:r>
        <w:t xml:space="preserve">3.3.4 Student Lab Supplies</w:t>
      </w:r>
    </w:p>
    <w:p>
      <w:pPr>
        <w:pStyle w:val="Compact"/>
        <w:numPr>
          <w:ilvl w:val="0"/>
          <w:numId w:val="1021"/>
        </w:numPr>
      </w:pPr>
      <w:r>
        <w:t xml:space="preserve">3 large water agar Petri plates - these are for initial isolation</w:t>
      </w:r>
    </w:p>
    <w:p>
      <w:pPr>
        <w:pStyle w:val="Compact"/>
        <w:numPr>
          <w:ilvl w:val="0"/>
          <w:numId w:val="1021"/>
        </w:numPr>
      </w:pPr>
      <w:r>
        <w:t xml:space="preserve">Sharpie</w:t>
      </w:r>
    </w:p>
    <w:p>
      <w:pPr>
        <w:pStyle w:val="Compact"/>
        <w:numPr>
          <w:ilvl w:val="0"/>
          <w:numId w:val="1021"/>
        </w:numPr>
      </w:pPr>
      <w:r>
        <w:t xml:space="preserve">Parafilm</w:t>
      </w:r>
    </w:p>
    <w:p>
      <w:pPr>
        <w:pStyle w:val="Compact"/>
        <w:numPr>
          <w:ilvl w:val="0"/>
          <w:numId w:val="1021"/>
        </w:numPr>
      </w:pPr>
      <w:r>
        <w:t xml:space="preserve">Paper towels</w:t>
      </w:r>
    </w:p>
    <w:p>
      <w:pPr>
        <w:pStyle w:val="Compact"/>
        <w:numPr>
          <w:ilvl w:val="0"/>
          <w:numId w:val="1021"/>
        </w:numPr>
      </w:pPr>
      <w:r>
        <w:t xml:space="preserve">Gloves</w:t>
      </w:r>
    </w:p>
    <w:p>
      <w:pPr>
        <w:pStyle w:val="Compact"/>
        <w:numPr>
          <w:ilvl w:val="0"/>
          <w:numId w:val="1021"/>
        </w:numPr>
      </w:pPr>
      <w:r>
        <w:t xml:space="preserve">Bleach</w:t>
      </w:r>
    </w:p>
    <w:p>
      <w:pPr>
        <w:pStyle w:val="Compact"/>
        <w:numPr>
          <w:ilvl w:val="0"/>
          <w:numId w:val="1021"/>
        </w:numPr>
      </w:pPr>
      <w:r>
        <w:t xml:space="preserve">Ethanol</w:t>
      </w:r>
    </w:p>
    <w:p>
      <w:pPr>
        <w:pStyle w:val="Compact"/>
        <w:numPr>
          <w:ilvl w:val="0"/>
          <w:numId w:val="1021"/>
        </w:numPr>
      </w:pPr>
      <w:r>
        <w:t xml:space="preserve">Scalpel</w:t>
      </w:r>
    </w:p>
    <w:p>
      <w:pPr>
        <w:pStyle w:val="Compact"/>
        <w:numPr>
          <w:ilvl w:val="0"/>
          <w:numId w:val="1021"/>
        </w:numPr>
      </w:pPr>
      <w:r>
        <w:t xml:space="preserve">Metal hole punch</w:t>
      </w:r>
    </w:p>
    <w:p>
      <w:pPr>
        <w:pStyle w:val="Compact"/>
        <w:numPr>
          <w:ilvl w:val="0"/>
          <w:numId w:val="1021"/>
        </w:numPr>
      </w:pPr>
      <w:r>
        <w:t xml:space="preserve">Forceps</w:t>
      </w:r>
    </w:p>
    <w:bookmarkEnd w:id="49"/>
    <w:bookmarkStart w:id="51" w:name="instructions"/>
    <w:p>
      <w:pPr>
        <w:pStyle w:val="Heading3"/>
      </w:pPr>
      <w:r>
        <w:t xml:space="preserve">3.3.5 Instructions</w:t>
      </w:r>
    </w:p>
    <w:bookmarkStart w:id="50"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22"/>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22"/>
        </w:numPr>
      </w:pPr>
      <w:r>
        <w:t xml:space="preserve">Sterilize tools (scalpel or hole punch and forceps)</w:t>
      </w:r>
    </w:p>
    <w:p>
      <w:pPr>
        <w:pStyle w:val="Compact"/>
        <w:numPr>
          <w:ilvl w:val="1"/>
          <w:numId w:val="1023"/>
        </w:numPr>
      </w:pPr>
      <w:r>
        <w:t xml:space="preserve">Heat your tool using a flame (candle, alcohol lamp, torch, or something similar).</w:t>
      </w:r>
    </w:p>
    <w:p>
      <w:pPr>
        <w:pStyle w:val="Compact"/>
        <w:numPr>
          <w:ilvl w:val="1"/>
          <w:numId w:val="1023"/>
        </w:numPr>
      </w:pPr>
      <w:r>
        <w:t xml:space="preserve">Let cool – you can dip the tool (scalpel or hole punch) into the bleach solution to cool.</w:t>
      </w:r>
    </w:p>
    <w:p>
      <w:pPr>
        <w:pStyle w:val="Compact"/>
        <w:numPr>
          <w:ilvl w:val="0"/>
          <w:numId w:val="1022"/>
        </w:numPr>
      </w:pPr>
      <w:r>
        <w:t xml:space="preserve">Cut leaf tissues. You may take as many cuttings from each leaf as desired. Be sure to label cuttings appropriately as described above. Cuttings should be ~1 cm.</w:t>
      </w:r>
    </w:p>
    <w:p>
      <w:pPr>
        <w:pStyle w:val="Compact"/>
        <w:numPr>
          <w:ilvl w:val="0"/>
          <w:numId w:val="1022"/>
        </w:numPr>
      </w:pPr>
      <w:r>
        <w:t xml:space="preserve">Surface sterilize leaf tissue. Using sterilized forceps (heat and cool as above), immerse each cutting in 10% bleach solution for 10 seconds.</w:t>
      </w:r>
    </w:p>
    <w:p>
      <w:pPr>
        <w:pStyle w:val="Compact"/>
        <w:numPr>
          <w:ilvl w:val="1"/>
          <w:numId w:val="1024"/>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24"/>
        </w:numPr>
      </w:pPr>
      <w:r>
        <w:t xml:space="preserve">Mix 1ml (1/4 teaspoon) household bleach with 500 ml (2 cups) sterilized water.</w:t>
      </w:r>
    </w:p>
    <w:p>
      <w:pPr>
        <w:pStyle w:val="Compact"/>
        <w:numPr>
          <w:ilvl w:val="0"/>
          <w:numId w:val="1022"/>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22"/>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22"/>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22"/>
        </w:numPr>
      </w:pPr>
      <w:r>
        <w:t xml:space="preserve">Incubate at room temperature in the dark and examine for growth each day.</w:t>
      </w:r>
    </w:p>
    <w:bookmarkEnd w:id="50"/>
    <w:bookmarkEnd w:id="51"/>
    <w:bookmarkEnd w:id="52"/>
    <w:bookmarkStart w:id="55" w:name="module-1.4-using-inaturalist"/>
    <w:p>
      <w:pPr>
        <w:pStyle w:val="Heading2"/>
      </w:pPr>
      <w:r>
        <w:t xml:space="preserve">3.4 Module 1.4 – Using iNaturalist</w:t>
      </w:r>
    </w:p>
    <w:bookmarkStart w:id="53"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3"/>
    <w:bookmarkStart w:id="54"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5"/>
        </w:numPr>
      </w:pPr>
      <w:r>
        <w:t xml:space="preserve">Open your iNaturalist Application.</w:t>
      </w:r>
    </w:p>
    <w:p>
      <w:pPr>
        <w:pStyle w:val="Compact"/>
        <w:numPr>
          <w:ilvl w:val="1"/>
          <w:numId w:val="1026"/>
        </w:numPr>
      </w:pPr>
      <w:r>
        <w:t xml:space="preserve">Alternatively, take images on your phone and upload them to iNaturalist.</w:t>
      </w:r>
    </w:p>
    <w:p>
      <w:pPr>
        <w:pStyle w:val="Compact"/>
        <w:numPr>
          <w:ilvl w:val="0"/>
          <w:numId w:val="1025"/>
        </w:numPr>
      </w:pPr>
      <w:r>
        <w:t xml:space="preserve">Make an observation of the fungal isolate by taking a picture of it.</w:t>
      </w:r>
    </w:p>
    <w:p>
      <w:pPr>
        <w:pStyle w:val="Compact"/>
        <w:numPr>
          <w:ilvl w:val="1"/>
          <w:numId w:val="1027"/>
        </w:numPr>
      </w:pPr>
      <w:r>
        <w:t xml:space="preserve">Take pictures from the top and bottom, including the label.</w:t>
      </w:r>
    </w:p>
    <w:p>
      <w:pPr>
        <w:pStyle w:val="Compact"/>
        <w:numPr>
          <w:ilvl w:val="0"/>
          <w:numId w:val="1025"/>
        </w:numPr>
      </w:pPr>
      <w:r>
        <w:t xml:space="preserve">Before saving the observation, add it to your course project using the app.</w:t>
      </w:r>
    </w:p>
    <w:p>
      <w:pPr>
        <w:pStyle w:val="Compact"/>
        <w:numPr>
          <w:ilvl w:val="1"/>
          <w:numId w:val="1028"/>
        </w:numPr>
      </w:pPr>
      <w:r>
        <w:t xml:space="preserve">Follow the instructions detailed above.</w:t>
      </w:r>
    </w:p>
    <w:p>
      <w:pPr>
        <w:pStyle w:val="Compact"/>
        <w:numPr>
          <w:ilvl w:val="0"/>
          <w:numId w:val="1025"/>
        </w:numPr>
      </w:pPr>
      <w:r>
        <w:t xml:space="preserve">Click Done to save your observation.</w:t>
      </w:r>
    </w:p>
    <w:p>
      <w:pPr>
        <w:pStyle w:val="Compact"/>
        <w:numPr>
          <w:ilvl w:val="0"/>
          <w:numId w:val="1025"/>
        </w:numPr>
      </w:pPr>
      <w:r>
        <w:t xml:space="preserve">Manually upload your observation. This will appear green on your phone until it is uploaded.</w:t>
      </w:r>
    </w:p>
    <w:p>
      <w:pPr>
        <w:pStyle w:val="Compact"/>
        <w:numPr>
          <w:ilvl w:val="0"/>
          <w:numId w:val="1025"/>
        </w:numPr>
      </w:pPr>
      <w:r>
        <w:t xml:space="preserve">Double-check your observation online.</w:t>
      </w:r>
    </w:p>
    <w:p>
      <w:pPr>
        <w:pStyle w:val="Compact"/>
        <w:numPr>
          <w:ilvl w:val="1"/>
          <w:numId w:val="1029"/>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4"/>
    <w:bookmarkEnd w:id="55"/>
    <w:bookmarkEnd w:id="56"/>
    <w:bookmarkStart w:id="74" w:name="module-2-fungal-isolation"/>
    <w:p>
      <w:pPr>
        <w:pStyle w:val="Heading1"/>
      </w:pPr>
      <w:r>
        <w:t xml:space="preserve">4. Module 2: Fungal Isolation</w:t>
      </w:r>
    </w:p>
    <w:bookmarkStart w:id="63" w:name="module-2.1-lab-prep-overview"/>
    <w:p>
      <w:pPr>
        <w:pStyle w:val="Heading2"/>
      </w:pPr>
      <w:r>
        <w:t xml:space="preserve">4.1 Module 2.1 – Lab Prep Overview</w:t>
      </w:r>
    </w:p>
    <w:bookmarkStart w:id="62"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warning.png" id="5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2"/>
    <w:bookmarkEnd w:id="63"/>
    <w:bookmarkStart w:id="73" w:name="module-2.2---fungal-isolation"/>
    <w:p>
      <w:pPr>
        <w:pStyle w:val="Heading2"/>
      </w:pPr>
      <w:r>
        <w:t xml:space="preserve">4.2 Module 2.2 - Fungal Isolation</w:t>
      </w:r>
    </w:p>
    <w:bookmarkStart w:id="64"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4"/>
    <w:bookmarkStart w:id="65"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5"/>
    <w:bookmarkStart w:id="66" w:name="learning-goals-1"/>
    <w:p>
      <w:pPr>
        <w:pStyle w:val="Heading3"/>
      </w:pPr>
      <w:r>
        <w:t xml:space="preserve">4.2.3 Learning Goals</w:t>
      </w:r>
    </w:p>
    <w:p>
      <w:pPr>
        <w:pStyle w:val="Compact"/>
        <w:numPr>
          <w:ilvl w:val="0"/>
          <w:numId w:val="1030"/>
        </w:numPr>
      </w:pPr>
      <w:r>
        <w:t xml:space="preserve">Practice sterile technique</w:t>
      </w:r>
    </w:p>
    <w:p>
      <w:pPr>
        <w:pStyle w:val="Compact"/>
        <w:numPr>
          <w:ilvl w:val="0"/>
          <w:numId w:val="1030"/>
        </w:numPr>
      </w:pPr>
      <w:r>
        <w:t xml:space="preserve">Culture and isolate fungi</w:t>
      </w:r>
    </w:p>
    <w:p>
      <w:pPr>
        <w:pStyle w:val="Compact"/>
        <w:numPr>
          <w:ilvl w:val="0"/>
          <w:numId w:val="1030"/>
        </w:numPr>
      </w:pPr>
      <w:r>
        <w:t xml:space="preserve">Investigate fungal endophytes</w:t>
      </w:r>
    </w:p>
    <w:p>
      <w:pPr>
        <w:pStyle w:val="Compact"/>
        <w:numPr>
          <w:ilvl w:val="0"/>
          <w:numId w:val="1030"/>
        </w:numPr>
      </w:pPr>
      <w:r>
        <w:t xml:space="preserve">Characterize morphology of fungal cultures</w:t>
      </w:r>
    </w:p>
    <w:p>
      <w:pPr>
        <w:pStyle w:val="Compact"/>
        <w:numPr>
          <w:ilvl w:val="0"/>
          <w:numId w:val="1030"/>
        </w:numPr>
      </w:pPr>
      <w:r>
        <w:t xml:space="preserve">Create data spreadsheets</w:t>
      </w:r>
    </w:p>
    <w:p>
      <w:pPr>
        <w:pStyle w:val="Compact"/>
        <w:numPr>
          <w:ilvl w:val="0"/>
          <w:numId w:val="1030"/>
        </w:numPr>
      </w:pPr>
      <w:r>
        <w:t xml:space="preserve">Isolate fungi for molecular extraction and analysis</w:t>
      </w:r>
    </w:p>
    <w:p>
      <w:pPr>
        <w:pStyle w:val="Compact"/>
        <w:numPr>
          <w:ilvl w:val="0"/>
          <w:numId w:val="1030"/>
        </w:numPr>
      </w:pPr>
      <w:r>
        <w:t xml:space="preserve">Create Growth Curves</w:t>
      </w:r>
    </w:p>
    <w:bookmarkEnd w:id="66"/>
    <w:bookmarkStart w:id="67" w:name="student-lab-supplies-1"/>
    <w:p>
      <w:pPr>
        <w:pStyle w:val="Heading3"/>
      </w:pPr>
      <w:r>
        <w:t xml:space="preserve">4.2.4 Student Lab Supplies</w:t>
      </w:r>
    </w:p>
    <w:p>
      <w:pPr>
        <w:pStyle w:val="Compact"/>
        <w:numPr>
          <w:ilvl w:val="0"/>
          <w:numId w:val="1031"/>
        </w:numPr>
      </w:pPr>
      <w:r>
        <w:t xml:space="preserve">Fungal Endophyte Sample Plates</w:t>
      </w:r>
    </w:p>
    <w:p>
      <w:pPr>
        <w:pStyle w:val="Compact"/>
        <w:numPr>
          <w:ilvl w:val="0"/>
          <w:numId w:val="1031"/>
        </w:numPr>
      </w:pPr>
      <w:r>
        <w:t xml:space="preserve">PDA Plates (60x15mm)</w:t>
      </w:r>
    </w:p>
    <w:p>
      <w:pPr>
        <w:pStyle w:val="Compact"/>
        <w:numPr>
          <w:ilvl w:val="0"/>
          <w:numId w:val="1031"/>
        </w:numPr>
      </w:pPr>
      <w:r>
        <w:t xml:space="preserve">70% ethanol</w:t>
      </w:r>
    </w:p>
    <w:p>
      <w:pPr>
        <w:pStyle w:val="Compact"/>
        <w:numPr>
          <w:ilvl w:val="0"/>
          <w:numId w:val="1031"/>
        </w:numPr>
      </w:pPr>
      <w:r>
        <w:t xml:space="preserve">Kimwipes and Paper Towels</w:t>
      </w:r>
    </w:p>
    <w:p>
      <w:pPr>
        <w:pStyle w:val="Compact"/>
        <w:numPr>
          <w:ilvl w:val="0"/>
          <w:numId w:val="1031"/>
        </w:numPr>
      </w:pPr>
      <w:r>
        <w:t xml:space="preserve">Parafilm</w:t>
      </w:r>
    </w:p>
    <w:p>
      <w:pPr>
        <w:pStyle w:val="Compact"/>
        <w:numPr>
          <w:ilvl w:val="0"/>
          <w:numId w:val="1031"/>
        </w:numPr>
      </w:pPr>
      <w:r>
        <w:t xml:space="preserve">Fine Tip Sharpie</w:t>
      </w:r>
    </w:p>
    <w:p>
      <w:pPr>
        <w:pStyle w:val="Compact"/>
        <w:numPr>
          <w:ilvl w:val="0"/>
          <w:numId w:val="1031"/>
        </w:numPr>
      </w:pPr>
      <w:r>
        <w:t xml:space="preserve">Flame Source for Sterilization (alcohol lamp or Bunsen burner)</w:t>
      </w:r>
    </w:p>
    <w:p>
      <w:pPr>
        <w:pStyle w:val="Compact"/>
        <w:numPr>
          <w:ilvl w:val="0"/>
          <w:numId w:val="1031"/>
        </w:numPr>
      </w:pPr>
      <w:r>
        <w:t xml:space="preserve">Scalpel</w:t>
      </w:r>
    </w:p>
    <w:p>
      <w:pPr>
        <w:pStyle w:val="Compact"/>
        <w:numPr>
          <w:ilvl w:val="0"/>
          <w:numId w:val="1031"/>
        </w:numPr>
      </w:pPr>
      <w:r>
        <w:t xml:space="preserve">Ruler</w:t>
      </w:r>
    </w:p>
    <w:p>
      <w:pPr>
        <w:pStyle w:val="Compact"/>
        <w:numPr>
          <w:ilvl w:val="0"/>
          <w:numId w:val="1031"/>
        </w:numPr>
      </w:pPr>
      <w:r>
        <w:t xml:space="preserve">Forceps</w:t>
      </w:r>
    </w:p>
    <w:bookmarkEnd w:id="67"/>
    <w:bookmarkStart w:id="72" w:name="instructions-1"/>
    <w:p>
      <w:pPr>
        <w:pStyle w:val="Heading3"/>
      </w:pPr>
      <w:r>
        <w:t xml:space="preserve">4.2.5 Instructions</w:t>
      </w:r>
    </w:p>
    <w:bookmarkStart w:id="70"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32"/>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32"/>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32"/>
        </w:numPr>
      </w:pPr>
      <w:r>
        <w:t xml:space="preserve">Sterilize the scalpel using flame and let cool. You can touch your scalpel to the agar in the petri dish to cool.</w:t>
      </w:r>
    </w:p>
    <w:p>
      <w:pPr>
        <w:pStyle w:val="Compact"/>
        <w:numPr>
          <w:ilvl w:val="0"/>
          <w:numId w:val="1032"/>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33"/>
        </w:numPr>
      </w:pPr>
      <w:r>
        <w:t xml:space="preserve">Work quickly and cleanly and consider your technique to prevent contamination. Remove Parafilm from the water agar plate.</w:t>
      </w:r>
    </w:p>
    <w:p>
      <w:pPr>
        <w:pStyle w:val="Compact"/>
        <w:numPr>
          <w:ilvl w:val="1"/>
          <w:numId w:val="1033"/>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33"/>
        </w:numPr>
      </w:pPr>
      <w:r>
        <w:t xml:space="preserve">Using a cooled sterile scalpel remove the chunk of agar from the target fungal isolate.</w:t>
      </w:r>
    </w:p>
    <w:p>
      <w:pPr>
        <w:pStyle w:val="Compact"/>
        <w:numPr>
          <w:ilvl w:val="1"/>
          <w:numId w:val="1033"/>
        </w:numPr>
      </w:pPr>
      <w:r>
        <w:t xml:space="preserve">Replace the lid of the water agar.</w:t>
      </w:r>
    </w:p>
    <w:p>
      <w:pPr>
        <w:pStyle w:val="Compact"/>
        <w:numPr>
          <w:ilvl w:val="1"/>
          <w:numId w:val="1033"/>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33"/>
        </w:numPr>
      </w:pPr>
      <w:r>
        <w:t xml:space="preserve">Close the lid of the PDA petri dish lid as quickly as possible. Seal with parafilm.</w:t>
      </w:r>
    </w:p>
    <w:bookmarkEnd w:id="70"/>
    <w:bookmarkStart w:id="71" w:name="part-ii-measuring-growth-rates"/>
    <w:p>
      <w:pPr>
        <w:pStyle w:val="Heading4"/>
      </w:pPr>
      <w:r>
        <w:t xml:space="preserve">4.2.5.2 Part II – Measuring Growth Rates</w:t>
      </w:r>
    </w:p>
    <w:p>
      <w:pPr>
        <w:pStyle w:val="Compact"/>
        <w:numPr>
          <w:ilvl w:val="0"/>
          <w:numId w:val="1034"/>
        </w:numPr>
      </w:pPr>
      <w:r>
        <w:t xml:space="preserve">Design a data sheet to record growth.</w:t>
      </w:r>
    </w:p>
    <w:p>
      <w:pPr>
        <w:pStyle w:val="Compact"/>
        <w:numPr>
          <w:ilvl w:val="0"/>
          <w:numId w:val="1034"/>
        </w:numPr>
      </w:pPr>
      <w:r>
        <w:t xml:space="preserve">On the bottom of the plate, trace the edge of your fungal culture using a fine-tip sharpie (Figures 3 and 4).</w:t>
      </w:r>
    </w:p>
    <w:p>
      <w:pPr>
        <w:pStyle w:val="Compact"/>
        <w:numPr>
          <w:ilvl w:val="0"/>
          <w:numId w:val="1034"/>
        </w:numPr>
      </w:pPr>
      <w:r>
        <w:t xml:space="preserve">Measure, in mm, new growth at each of the eight edges along the lines (Figures 3 and 4)</w:t>
      </w:r>
    </w:p>
    <w:p>
      <w:pPr>
        <w:pStyle w:val="Compact"/>
        <w:numPr>
          <w:ilvl w:val="0"/>
          <w:numId w:val="1034"/>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5"/>
        </w:numPr>
      </w:pPr>
      <w:r>
        <w:t xml:space="preserve">Continue to measure average growth in mm 7 days from plating (Figure 4).</w:t>
      </w:r>
    </w:p>
    <w:p>
      <w:pPr>
        <w:pStyle w:val="Compact"/>
        <w:numPr>
          <w:ilvl w:val="0"/>
          <w:numId w:val="1035"/>
        </w:numPr>
      </w:pPr>
      <w:r>
        <w:t xml:space="preserve">Calculate the average growth rate (distance/time).</w:t>
      </w:r>
    </w:p>
    <w:p>
      <w:pPr>
        <w:pStyle w:val="Compact"/>
        <w:numPr>
          <w:ilvl w:val="0"/>
          <w:numId w:val="1035"/>
        </w:numPr>
      </w:pPr>
      <w:r>
        <w:t xml:space="preserve">Plot a graph of your fungal isolate(s) growth rate.</w:t>
      </w:r>
    </w:p>
    <w:p>
      <w:pPr>
        <w:pStyle w:val="Compact"/>
        <w:numPr>
          <w:ilvl w:val="0"/>
          <w:numId w:val="1035"/>
        </w:numPr>
      </w:pPr>
      <w:r>
        <w:t xml:space="preserve">Submit images and your data sheet and a graph of growth rates in your lab blog post for this project. Please take images to add to your blog post.</w:t>
      </w:r>
    </w:p>
    <w:bookmarkEnd w:id="71"/>
    <w:bookmarkEnd w:id="72"/>
    <w:bookmarkEnd w:id="73"/>
    <w:bookmarkEnd w:id="74"/>
    <w:bookmarkStart w:id="82" w:name="module-3-phenotypic-assays"/>
    <w:p>
      <w:pPr>
        <w:pStyle w:val="Heading1"/>
      </w:pPr>
      <w:r>
        <w:t xml:space="preserve">5. Module 3: Phenotypic Assays</w:t>
      </w:r>
    </w:p>
    <w:bookmarkStart w:id="76" w:name="module-3.1-phenotypic-assays"/>
    <w:p>
      <w:pPr>
        <w:pStyle w:val="Heading2"/>
      </w:pPr>
      <w:r>
        <w:t xml:space="preserve">5.1 Module 3.1 – Phenotypic Assays</w:t>
      </w:r>
    </w:p>
    <w:bookmarkStart w:id="75"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5"/>
    <w:bookmarkEnd w:id="76"/>
    <w:bookmarkStart w:id="81" w:name="module-3.2-phenotypic-assays"/>
    <w:p>
      <w:pPr>
        <w:pStyle w:val="Heading2"/>
      </w:pPr>
      <w:r>
        <w:t xml:space="preserve">5.2 Module 3.2 – Phenotypic Assays</w:t>
      </w:r>
    </w:p>
    <w:bookmarkStart w:id="77"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7"/>
    <w:bookmarkStart w:id="78"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8"/>
    <w:bookmarkStart w:id="79"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9"/>
    <w:bookmarkStart w:id="80"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0"/>
    <w:bookmarkEnd w:id="81"/>
    <w:bookmarkEnd w:id="82"/>
    <w:bookmarkStart w:id="107" w:name="module-4-dna-sequencing"/>
    <w:p>
      <w:pPr>
        <w:pStyle w:val="Heading1"/>
      </w:pPr>
      <w:r>
        <w:t xml:space="preserve">6. Module 4: DNA Sequencing</w:t>
      </w:r>
    </w:p>
    <w:bookmarkStart w:id="84" w:name="X1f9141d941555e98bd81ab73b3543cfd3247ac1"/>
    <w:p>
      <w:pPr>
        <w:pStyle w:val="Heading2"/>
      </w:pPr>
      <w:r>
        <w:t xml:space="preserve">6.1 Module 4.1 – DNA Sequencing and Species Identification Instructor Resources</w:t>
      </w:r>
    </w:p>
    <w:bookmarkStart w:id="83"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3"/>
    <w:bookmarkEnd w:id="84"/>
    <w:bookmarkStart w:id="106" w:name="X84ab9f30f319591ed283388a48344a8ca0af377"/>
    <w:p>
      <w:pPr>
        <w:pStyle w:val="Heading2"/>
      </w:pPr>
      <w:r>
        <w:t xml:space="preserve">6.2 Module 4.2 – DNA Sequencing and Species Identification</w:t>
      </w:r>
    </w:p>
    <w:bookmarkStart w:id="85"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5"/>
    <w:bookmarkStart w:id="86" w:name="learning-goals-2"/>
    <w:p>
      <w:pPr>
        <w:pStyle w:val="Heading3"/>
      </w:pPr>
      <w:r>
        <w:t xml:space="preserve">6.2.2 Learning Goals</w:t>
      </w:r>
    </w:p>
    <w:p>
      <w:pPr>
        <w:pStyle w:val="Compact"/>
        <w:numPr>
          <w:ilvl w:val="0"/>
          <w:numId w:val="1036"/>
        </w:numPr>
      </w:pPr>
      <w:r>
        <w:t xml:space="preserve">Practice extracting fungal DNA</w:t>
      </w:r>
    </w:p>
    <w:p>
      <w:pPr>
        <w:pStyle w:val="Compact"/>
        <w:numPr>
          <w:ilvl w:val="0"/>
          <w:numId w:val="1036"/>
        </w:numPr>
      </w:pPr>
      <w:r>
        <w:t xml:space="preserve">Successfully PCR amplify fungal ITS</w:t>
      </w:r>
    </w:p>
    <w:p>
      <w:pPr>
        <w:pStyle w:val="Compact"/>
        <w:numPr>
          <w:ilvl w:val="0"/>
          <w:numId w:val="1036"/>
        </w:numPr>
      </w:pPr>
      <w:r>
        <w:t xml:space="preserve">Learn to BLAST ITS sequence to identify fungal isolates</w:t>
      </w:r>
    </w:p>
    <w:bookmarkEnd w:id="86"/>
    <w:bookmarkStart w:id="90" w:name="part-i-dna-extraction"/>
    <w:p>
      <w:pPr>
        <w:pStyle w:val="Heading3"/>
      </w:pPr>
      <w:r>
        <w:t xml:space="preserve">6.2.3 Part I: DNA Extraction</w:t>
      </w:r>
    </w:p>
    <w:bookmarkStart w:id="87"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7"/>
    <w:bookmarkStart w:id="88" w:name="materials"/>
    <w:p>
      <w:pPr>
        <w:pStyle w:val="Heading4"/>
      </w:pPr>
      <w:r>
        <w:t xml:space="preserve">6.2.3.2 Materials:</w:t>
      </w:r>
    </w:p>
    <w:p>
      <w:pPr>
        <w:pStyle w:val="Compact"/>
        <w:numPr>
          <w:ilvl w:val="0"/>
          <w:numId w:val="1037"/>
        </w:numPr>
      </w:pPr>
      <w:r>
        <w:t xml:space="preserve">Fungal isolates</w:t>
      </w:r>
    </w:p>
    <w:p>
      <w:pPr>
        <w:pStyle w:val="Compact"/>
        <w:numPr>
          <w:ilvl w:val="0"/>
          <w:numId w:val="1037"/>
        </w:numPr>
      </w:pPr>
      <w:r>
        <w:t xml:space="preserve">0.2 mL PCR tubes</w:t>
      </w:r>
    </w:p>
    <w:p>
      <w:pPr>
        <w:pStyle w:val="Compact"/>
        <w:numPr>
          <w:ilvl w:val="0"/>
          <w:numId w:val="1037"/>
        </w:numPr>
      </w:pPr>
      <w:r>
        <w:t xml:space="preserve">P20 micropipette with tips</w:t>
      </w:r>
    </w:p>
    <w:p>
      <w:pPr>
        <w:pStyle w:val="Compact"/>
        <w:numPr>
          <w:ilvl w:val="0"/>
          <w:numId w:val="1037"/>
        </w:numPr>
      </w:pPr>
      <w:r>
        <w:t xml:space="preserve">DNA extraction solution (ES)</w:t>
      </w:r>
    </w:p>
    <w:p>
      <w:pPr>
        <w:pStyle w:val="Compact"/>
        <w:numPr>
          <w:ilvl w:val="0"/>
          <w:numId w:val="1037"/>
        </w:numPr>
      </w:pPr>
      <w:r>
        <w:t xml:space="preserve">DNA dilution solution (DS)</w:t>
      </w:r>
    </w:p>
    <w:p>
      <w:pPr>
        <w:pStyle w:val="Compact"/>
        <w:numPr>
          <w:ilvl w:val="0"/>
          <w:numId w:val="1037"/>
        </w:numPr>
      </w:pPr>
      <w:r>
        <w:t xml:space="preserve">Ethanol jar</w:t>
      </w:r>
    </w:p>
    <w:p>
      <w:pPr>
        <w:pStyle w:val="Compact"/>
        <w:numPr>
          <w:ilvl w:val="0"/>
          <w:numId w:val="1037"/>
        </w:numPr>
      </w:pPr>
      <w:r>
        <w:t xml:space="preserve">Loop, pick, and forceps</w:t>
      </w:r>
    </w:p>
    <w:bookmarkEnd w:id="88"/>
    <w:bookmarkStart w:id="89" w:name="procedures"/>
    <w:p>
      <w:pPr>
        <w:pStyle w:val="Heading4"/>
      </w:pPr>
      <w:r>
        <w:t xml:space="preserve">6.2.3.3 Procedures:</w:t>
      </w:r>
    </w:p>
    <w:p>
      <w:pPr>
        <w:pStyle w:val="Compact"/>
        <w:numPr>
          <w:ilvl w:val="0"/>
          <w:numId w:val="103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8"/>
        </w:numPr>
      </w:pPr>
      <w:r>
        <w:t xml:space="preserve">Close the snap-caps and incubate at 65 °C for 10 minutes followed by 95 °C for 10 minutes.</w:t>
      </w:r>
    </w:p>
    <w:p>
      <w:pPr>
        <w:pStyle w:val="Compact"/>
        <w:numPr>
          <w:ilvl w:val="0"/>
          <w:numId w:val="103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9"/>
    <w:bookmarkEnd w:id="90"/>
    <w:bookmarkStart w:id="95" w:name="part-ii-polymerase-chain-reaction-pcr"/>
    <w:p>
      <w:pPr>
        <w:pStyle w:val="Heading3"/>
      </w:pPr>
      <w:r>
        <w:t xml:space="preserve">6.2.4 Part II: Polymerase Chain Reaction (PCR)</w:t>
      </w:r>
    </w:p>
    <w:bookmarkStart w:id="91"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1"/>
    <w:bookmarkStart w:id="92" w:name="materials-1"/>
    <w:p>
      <w:pPr>
        <w:pStyle w:val="Heading4"/>
      </w:pPr>
      <w:r>
        <w:t xml:space="preserve">6.2.4.2 Materials:</w:t>
      </w:r>
    </w:p>
    <w:p>
      <w:pPr>
        <w:pStyle w:val="Compact"/>
        <w:numPr>
          <w:ilvl w:val="0"/>
          <w:numId w:val="1039"/>
        </w:numPr>
      </w:pPr>
      <w:r>
        <w:t xml:space="preserve">DNA extractions with DS</w:t>
      </w:r>
    </w:p>
    <w:p>
      <w:pPr>
        <w:pStyle w:val="Compact"/>
        <w:numPr>
          <w:ilvl w:val="0"/>
          <w:numId w:val="1039"/>
        </w:numPr>
      </w:pPr>
      <w:r>
        <w:t xml:space="preserve">Control DNA sample</w:t>
      </w:r>
    </w:p>
    <w:p>
      <w:pPr>
        <w:pStyle w:val="Compact"/>
        <w:numPr>
          <w:ilvl w:val="0"/>
          <w:numId w:val="1039"/>
        </w:numPr>
      </w:pPr>
      <w:r>
        <w:t xml:space="preserve">0.2 mL PCR tubes</w:t>
      </w:r>
    </w:p>
    <w:p>
      <w:pPr>
        <w:pStyle w:val="Compact"/>
        <w:numPr>
          <w:ilvl w:val="0"/>
          <w:numId w:val="1039"/>
        </w:numPr>
      </w:pPr>
      <w:r>
        <w:t xml:space="preserve">P10 micropipette with tips</w:t>
      </w:r>
    </w:p>
    <w:p>
      <w:pPr>
        <w:pStyle w:val="Compact"/>
        <w:numPr>
          <w:ilvl w:val="0"/>
          <w:numId w:val="1039"/>
        </w:numPr>
      </w:pPr>
      <w:r>
        <w:t xml:space="preserve">P20 micropipette with tips</w:t>
      </w:r>
    </w:p>
    <w:p>
      <w:pPr>
        <w:pStyle w:val="Compact"/>
        <w:numPr>
          <w:ilvl w:val="0"/>
          <w:numId w:val="1039"/>
        </w:numPr>
      </w:pPr>
      <w:r>
        <w:t xml:space="preserve">P200 micropipette with tips</w:t>
      </w:r>
    </w:p>
    <w:p>
      <w:pPr>
        <w:pStyle w:val="Compact"/>
        <w:numPr>
          <w:ilvl w:val="0"/>
          <w:numId w:val="1039"/>
        </w:numPr>
      </w:pPr>
      <w:r>
        <w:t xml:space="preserve">P1000 micropipette with tips</w:t>
      </w:r>
    </w:p>
    <w:p>
      <w:pPr>
        <w:pStyle w:val="Compact"/>
        <w:numPr>
          <w:ilvl w:val="0"/>
          <w:numId w:val="1039"/>
        </w:numPr>
      </w:pPr>
      <w:r>
        <w:t xml:space="preserve">Master mix containing buffer (MgCl2, dNTPs, primers, polymerase enzyme)</w:t>
      </w:r>
    </w:p>
    <w:p>
      <w:pPr>
        <w:pStyle w:val="Compact"/>
        <w:numPr>
          <w:ilvl w:val="0"/>
          <w:numId w:val="1039"/>
        </w:numPr>
      </w:pPr>
      <w:r>
        <w:t xml:space="preserve">PCR tube centrifuge</w:t>
      </w:r>
    </w:p>
    <w:p>
      <w:pPr>
        <w:pStyle w:val="Compact"/>
        <w:numPr>
          <w:ilvl w:val="0"/>
          <w:numId w:val="1039"/>
        </w:numPr>
      </w:pPr>
      <w:r>
        <w:t xml:space="preserve">Thermal cycler</w:t>
      </w:r>
    </w:p>
    <w:bookmarkEnd w:id="92"/>
    <w:bookmarkStart w:id="93"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3"/>
    <w:bookmarkStart w:id="94" w:name="X7a9437114b66a535474c7c1f8d36e2e2fb635f1"/>
    <w:p>
      <w:pPr>
        <w:pStyle w:val="Heading4"/>
      </w:pPr>
      <w:r>
        <w:t xml:space="preserve">6.2.4.4 PCR Troubleshooting after Gel Electrophoresis</w:t>
      </w:r>
    </w:p>
    <w:p>
      <w:pPr>
        <w:pStyle w:val="Compact"/>
        <w:numPr>
          <w:ilvl w:val="0"/>
          <w:numId w:val="1040"/>
        </w:numPr>
      </w:pPr>
      <w:r>
        <w:t xml:space="preserve">No amplification on any samples: check primers, polymerase, and other reagents.</w:t>
      </w:r>
    </w:p>
    <w:p>
      <w:pPr>
        <w:pStyle w:val="Compact"/>
        <w:numPr>
          <w:ilvl w:val="0"/>
          <w:numId w:val="104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40"/>
        </w:numPr>
      </w:pPr>
      <w:r>
        <w:t xml:space="preserve">Weak or multiple bands, smear: Mispriming from the incorrect program. Check primer concentration: an imbalance of primers can lead to multiple bands.</w:t>
      </w:r>
    </w:p>
    <w:bookmarkEnd w:id="94"/>
    <w:bookmarkEnd w:id="95"/>
    <w:bookmarkStart w:id="100"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6"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6"/>
    <w:bookmarkStart w:id="97" w:name="materials-needed"/>
    <w:p>
      <w:pPr>
        <w:pStyle w:val="Heading4"/>
      </w:pPr>
      <w:r>
        <w:t xml:space="preserve">6.2.5.2 Materials needed:</w:t>
      </w:r>
    </w:p>
    <w:p>
      <w:pPr>
        <w:pStyle w:val="Compact"/>
        <w:numPr>
          <w:ilvl w:val="0"/>
          <w:numId w:val="1041"/>
        </w:numPr>
      </w:pPr>
      <w:r>
        <w:t xml:space="preserve">Agarose</w:t>
      </w:r>
    </w:p>
    <w:p>
      <w:pPr>
        <w:pStyle w:val="Compact"/>
        <w:numPr>
          <w:ilvl w:val="0"/>
          <w:numId w:val="1041"/>
        </w:numPr>
      </w:pPr>
      <w:r>
        <w:t xml:space="preserve">1X TAE (or TE, TBE, or SB) buffer to make gels and running buffer</w:t>
      </w:r>
      <w:r>
        <w:t xml:space="preserve"> </w:t>
      </w:r>
      <w:r>
        <w:t xml:space="preserve">Note: Use the same buffer for making and running the gel</w:t>
      </w:r>
    </w:p>
    <w:p>
      <w:pPr>
        <w:pStyle w:val="Compact"/>
        <w:numPr>
          <w:ilvl w:val="0"/>
          <w:numId w:val="1041"/>
        </w:numPr>
      </w:pPr>
      <w:r>
        <w:t xml:space="preserve">SYBR Safe to visualize DNA</w:t>
      </w:r>
    </w:p>
    <w:p>
      <w:pPr>
        <w:pStyle w:val="Compact"/>
        <w:numPr>
          <w:ilvl w:val="0"/>
          <w:numId w:val="1041"/>
        </w:numPr>
      </w:pPr>
      <w:r>
        <w:t xml:space="preserve">250 mL Erlenmeyer Flask</w:t>
      </w:r>
    </w:p>
    <w:p>
      <w:pPr>
        <w:pStyle w:val="Compact"/>
        <w:numPr>
          <w:ilvl w:val="0"/>
          <w:numId w:val="1041"/>
        </w:numPr>
      </w:pPr>
      <w:r>
        <w:t xml:space="preserve">P20 micropipette with tips</w:t>
      </w:r>
    </w:p>
    <w:p>
      <w:pPr>
        <w:pStyle w:val="Compact"/>
        <w:numPr>
          <w:ilvl w:val="0"/>
          <w:numId w:val="1041"/>
        </w:numPr>
      </w:pPr>
      <w:r>
        <w:t xml:space="preserve">PCR products</w:t>
      </w:r>
    </w:p>
    <w:p>
      <w:pPr>
        <w:pStyle w:val="Compact"/>
        <w:numPr>
          <w:ilvl w:val="0"/>
          <w:numId w:val="1041"/>
        </w:numPr>
      </w:pPr>
      <w:r>
        <w:t xml:space="preserve">100 bp Ladder</w:t>
      </w:r>
    </w:p>
    <w:p>
      <w:pPr>
        <w:pStyle w:val="Compact"/>
        <w:numPr>
          <w:ilvl w:val="0"/>
          <w:numId w:val="1041"/>
        </w:numPr>
      </w:pPr>
      <w:r>
        <w:t xml:space="preserve">Digital Balance</w:t>
      </w:r>
    </w:p>
    <w:p>
      <w:pPr>
        <w:pStyle w:val="Compact"/>
        <w:numPr>
          <w:ilvl w:val="0"/>
          <w:numId w:val="1041"/>
        </w:numPr>
      </w:pPr>
      <w:r>
        <w:t xml:space="preserve">Weigh Boats</w:t>
      </w:r>
    </w:p>
    <w:p>
      <w:pPr>
        <w:pStyle w:val="Compact"/>
        <w:numPr>
          <w:ilvl w:val="0"/>
          <w:numId w:val="1041"/>
        </w:numPr>
      </w:pPr>
      <w:r>
        <w:t xml:space="preserve">Gel rigs</w:t>
      </w:r>
    </w:p>
    <w:p>
      <w:pPr>
        <w:pStyle w:val="Compact"/>
        <w:numPr>
          <w:ilvl w:val="0"/>
          <w:numId w:val="1041"/>
        </w:numPr>
      </w:pPr>
      <w:r>
        <w:t xml:space="preserve">Gel comb</w:t>
      </w:r>
    </w:p>
    <w:p>
      <w:pPr>
        <w:pStyle w:val="Compact"/>
        <w:numPr>
          <w:ilvl w:val="0"/>
          <w:numId w:val="1041"/>
        </w:numPr>
      </w:pPr>
      <w:r>
        <w:t xml:space="preserve">Power source</w:t>
      </w:r>
    </w:p>
    <w:bookmarkEnd w:id="97"/>
    <w:bookmarkStart w:id="98" w:name="X27e3611931edb00682f71c58d3e85dfeecf25c4"/>
    <w:p>
      <w:pPr>
        <w:pStyle w:val="Heading4"/>
      </w:pPr>
      <w:r>
        <w:t xml:space="preserve">6.2.5.3 Gel Preparation Protocol (Prep gel at least 20 minutes prior to use)</w:t>
      </w:r>
    </w:p>
    <w:p>
      <w:pPr>
        <w:pStyle w:val="Compact"/>
        <w:numPr>
          <w:ilvl w:val="0"/>
          <w:numId w:val="1042"/>
        </w:numPr>
      </w:pPr>
      <w:r>
        <w:t xml:space="preserve">Measure 100 mL of 1x TE buffer in an Erlenmeyer flask.</w:t>
      </w:r>
    </w:p>
    <w:p>
      <w:pPr>
        <w:pStyle w:val="Compact"/>
        <w:numPr>
          <w:ilvl w:val="0"/>
          <w:numId w:val="1042"/>
        </w:numPr>
      </w:pPr>
      <w:r>
        <w:t xml:space="preserve">Add 1 gram of agarose to the buffer.</w:t>
      </w:r>
    </w:p>
    <w:p>
      <w:pPr>
        <w:pStyle w:val="Compact"/>
        <w:numPr>
          <w:ilvl w:val="0"/>
          <w:numId w:val="1042"/>
        </w:numPr>
      </w:pPr>
      <w:r>
        <w:t xml:space="preserve">Microwave for 30-second intervals.</w:t>
      </w:r>
    </w:p>
    <w:p>
      <w:pPr>
        <w:pStyle w:val="Compact"/>
        <w:numPr>
          <w:ilvl w:val="0"/>
          <w:numId w:val="104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42"/>
        </w:numPr>
      </w:pPr>
      <w:r>
        <w:t xml:space="preserve">Once all the agarose is melted, let sit on the counter until it cools enough to handle. Don’t let it cool too long as it will solidify.</w:t>
      </w:r>
    </w:p>
    <w:p>
      <w:pPr>
        <w:pStyle w:val="Compact"/>
        <w:numPr>
          <w:ilvl w:val="0"/>
          <w:numId w:val="1042"/>
        </w:numPr>
      </w:pPr>
      <w:r>
        <w:t xml:space="preserve">Set up the agarose mold and add a comb.</w:t>
      </w:r>
    </w:p>
    <w:p>
      <w:pPr>
        <w:pStyle w:val="Compact"/>
        <w:numPr>
          <w:ilvl w:val="0"/>
          <w:numId w:val="1042"/>
        </w:numPr>
      </w:pPr>
      <w:r>
        <w:t xml:space="preserve">Once the agarose has cooled to the touch. Pour into the mold. Make sure the agarose is approximately 1/3 to 1/2 way up the combs.</w:t>
      </w:r>
    </w:p>
    <w:p>
      <w:pPr>
        <w:pStyle w:val="Compact"/>
        <w:numPr>
          <w:ilvl w:val="0"/>
          <w:numId w:val="1042"/>
        </w:numPr>
      </w:pPr>
      <w:r>
        <w:t xml:space="preserve">If bubbles are present, use a micropipette tip to draw them to the sides of the gel.</w:t>
      </w:r>
    </w:p>
    <w:p>
      <w:pPr>
        <w:pStyle w:val="Compact"/>
        <w:numPr>
          <w:ilvl w:val="0"/>
          <w:numId w:val="1042"/>
        </w:numPr>
      </w:pPr>
      <w:r>
        <w:t xml:space="preserve">Allow approximately 20 minutes for the gel to solidify and become somewhat translucent.</w:t>
      </w:r>
    </w:p>
    <w:p>
      <w:pPr>
        <w:pStyle w:val="Compact"/>
        <w:numPr>
          <w:ilvl w:val="0"/>
          <w:numId w:val="1042"/>
        </w:numPr>
      </w:pPr>
      <w:r>
        <w:t xml:space="preserve">Gently remove the comb.</w:t>
      </w:r>
    </w:p>
    <w:p>
      <w:pPr>
        <w:pStyle w:val="Compact"/>
        <w:numPr>
          <w:ilvl w:val="0"/>
          <w:numId w:val="104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42"/>
        </w:numPr>
      </w:pPr>
      <w:r>
        <w:t xml:space="preserve">Gels can be wrapped in saran wrap and stored for approximately 1 week.</w:t>
      </w:r>
    </w:p>
    <w:bookmarkEnd w:id="98"/>
    <w:bookmarkStart w:id="99" w:name="gel-loading"/>
    <w:p>
      <w:pPr>
        <w:pStyle w:val="Heading4"/>
      </w:pPr>
      <w:r>
        <w:t xml:space="preserve">6.2.5.4 Gel Loading:</w:t>
      </w:r>
    </w:p>
    <w:p>
      <w:pPr>
        <w:pStyle w:val="Compact"/>
        <w:numPr>
          <w:ilvl w:val="0"/>
          <w:numId w:val="1043"/>
        </w:numPr>
      </w:pPr>
      <w:r>
        <w:t xml:space="preserve">Fill the gel rig with 1X TAE (or equivalent) buffer until it covers the surface of the gel.</w:t>
      </w:r>
    </w:p>
    <w:p>
      <w:pPr>
        <w:pStyle w:val="Compact"/>
        <w:numPr>
          <w:ilvl w:val="0"/>
          <w:numId w:val="1043"/>
        </w:numPr>
      </w:pPr>
      <w:r>
        <w:t xml:space="preserve">Make a map of your samples in your gel.</w:t>
      </w:r>
    </w:p>
    <w:p>
      <w:pPr>
        <w:pStyle w:val="Compact"/>
        <w:numPr>
          <w:ilvl w:val="0"/>
          <w:numId w:val="1043"/>
        </w:numPr>
      </w:pPr>
      <w:r>
        <w:t xml:space="preserve">Load Gel</w:t>
      </w:r>
    </w:p>
    <w:p>
      <w:pPr>
        <w:pStyle w:val="Compact"/>
        <w:numPr>
          <w:ilvl w:val="1"/>
          <w:numId w:val="104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44"/>
        </w:numPr>
      </w:pPr>
      <w:r>
        <w:t xml:space="preserve">PCR product with loading dye: Draw up 5 μL of PCR product using micropipette.</w:t>
      </w:r>
    </w:p>
    <w:p>
      <w:pPr>
        <w:pStyle w:val="Compact"/>
        <w:numPr>
          <w:ilvl w:val="0"/>
          <w:numId w:val="104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43"/>
        </w:numPr>
      </w:pPr>
      <w:r>
        <w:t xml:space="preserve">Be sure to reserve one well per row for a standardized DNA ladder.</w:t>
      </w:r>
    </w:p>
    <w:p>
      <w:pPr>
        <w:pStyle w:val="Compact"/>
        <w:numPr>
          <w:ilvl w:val="0"/>
          <w:numId w:val="1043"/>
        </w:numPr>
      </w:pPr>
      <w:r>
        <w:t xml:space="preserve">Run at 300 volts for about 15 minutes</w:t>
      </w:r>
    </w:p>
    <w:p>
      <w:pPr>
        <w:pStyle w:val="Compact"/>
        <w:numPr>
          <w:ilvl w:val="1"/>
          <w:numId w:val="1045"/>
        </w:numPr>
      </w:pPr>
      <w:r>
        <w:t xml:space="preserve">Keep an eye on the migration of your PCR product across the gel to ensure it doesn’t run off the other end of the gel.</w:t>
      </w:r>
    </w:p>
    <w:p>
      <w:pPr>
        <w:pStyle w:val="Compact"/>
        <w:numPr>
          <w:ilvl w:val="0"/>
          <w:numId w:val="1043"/>
        </w:numPr>
      </w:pPr>
      <w:r>
        <w:t xml:space="preserve">Visualize with UV light.</w:t>
      </w:r>
    </w:p>
    <w:bookmarkEnd w:id="99"/>
    <w:bookmarkEnd w:id="100"/>
    <w:bookmarkStart w:id="101"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1"/>
    <w:bookmarkStart w:id="102"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2"/>
    <w:bookmarkStart w:id="104" w:name="X119230681215c553508703bd9b858aabc863314"/>
    <w:p>
      <w:pPr>
        <w:pStyle w:val="Heading3"/>
      </w:pPr>
      <w:r>
        <w:t xml:space="preserve">6.2.8 Part VI: Identifying Species using DNA Barcode</w:t>
      </w:r>
    </w:p>
    <w:bookmarkStart w:id="103"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6"/>
        </w:numPr>
      </w:pPr>
      <w:r>
        <w:t xml:space="preserve">Go to NCBI: https://www.ncbi.nlm.nih.gov/.</w:t>
      </w:r>
    </w:p>
    <w:p>
      <w:pPr>
        <w:pStyle w:val="Compact"/>
        <w:numPr>
          <w:ilvl w:val="0"/>
          <w:numId w:val="104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7"/>
        </w:numPr>
      </w:pPr>
      <w:r>
        <w:t xml:space="preserve">BLAST = Basic Local Alignment Search Tool</w:t>
      </w:r>
    </w:p>
    <w:p>
      <w:pPr>
        <w:pStyle w:val="Compact"/>
        <w:numPr>
          <w:ilvl w:val="0"/>
          <w:numId w:val="1046"/>
        </w:numPr>
      </w:pPr>
      <w:r>
        <w:t xml:space="preserve">Click on the Nucleotide BLAST image.</w:t>
      </w:r>
    </w:p>
    <w:p>
      <w:pPr>
        <w:pStyle w:val="Compact"/>
        <w:numPr>
          <w:ilvl w:val="1"/>
          <w:numId w:val="104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6"/>
        </w:numPr>
      </w:pPr>
      <w:r>
        <w:t xml:space="preserve">Paste your sequence data into the big space under</w:t>
      </w:r>
      <w:r>
        <w:t xml:space="preserve"> </w:t>
      </w:r>
      <w:r>
        <w:t xml:space="preserve">“Enter Query Sequence”</w:t>
      </w:r>
      <w:r>
        <w:t xml:space="preserve">.</w:t>
      </w:r>
    </w:p>
    <w:p>
      <w:pPr>
        <w:pStyle w:val="Compact"/>
        <w:numPr>
          <w:ilvl w:val="1"/>
          <w:numId w:val="104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6"/>
        </w:numPr>
      </w:pPr>
      <w:r>
        <w:t xml:space="preserve">Under Choose Search Set you can keep it under</w:t>
      </w:r>
      <w:r>
        <w:t xml:space="preserve"> </w:t>
      </w:r>
      <w:r>
        <w:t xml:space="preserve">“Standard databases (nr etc.)”</w:t>
      </w:r>
      <w:r>
        <w:t xml:space="preserve">.</w:t>
      </w:r>
    </w:p>
    <w:p>
      <w:pPr>
        <w:pStyle w:val="Compact"/>
        <w:numPr>
          <w:ilvl w:val="1"/>
          <w:numId w:val="105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6"/>
        </w:numPr>
      </w:pPr>
      <w:r>
        <w:t xml:space="preserve">Select the</w:t>
      </w:r>
      <w:r>
        <w:t xml:space="preserve"> </w:t>
      </w:r>
      <w:r>
        <w:t xml:space="preserve">“BLAST”</w:t>
      </w:r>
      <w:r>
        <w:t xml:space="preserve"> </w:t>
      </w:r>
      <w:r>
        <w:t xml:space="preserve">button at the end.</w:t>
      </w:r>
    </w:p>
    <w:p>
      <w:pPr>
        <w:pStyle w:val="Compact"/>
        <w:numPr>
          <w:ilvl w:val="1"/>
          <w:numId w:val="105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51"/>
        </w:numPr>
      </w:pPr>
      <w:r>
        <w:t xml:space="preserve">Percent Identity = What percent of your sequence (query sequence) is identical to the matched sequence.</w:t>
      </w:r>
    </w:p>
    <w:p>
      <w:pPr>
        <w:pStyle w:val="Compact"/>
        <w:numPr>
          <w:ilvl w:val="1"/>
          <w:numId w:val="1051"/>
        </w:numPr>
      </w:pPr>
      <w:r>
        <w:t xml:space="preserve">Query Cover = How much of the query sequence covers the matched sequence.</w:t>
      </w:r>
    </w:p>
    <w:p>
      <w:pPr>
        <w:pStyle w:val="Compact"/>
        <w:numPr>
          <w:ilvl w:val="1"/>
          <w:numId w:val="1051"/>
        </w:numPr>
      </w:pPr>
      <w:r>
        <w:t xml:space="preserve">E value = The probability that this match occurred by chance in the provided database.</w:t>
      </w:r>
    </w:p>
    <w:p>
      <w:pPr>
        <w:pStyle w:val="Compact"/>
        <w:numPr>
          <w:ilvl w:val="0"/>
          <w:numId w:val="1046"/>
        </w:numPr>
      </w:pPr>
      <w:r>
        <w:t xml:space="preserve">Review the results.</w:t>
      </w:r>
    </w:p>
    <w:p>
      <w:pPr>
        <w:pStyle w:val="Compact"/>
        <w:numPr>
          <w:ilvl w:val="1"/>
          <w:numId w:val="1052"/>
        </w:numPr>
      </w:pPr>
      <w:r>
        <w:t xml:space="preserve">What is the</w:t>
      </w:r>
      <w:r>
        <w:t xml:space="preserve"> </w:t>
      </w:r>
      <w:r>
        <w:t xml:space="preserve">“top hit”</w:t>
      </w:r>
      <w:r>
        <w:t xml:space="preserve">?</w:t>
      </w:r>
    </w:p>
    <w:p>
      <w:pPr>
        <w:pStyle w:val="Compact"/>
        <w:numPr>
          <w:ilvl w:val="1"/>
          <w:numId w:val="1052"/>
        </w:numPr>
      </w:pPr>
      <w:r>
        <w:t xml:space="preserve">How much support is provided for this hit given the current database used?</w:t>
      </w:r>
    </w:p>
    <w:p>
      <w:pPr>
        <w:pStyle w:val="Compact"/>
        <w:numPr>
          <w:ilvl w:val="1"/>
          <w:numId w:val="1052"/>
        </w:numPr>
      </w:pPr>
      <w:r>
        <w:t xml:space="preserve">What is the taxonomic ID of this result? What kind of fungi are these?</w:t>
      </w:r>
    </w:p>
    <w:p>
      <w:pPr>
        <w:pStyle w:val="Compact"/>
        <w:numPr>
          <w:ilvl w:val="1"/>
          <w:numId w:val="1052"/>
        </w:numPr>
      </w:pPr>
      <w:r>
        <w:t xml:space="preserve">You may google the names and search under Wikipedia to get a better understanding of these organisms and what is known.</w:t>
      </w:r>
    </w:p>
    <w:bookmarkEnd w:id="103"/>
    <w:bookmarkEnd w:id="104"/>
    <w:bookmarkStart w:id="105"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5"/>
    <w:bookmarkEnd w:id="106"/>
    <w:bookmarkEnd w:id="107"/>
    <w:bookmarkStart w:id="118" w:name="module-5-tissue-preparation"/>
    <w:p>
      <w:pPr>
        <w:pStyle w:val="Heading1"/>
      </w:pPr>
      <w:r>
        <w:t xml:space="preserve">7. Module 5: Tissue Preparation</w:t>
      </w:r>
    </w:p>
    <w:bookmarkStart w:id="109" w:name="X0d17ba572a281133a22d073b368b9fbe73454ca"/>
    <w:p>
      <w:pPr>
        <w:pStyle w:val="Heading2"/>
      </w:pPr>
      <w:r>
        <w:t xml:space="preserve">7.1 Module 5.1 – Tissue Preparation for Genome Sequencing</w:t>
      </w:r>
    </w:p>
    <w:bookmarkStart w:id="108"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8"/>
    <w:bookmarkEnd w:id="109"/>
    <w:bookmarkStart w:id="117" w:name="Xc8205bcafd44c2f0f2777871d0b670e5430cb18"/>
    <w:p>
      <w:pPr>
        <w:pStyle w:val="Heading2"/>
      </w:pPr>
      <w:r>
        <w:t xml:space="preserve">7.2 Module 5.2 – Tissue Preparation for Genome Sequencing</w:t>
      </w:r>
    </w:p>
    <w:bookmarkStart w:id="110"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0"/>
    <w:bookmarkStart w:id="111"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1"/>
    <w:bookmarkStart w:id="112" w:name="sub-culturing-on-cellophane"/>
    <w:p>
      <w:pPr>
        <w:pStyle w:val="Heading3"/>
      </w:pPr>
      <w:r>
        <w:t xml:space="preserve">7.2.3 Sub-Culturing on Cellophane</w:t>
      </w:r>
    </w:p>
    <w:p>
      <w:pPr>
        <w:pStyle w:val="Compact"/>
        <w:numPr>
          <w:ilvl w:val="0"/>
          <w:numId w:val="1053"/>
        </w:numPr>
      </w:pPr>
      <w:r>
        <w:t xml:space="preserve">Clean your workspace as described previously. Work under flames or in a laminar flow hood if available.</w:t>
      </w:r>
    </w:p>
    <w:p>
      <w:pPr>
        <w:pStyle w:val="Compact"/>
        <w:numPr>
          <w:ilvl w:val="0"/>
          <w:numId w:val="1053"/>
        </w:numPr>
      </w:pPr>
      <w:r>
        <w:t xml:space="preserve">Label your Cellophane lined Petri Dish appropriately.</w:t>
      </w:r>
    </w:p>
    <w:p>
      <w:pPr>
        <w:pStyle w:val="Compact"/>
        <w:numPr>
          <w:ilvl w:val="0"/>
          <w:numId w:val="1053"/>
        </w:numPr>
      </w:pPr>
      <w:r>
        <w:t xml:space="preserve">Sterilize implements (forceps and scalpel).</w:t>
      </w:r>
    </w:p>
    <w:p>
      <w:pPr>
        <w:pStyle w:val="Compact"/>
        <w:numPr>
          <w:ilvl w:val="0"/>
          <w:numId w:val="1053"/>
        </w:numPr>
      </w:pPr>
      <w:r>
        <w:t xml:space="preserve">Scrape mycelia from PDA plates that you have been growing. Be sure to avoid transferring any media as much as possible.</w:t>
      </w:r>
    </w:p>
    <w:p>
      <w:pPr>
        <w:pStyle w:val="Compact"/>
        <w:numPr>
          <w:ilvl w:val="1"/>
          <w:numId w:val="1054"/>
        </w:numPr>
      </w:pPr>
      <w:r>
        <w:t xml:space="preserve">Leaving the assay plate on the bench space, remove the parafilm of the inoculation plate and slightly crack open the lid using your non-dominant hand.</w:t>
      </w:r>
    </w:p>
    <w:p>
      <w:pPr>
        <w:pStyle w:val="Compact"/>
        <w:numPr>
          <w:ilvl w:val="1"/>
          <w:numId w:val="1054"/>
        </w:numPr>
      </w:pPr>
      <w:r>
        <w:t xml:space="preserve">Insert your forceps into the crack of the petri dish and attempt to sample some mycelium.</w:t>
      </w:r>
    </w:p>
    <w:p>
      <w:pPr>
        <w:pStyle w:val="Compact"/>
        <w:numPr>
          <w:ilvl w:val="2"/>
          <w:numId w:val="1055"/>
        </w:numPr>
      </w:pPr>
      <w:r>
        <w:t xml:space="preserve">If you are unable to remove mycelia with your forceps, use your scalpel to remove mycelia with the least amount of agar possible.</w:t>
      </w:r>
    </w:p>
    <w:p>
      <w:pPr>
        <w:pStyle w:val="Compact"/>
        <w:numPr>
          <w:ilvl w:val="0"/>
          <w:numId w:val="1053"/>
        </w:numPr>
      </w:pPr>
      <w:r>
        <w:t xml:space="preserve">Transfer the mycelia to a petri dish with cellophane.</w:t>
      </w:r>
    </w:p>
    <w:p>
      <w:pPr>
        <w:pStyle w:val="Compact"/>
        <w:numPr>
          <w:ilvl w:val="1"/>
          <w:numId w:val="1056"/>
        </w:numPr>
      </w:pPr>
      <w:r>
        <w:t xml:space="preserve">Carefully remove the chunk of agar. Replace the lid. Slide the sample plate away. Slide a cellophane plate towards you.</w:t>
      </w:r>
    </w:p>
    <w:p>
      <w:pPr>
        <w:pStyle w:val="Compact"/>
        <w:numPr>
          <w:ilvl w:val="1"/>
          <w:numId w:val="1056"/>
        </w:numPr>
      </w:pPr>
      <w:r>
        <w:t xml:space="preserve">Crack open the cellophane plate using your non-dominant hand, and carefully insert the forceps with the agar and mycelium.</w:t>
      </w:r>
    </w:p>
    <w:p>
      <w:pPr>
        <w:pStyle w:val="Compact"/>
        <w:numPr>
          <w:ilvl w:val="1"/>
          <w:numId w:val="1056"/>
        </w:numPr>
      </w:pPr>
      <w:r>
        <w:t xml:space="preserve">To deposit the agar onto the PDA agar, submerge the forceps into the agar on the plate. This should force the agar and mycelium from your forceps, onto the PDA agar.</w:t>
      </w:r>
    </w:p>
    <w:p>
      <w:pPr>
        <w:pStyle w:val="Compact"/>
        <w:numPr>
          <w:ilvl w:val="1"/>
          <w:numId w:val="1056"/>
        </w:numPr>
      </w:pPr>
      <w:r>
        <w:t xml:space="preserve">Pull your forceps straight out to leave the agar and mycelium on the plate.</w:t>
      </w:r>
    </w:p>
    <w:p>
      <w:pPr>
        <w:pStyle w:val="Compact"/>
        <w:numPr>
          <w:ilvl w:val="1"/>
          <w:numId w:val="105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53"/>
        </w:numPr>
      </w:pPr>
      <w:r>
        <w:t xml:space="preserve">Seal petri dish with parafilm.</w:t>
      </w:r>
    </w:p>
    <w:p>
      <w:pPr>
        <w:pStyle w:val="Compact"/>
        <w:numPr>
          <w:ilvl w:val="0"/>
          <w:numId w:val="1053"/>
        </w:numPr>
      </w:pPr>
      <w:r>
        <w:t xml:space="preserve">Allow fungi to fill the cellophane.</w:t>
      </w:r>
    </w:p>
    <w:p>
      <w:pPr>
        <w:pStyle w:val="Compact"/>
        <w:numPr>
          <w:ilvl w:val="0"/>
          <w:numId w:val="1053"/>
        </w:numPr>
      </w:pPr>
      <w:r>
        <w:t xml:space="preserve">Repeat this process with all fungal isolates that will be sent for genome sequencing.</w:t>
      </w:r>
    </w:p>
    <w:bookmarkEnd w:id="112"/>
    <w:bookmarkStart w:id="113"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3"/>
    <w:bookmarkStart w:id="114" w:name="student-lab-supplies-2"/>
    <w:p>
      <w:pPr>
        <w:pStyle w:val="Heading3"/>
      </w:pPr>
      <w:r>
        <w:t xml:space="preserve">7.2.5 Student Lab Supplies</w:t>
      </w:r>
    </w:p>
    <w:p>
      <w:pPr>
        <w:pStyle w:val="Compact"/>
        <w:numPr>
          <w:ilvl w:val="0"/>
          <w:numId w:val="1057"/>
        </w:numPr>
      </w:pPr>
      <w:r>
        <w:t xml:space="preserve">1.5 ml Eppendorf tubes</w:t>
      </w:r>
    </w:p>
    <w:p>
      <w:pPr>
        <w:pStyle w:val="Compact"/>
        <w:numPr>
          <w:ilvl w:val="0"/>
          <w:numId w:val="1057"/>
        </w:numPr>
      </w:pPr>
      <w:r>
        <w:t xml:space="preserve">Sharpie</w:t>
      </w:r>
    </w:p>
    <w:p>
      <w:pPr>
        <w:pStyle w:val="Compact"/>
        <w:numPr>
          <w:ilvl w:val="0"/>
          <w:numId w:val="1057"/>
        </w:numPr>
      </w:pPr>
      <w:r>
        <w:t xml:space="preserve">Scalpel</w:t>
      </w:r>
    </w:p>
    <w:p>
      <w:pPr>
        <w:pStyle w:val="Compact"/>
        <w:numPr>
          <w:ilvl w:val="0"/>
          <w:numId w:val="1057"/>
        </w:numPr>
      </w:pPr>
      <w:r>
        <w:t xml:space="preserve">Forceps</w:t>
      </w:r>
    </w:p>
    <w:p>
      <w:pPr>
        <w:pStyle w:val="Compact"/>
        <w:numPr>
          <w:ilvl w:val="0"/>
          <w:numId w:val="1057"/>
        </w:numPr>
      </w:pPr>
      <w:r>
        <w:t xml:space="preserve">Silica</w:t>
      </w:r>
    </w:p>
    <w:p>
      <w:pPr>
        <w:pStyle w:val="Compact"/>
        <w:numPr>
          <w:ilvl w:val="0"/>
          <w:numId w:val="1057"/>
        </w:numPr>
      </w:pPr>
      <w:r>
        <w:t xml:space="preserve">Probe</w:t>
      </w:r>
    </w:p>
    <w:bookmarkEnd w:id="114"/>
    <w:bookmarkStart w:id="115"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5"/>
    <w:bookmarkStart w:id="116" w:name="instructions-2"/>
    <w:p>
      <w:pPr>
        <w:pStyle w:val="Heading3"/>
      </w:pPr>
      <w:r>
        <w:t xml:space="preserve">7.2.7 Instructions</w:t>
      </w:r>
    </w:p>
    <w:p>
      <w:pPr>
        <w:pStyle w:val="Compact"/>
        <w:numPr>
          <w:ilvl w:val="0"/>
          <w:numId w:val="1058"/>
        </w:numPr>
      </w:pPr>
      <w:r>
        <w:t xml:space="preserve">You will be harvesting fungal tissue from the cellophane PDA petri dishes.</w:t>
      </w:r>
    </w:p>
    <w:p>
      <w:pPr>
        <w:pStyle w:val="Compact"/>
        <w:numPr>
          <w:ilvl w:val="0"/>
          <w:numId w:val="1058"/>
        </w:numPr>
      </w:pPr>
      <w:r>
        <w:t xml:space="preserve">Use a laminar flow hood or set up flames to create a sterile environment. Clean your sterile area.</w:t>
      </w:r>
    </w:p>
    <w:p>
      <w:pPr>
        <w:pStyle w:val="Compact"/>
        <w:numPr>
          <w:ilvl w:val="0"/>
          <w:numId w:val="1058"/>
        </w:numPr>
      </w:pPr>
      <w:r>
        <w:t xml:space="preserve">Light your flame source. Dip your harvesting implement(s) (scalpel, forceps, and/or probe) into alcohol. Flame your implements and let it cool.</w:t>
      </w:r>
    </w:p>
    <w:p>
      <w:pPr>
        <w:pStyle w:val="Compact"/>
        <w:numPr>
          <w:ilvl w:val="0"/>
          <w:numId w:val="105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8"/>
        </w:numPr>
      </w:pPr>
      <w:r>
        <w:t xml:space="preserve">Seal silica-filled jar with the lid. Allow the tissue to dry for 5-10 days.</w:t>
      </w:r>
    </w:p>
    <w:p>
      <w:pPr>
        <w:pStyle w:val="Compact"/>
        <w:numPr>
          <w:ilvl w:val="0"/>
          <w:numId w:val="1058"/>
        </w:numPr>
      </w:pPr>
      <w:r>
        <w:t xml:space="preserve">Once the tissue is dry, remove the Eppendorf tubes from the silica jar and close the lids.</w:t>
      </w:r>
    </w:p>
    <w:p>
      <w:pPr>
        <w:pStyle w:val="Compact"/>
        <w:numPr>
          <w:ilvl w:val="0"/>
          <w:numId w:val="1058"/>
        </w:numPr>
      </w:pPr>
      <w:r>
        <w:t xml:space="preserve">Proceed to the Sample submission module.</w:t>
      </w:r>
    </w:p>
    <w:bookmarkEnd w:id="116"/>
    <w:bookmarkEnd w:id="117"/>
    <w:bookmarkEnd w:id="118"/>
    <w:bookmarkStart w:id="125" w:name="module-6-sample-submission-1"/>
    <w:p>
      <w:pPr>
        <w:pStyle w:val="Heading1"/>
      </w:pPr>
      <w:r>
        <w:t xml:space="preserve">8. Module 6: Sample Submission</w:t>
      </w:r>
    </w:p>
    <w:bookmarkStart w:id="124" w:name="module-6.1-myco-ed-sample-submission-sop"/>
    <w:p>
      <w:pPr>
        <w:pStyle w:val="Heading2"/>
      </w:pPr>
      <w:r>
        <w:t xml:space="preserve">8.1 Module 6.1 – Myco-Ed Sample Submission SOP</w:t>
      </w:r>
    </w:p>
    <w:bookmarkStart w:id="119" w:name="overview-1"/>
    <w:p>
      <w:pPr>
        <w:pStyle w:val="Heading3"/>
      </w:pPr>
      <w:r>
        <w:t xml:space="preserve">8.1.1 Overview</w:t>
      </w:r>
    </w:p>
    <w:p>
      <w:pPr>
        <w:pStyle w:val="FirstParagraph"/>
      </w:pPr>
      <w:r>
        <w:t xml:space="preserve">Use this document to submit fungal samples to Arizona Genomics Institute (AGI) for DNA extraction.</w:t>
      </w:r>
    </w:p>
    <w:bookmarkEnd w:id="119"/>
    <w:bookmarkStart w:id="120" w:name="definitions"/>
    <w:p>
      <w:pPr>
        <w:pStyle w:val="Heading3"/>
      </w:pPr>
      <w:r>
        <w:t xml:space="preserve">8.1.2 Definitions</w:t>
      </w:r>
    </w:p>
    <w:p>
      <w:pPr>
        <w:pStyle w:val="Compact"/>
        <w:numPr>
          <w:ilvl w:val="0"/>
          <w:numId w:val="1059"/>
        </w:numPr>
      </w:pPr>
      <w:r>
        <w:t xml:space="preserve">JGI = Joint Genomics Institute</w:t>
      </w:r>
    </w:p>
    <w:p>
      <w:pPr>
        <w:pStyle w:val="Compact"/>
        <w:numPr>
          <w:ilvl w:val="0"/>
          <w:numId w:val="1059"/>
        </w:numPr>
      </w:pPr>
      <w:r>
        <w:t xml:space="preserve">AGI = Arizona Genome Institute</w:t>
      </w:r>
    </w:p>
    <w:bookmarkEnd w:id="120"/>
    <w:bookmarkStart w:id="121" w:name="associated-documents"/>
    <w:p>
      <w:pPr>
        <w:pStyle w:val="Heading3"/>
      </w:pPr>
      <w:r>
        <w:t xml:space="preserve">8.1.3 Associated Documents</w:t>
      </w:r>
    </w:p>
    <w:p>
      <w:pPr>
        <w:pStyle w:val="FirstParagraph"/>
      </w:pPr>
      <w:r>
        <w:t xml:space="preserve">MycoEd Metadata Form</w:t>
      </w:r>
    </w:p>
    <w:bookmarkEnd w:id="121"/>
    <w:bookmarkStart w:id="122" w:name="process-steps"/>
    <w:p>
      <w:pPr>
        <w:pStyle w:val="Heading3"/>
      </w:pPr>
      <w:r>
        <w:t xml:space="preserve">8.1.4 Process Steps</w:t>
      </w:r>
    </w:p>
    <w:p>
      <w:pPr>
        <w:pStyle w:val="Compact"/>
        <w:numPr>
          <w:ilvl w:val="0"/>
          <w:numId w:val="1060"/>
        </w:numPr>
      </w:pPr>
      <w:r>
        <w:t xml:space="preserve">Create a JGI Single Sign on Account</w:t>
      </w:r>
    </w:p>
    <w:p>
      <w:pPr>
        <w:pStyle w:val="Compact"/>
        <w:numPr>
          <w:ilvl w:val="0"/>
          <w:numId w:val="1060"/>
        </w:numPr>
      </w:pPr>
      <w:r>
        <w:t xml:space="preserve">Email photos of the live tissue you intend to send AGI before collection to JTALAG@email.arizona.edu and kwbarry@lbl.gov.</w:t>
      </w:r>
    </w:p>
    <w:p>
      <w:pPr>
        <w:pStyle w:val="Compact"/>
        <w:numPr>
          <w:ilvl w:val="0"/>
          <w:numId w:val="1060"/>
        </w:numPr>
      </w:pPr>
      <w:r>
        <w:t xml:space="preserve">Make a copy of the MycoEd Metadata Form</w:t>
      </w:r>
    </w:p>
    <w:p>
      <w:pPr>
        <w:pStyle w:val="Compact"/>
        <w:numPr>
          <w:ilvl w:val="1"/>
          <w:numId w:val="1061"/>
        </w:numPr>
      </w:pPr>
      <w:r>
        <w:t xml:space="preserve">Click on MycoEd Metadata Form link</w:t>
      </w:r>
    </w:p>
    <w:p>
      <w:pPr>
        <w:pStyle w:val="Compact"/>
        <w:numPr>
          <w:ilvl w:val="1"/>
          <w:numId w:val="1061"/>
        </w:numPr>
      </w:pPr>
      <w:r>
        <w:t xml:space="preserve">Under file, select Make a Copy</w:t>
      </w:r>
    </w:p>
    <w:p>
      <w:pPr>
        <w:pStyle w:val="Compact"/>
        <w:numPr>
          <w:ilvl w:val="1"/>
          <w:numId w:val="1061"/>
        </w:numPr>
      </w:pPr>
      <w:r>
        <w:t xml:space="preserve">Rename your new copy [University][Instructor Last Name][MycoEd Metadata][Date]</w:t>
      </w:r>
    </w:p>
    <w:p>
      <w:pPr>
        <w:pStyle w:val="Compact"/>
        <w:numPr>
          <w:ilvl w:val="0"/>
          <w:numId w:val="1060"/>
        </w:numPr>
      </w:pPr>
      <w:r>
        <w:t xml:space="preserve">Fill out your copy of the MycoEd Metadata Form</w:t>
      </w:r>
    </w:p>
    <w:p>
      <w:pPr>
        <w:pStyle w:val="Compact"/>
        <w:numPr>
          <w:ilvl w:val="1"/>
          <w:numId w:val="1062"/>
        </w:numPr>
      </w:pPr>
      <w:r>
        <w:t xml:space="preserve">Professor is the instructor for the class and their email address</w:t>
      </w:r>
    </w:p>
    <w:p>
      <w:pPr>
        <w:pStyle w:val="Compact"/>
        <w:numPr>
          <w:ilvl w:val="1"/>
          <w:numId w:val="1062"/>
        </w:numPr>
      </w:pPr>
      <w:r>
        <w:t xml:space="preserve">Name of the University/Institution is your University/Institution</w:t>
      </w:r>
    </w:p>
    <w:p>
      <w:pPr>
        <w:pStyle w:val="Compact"/>
        <w:numPr>
          <w:ilvl w:val="1"/>
          <w:numId w:val="1062"/>
        </w:numPr>
      </w:pPr>
      <w:r>
        <w:t xml:space="preserve">Date submitted/shipped is the date you ship the samples to AGI</w:t>
      </w:r>
    </w:p>
    <w:p>
      <w:pPr>
        <w:pStyle w:val="Compact"/>
        <w:numPr>
          <w:ilvl w:val="1"/>
          <w:numId w:val="1062"/>
        </w:numPr>
      </w:pPr>
      <w:r>
        <w:t xml:space="preserve">JGI proposal name &amp; number is DS 509937 (already provided)</w:t>
      </w:r>
    </w:p>
    <w:p>
      <w:pPr>
        <w:pStyle w:val="Compact"/>
        <w:numPr>
          <w:ilvl w:val="0"/>
          <w:numId w:val="1060"/>
        </w:numPr>
      </w:pPr>
      <w:r>
        <w:t xml:space="preserve">Fill out Sample Table</w:t>
      </w:r>
    </w:p>
    <w:p>
      <w:pPr>
        <w:pStyle w:val="Compact"/>
        <w:numPr>
          <w:ilvl w:val="1"/>
          <w:numId w:val="1063"/>
        </w:numPr>
      </w:pPr>
      <w:r>
        <w:t xml:space="preserve">Enter requested metadata into the table</w:t>
      </w:r>
    </w:p>
    <w:p>
      <w:pPr>
        <w:pStyle w:val="Compact"/>
        <w:numPr>
          <w:ilvl w:val="1"/>
          <w:numId w:val="1063"/>
        </w:numPr>
      </w:pPr>
      <w:r>
        <w:t xml:space="preserve">Use one row per sample/tube</w:t>
      </w:r>
    </w:p>
    <w:p>
      <w:pPr>
        <w:pStyle w:val="Compact"/>
        <w:numPr>
          <w:ilvl w:val="1"/>
          <w:numId w:val="1063"/>
        </w:numPr>
      </w:pPr>
      <w:r>
        <w:t xml:space="preserve">Insert additional rows if needed</w:t>
      </w:r>
    </w:p>
    <w:p>
      <w:pPr>
        <w:pStyle w:val="Compact"/>
        <w:numPr>
          <w:ilvl w:val="1"/>
          <w:numId w:val="1063"/>
        </w:numPr>
      </w:pPr>
      <w:r>
        <w:t xml:space="preserve">Columns with gray field headers, B and D, will be filled out by JGI</w:t>
      </w:r>
    </w:p>
    <w:p>
      <w:pPr>
        <w:pStyle w:val="Compact"/>
        <w:numPr>
          <w:ilvl w:val="1"/>
          <w:numId w:val="1063"/>
        </w:numPr>
      </w:pPr>
      <w:r>
        <w:t xml:space="preserve">For Column C, Sample Name - please use below convention for naming: [University][Plant][Plant tissue] Metagenome [Sample ID]</w:t>
      </w:r>
    </w:p>
    <w:p>
      <w:pPr>
        <w:pStyle w:val="Compact"/>
        <w:numPr>
          <w:ilvl w:val="1"/>
          <w:numId w:val="1063"/>
        </w:numPr>
      </w:pPr>
      <w:r>
        <w:t xml:space="preserve">Column G is only needed if you are sending more than 22 samples</w:t>
      </w:r>
    </w:p>
    <w:p>
      <w:pPr>
        <w:pStyle w:val="Compact"/>
        <w:numPr>
          <w:ilvl w:val="1"/>
          <w:numId w:val="1063"/>
        </w:numPr>
      </w:pPr>
      <w:r>
        <w:t xml:space="preserve">Student is the full name of student that collected the sample and their email address</w:t>
      </w:r>
    </w:p>
    <w:p>
      <w:pPr>
        <w:pStyle w:val="Compact"/>
        <w:numPr>
          <w:ilvl w:val="1"/>
          <w:numId w:val="1063"/>
        </w:numPr>
      </w:pPr>
      <w:r>
        <w:t xml:space="preserve">Columns with Yellow Header, X-AF, will be filled out by AGI after DNA extraction</w:t>
      </w:r>
    </w:p>
    <w:p>
      <w:pPr>
        <w:pStyle w:val="Compact"/>
        <w:numPr>
          <w:ilvl w:val="0"/>
          <w:numId w:val="1060"/>
        </w:numPr>
      </w:pPr>
      <w:r>
        <w:t xml:space="preserve">Email form to AGI &amp; JGI</w:t>
      </w:r>
    </w:p>
    <w:p>
      <w:pPr>
        <w:pStyle w:val="Compact"/>
        <w:numPr>
          <w:ilvl w:val="1"/>
          <w:numId w:val="1064"/>
        </w:numPr>
      </w:pPr>
      <w:r>
        <w:t xml:space="preserve">Once all required metadata is provided, download a copy to excel</w:t>
      </w:r>
    </w:p>
    <w:p>
      <w:pPr>
        <w:pStyle w:val="Compact"/>
        <w:numPr>
          <w:ilvl w:val="1"/>
          <w:numId w:val="1064"/>
        </w:numPr>
      </w:pPr>
      <w:r>
        <w:t xml:space="preserve">Email a copy to Jayson at (jtalag@ag.arizona.edu ) and Kerrie (kwbarry@lbl.gov).</w:t>
      </w:r>
    </w:p>
    <w:p>
      <w:pPr>
        <w:pStyle w:val="Compact"/>
        <w:numPr>
          <w:ilvl w:val="1"/>
          <w:numId w:val="106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64"/>
        </w:numPr>
      </w:pPr>
      <w:r>
        <w:t xml:space="preserve">Include in your email your name, your college/university, the exact name of your samples (column D) that are ready to ship to AGI (and the rows in this sheet).</w:t>
      </w:r>
    </w:p>
    <w:p>
      <w:pPr>
        <w:pStyle w:val="Compact"/>
        <w:numPr>
          <w:ilvl w:val="1"/>
          <w:numId w:val="1064"/>
        </w:numPr>
      </w:pPr>
      <w:r>
        <w:t xml:space="preserve">Wait for approval/confirmation from AGI &amp; JGI.</w:t>
      </w:r>
    </w:p>
    <w:p>
      <w:pPr>
        <w:pStyle w:val="Compact"/>
        <w:numPr>
          <w:ilvl w:val="2"/>
          <w:numId w:val="1065"/>
        </w:numPr>
      </w:pPr>
      <w:r>
        <w:t xml:space="preserve">If needed make requested changed and email updated copy</w:t>
      </w:r>
    </w:p>
    <w:p>
      <w:pPr>
        <w:pStyle w:val="Compact"/>
        <w:numPr>
          <w:ilvl w:val="0"/>
          <w:numId w:val="1060"/>
        </w:numPr>
      </w:pPr>
      <w:r>
        <w:t xml:space="preserve">Prepare samples for shipment</w:t>
      </w:r>
    </w:p>
    <w:p>
      <w:pPr>
        <w:pStyle w:val="Compact"/>
        <w:numPr>
          <w:ilvl w:val="1"/>
          <w:numId w:val="1066"/>
        </w:numPr>
      </w:pPr>
    </w:p>
    <w:p>
      <w:pPr>
        <w:pStyle w:val="Compact"/>
        <w:numPr>
          <w:ilvl w:val="2"/>
          <w:numId w:val="106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6"/>
        </w:numPr>
      </w:pPr>
      <w:r>
        <w:t xml:space="preserve">Email FEDEX tracking # when your shipment is picked up.</w:t>
      </w:r>
    </w:p>
    <w:p>
      <w:pPr>
        <w:pStyle w:val="Compact"/>
        <w:numPr>
          <w:ilvl w:val="1"/>
          <w:numId w:val="106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2"/>
    <w:bookmarkStart w:id="123"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3"/>
    <w:bookmarkEnd w:id="124"/>
    <w:bookmarkEnd w:id="125"/>
    <w:bookmarkStart w:id="143" w:name="module-7-genomic-analyses-1"/>
    <w:p>
      <w:pPr>
        <w:pStyle w:val="Heading1"/>
      </w:pPr>
      <w:r>
        <w:t xml:space="preserve">9. Module 7: Genomic Analyses</w:t>
      </w:r>
    </w:p>
    <w:bookmarkStart w:id="133" w:name="X46999d4e04aaa0bd6e7f1cf0936f3283e50c93c"/>
    <w:p>
      <w:pPr>
        <w:pStyle w:val="Heading2"/>
      </w:pPr>
      <w:r>
        <w:t xml:space="preserve">9.1 Module 7.1 – Sexual Reproduction in Ascomycota Genomic Analysis</w:t>
      </w:r>
    </w:p>
    <w:bookmarkStart w:id="126"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6"/>
    <w:bookmarkStart w:id="127" w:name="references"/>
    <w:p>
      <w:pPr>
        <w:pStyle w:val="Heading3"/>
      </w:pPr>
      <w:r>
        <w:t xml:space="preserve">9.1.2 References:</w:t>
      </w:r>
    </w:p>
    <w:p>
      <w:pPr>
        <w:pStyle w:val="Compact"/>
        <w:numPr>
          <w:ilvl w:val="0"/>
          <w:numId w:val="1068"/>
        </w:numPr>
      </w:pPr>
      <w:r>
        <w:t xml:space="preserve">Casselton, L.A., Olesnicky, N.S., 1998. Molecular Genetics of Mating Recognition in Basidiomycete Fungi. Microbiol Mol Biol Rev., 62(1): 55–70. doi: 10.1128/mmbr.62.1.55-70.1998</w:t>
      </w:r>
    </w:p>
    <w:p>
      <w:pPr>
        <w:pStyle w:val="Compact"/>
        <w:numPr>
          <w:ilvl w:val="0"/>
          <w:numId w:val="1068"/>
        </w:numPr>
      </w:pPr>
      <w:r>
        <w:t xml:space="preserve">Cambareri, E.B., Singer, M.J., Selker, E.U., 1991. Recurrence of repeat-induced point mutation (RIP) in Neurospora crassa. Genetics, 127(4):699-710. doi: 10.1093/genetics/127.4.699.</w:t>
      </w:r>
    </w:p>
    <w:p>
      <w:pPr>
        <w:pStyle w:val="Compact"/>
        <w:numPr>
          <w:ilvl w:val="0"/>
          <w:numId w:val="1068"/>
        </w:numPr>
      </w:pPr>
      <w:r>
        <w:t xml:space="preserve">Metzenberg, R.L., Glass, N.L., 1990. Mating type and mating strategies in Neurospora. Bioessays. 1990 Feb;12(2):53-9. doi: 10.1002/bies.950120202.</w:t>
      </w:r>
    </w:p>
    <w:bookmarkEnd w:id="127"/>
    <w:bookmarkStart w:id="132" w:name="finding-mat-a"/>
    <w:p>
      <w:pPr>
        <w:pStyle w:val="Heading3"/>
      </w:pPr>
      <w:r>
        <w:t xml:space="preserve">9.1.3 Finding mat A</w:t>
      </w:r>
    </w:p>
    <w:bookmarkStart w:id="128"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9"/>
        </w:numPr>
      </w:pPr>
      <w:r>
        <w:t xml:space="preserve">Let’s find the location of this gene in the genome! Go to the Neucr2 MycoCosm portal (https://mycocosm.jgi.doe.gov/Neucr2) and search for it using the BLAST tool.</w:t>
      </w:r>
    </w:p>
    <w:p>
      <w:pPr>
        <w:pStyle w:val="Compact"/>
        <w:numPr>
          <w:ilvl w:val="0"/>
          <w:numId w:val="106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9"/>
        </w:numPr>
      </w:pPr>
      <w:r>
        <w:t xml:space="preserve">You should see two hits, each shown in a separate row.</w:t>
      </w:r>
    </w:p>
    <w:p>
      <w:pPr>
        <w:pStyle w:val="Compact"/>
        <w:numPr>
          <w:ilvl w:val="1"/>
          <w:numId w:val="107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70"/>
        </w:numPr>
      </w:pPr>
      <w:r>
        <w:t xml:space="preserve">The second column shows an alignment of that sequence against your query, which is helpful for seeing how well hits cover your query sequence.</w:t>
      </w:r>
    </w:p>
    <w:p>
      <w:pPr>
        <w:pStyle w:val="Compact"/>
        <w:numPr>
          <w:ilvl w:val="1"/>
          <w:numId w:val="1070"/>
        </w:numPr>
      </w:pPr>
      <w:r>
        <w:t xml:space="preserve">The score and EValue columns are also useful when assessing hit quality. Higher scores are better, and conversely, lower e-values are better.</w:t>
      </w:r>
    </w:p>
    <w:p>
      <w:pPr>
        <w:pStyle w:val="Compact"/>
        <w:numPr>
          <w:ilvl w:val="0"/>
          <w:numId w:val="106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9"/>
        </w:numPr>
      </w:pPr>
      <w:r>
        <w:t xml:space="preserve">Using the information on the protein page, can you find mat A-2 and mat-A3?</w:t>
      </w:r>
    </w:p>
    <w:p>
      <w:pPr>
        <w:pStyle w:val="Compact"/>
        <w:numPr>
          <w:ilvl w:val="0"/>
          <w:numId w:val="1069"/>
        </w:numPr>
      </w:pPr>
      <w:r>
        <w:t xml:space="preserve">At the mating type locus, do you notice anything interesting when exploring the read depth coverage plots (pink tracks) from related Neurospora genomes?</w:t>
      </w:r>
    </w:p>
    <w:p>
      <w:pPr>
        <w:pStyle w:val="Compact"/>
        <w:numPr>
          <w:ilvl w:val="0"/>
          <w:numId w:val="106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8"/>
    <w:bookmarkStart w:id="129"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7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7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7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7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7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7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9"/>
    <w:bookmarkStart w:id="130"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7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72"/>
        </w:numPr>
      </w:pPr>
      <w:r>
        <w:t xml:space="preserve">Let’s find it on the mat a genome portal you found earlier for N. tetrasperma strain FGSC 2509, (https://mycocosm.jgi.doe.gov/Neute_mat_a1).</w:t>
      </w:r>
    </w:p>
    <w:p>
      <w:pPr>
        <w:pStyle w:val="Compact"/>
        <w:numPr>
          <w:ilvl w:val="0"/>
          <w:numId w:val="107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72"/>
        </w:numPr>
      </w:pPr>
      <w:r>
        <w:t xml:space="preserve">The best hit is to N. tetrasperma protein ID 124723, can you explain why?</w:t>
      </w:r>
    </w:p>
    <w:p>
      <w:pPr>
        <w:pStyle w:val="Compact"/>
        <w:numPr>
          <w:ilvl w:val="0"/>
          <w:numId w:val="1072"/>
        </w:numPr>
      </w:pPr>
      <w:r>
        <w:t xml:space="preserve">Let’s revisit the Neucr2 mcl clustering page and search for this, again by typing portalID.proteinID (e.g. Neute_mat_a1.124723) in the search field.</w:t>
      </w:r>
    </w:p>
    <w:p>
      <w:pPr>
        <w:pStyle w:val="Compact"/>
        <w:numPr>
          <w:ilvl w:val="0"/>
          <w:numId w:val="107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72"/>
        </w:numPr>
      </w:pPr>
      <w:r>
        <w:t xml:space="preserve">It looks like our mat a gene is found in a region that is not present in any of the others, which are all the opposite mating type (mat A)!</w:t>
      </w:r>
    </w:p>
    <w:p>
      <w:pPr>
        <w:pStyle w:val="Compact"/>
        <w:numPr>
          <w:ilvl w:val="0"/>
          <w:numId w:val="1072"/>
        </w:numPr>
      </w:pPr>
      <w:r>
        <w:t xml:space="preserve">With this information, we can say that all our current evidence supports our hypothesis that fungal mating types are driven by presence/absence of specific genes, mat a and A in particular!</w:t>
      </w:r>
    </w:p>
    <w:bookmarkEnd w:id="130"/>
    <w:bookmarkStart w:id="131"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7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7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73"/>
        </w:numPr>
      </w:pPr>
      <w:r>
        <w:t xml:space="preserve">Go through the same exercise to search mcl clusters. Do you see a similar pattern to what we observed in N. crassa?</w:t>
      </w:r>
    </w:p>
    <w:p>
      <w:pPr>
        <w:pStyle w:val="Compact"/>
        <w:numPr>
          <w:ilvl w:val="0"/>
          <w:numId w:val="107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7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7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7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1"/>
    <w:bookmarkEnd w:id="132"/>
    <w:bookmarkEnd w:id="133"/>
    <w:bookmarkStart w:id="142" w:name="Xe7b646958662d93788a5fac43551e0623449021"/>
    <w:p>
      <w:pPr>
        <w:pStyle w:val="Heading2"/>
      </w:pPr>
      <w:r>
        <w:t xml:space="preserve">9.2 Module 7.2 – Fungal Natural Product Production Genomic Analysis</w:t>
      </w:r>
    </w:p>
    <w:bookmarkStart w:id="134"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4"/>
    <w:bookmarkStart w:id="135" w:name="references-1"/>
    <w:p>
      <w:pPr>
        <w:pStyle w:val="Heading3"/>
      </w:pPr>
      <w:r>
        <w:t xml:space="preserve">9.2.2 References</w:t>
      </w:r>
    </w:p>
    <w:p>
      <w:pPr>
        <w:pStyle w:val="Compact"/>
        <w:numPr>
          <w:ilvl w:val="0"/>
          <w:numId w:val="107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74"/>
        </w:numPr>
      </w:pPr>
      <w:r>
        <w:t xml:space="preserve">Seenivasan, A., Subhagar, S., Aravindan, R., Viruthagiri, T., 2008. Microbial Production and Biomedical Applications of Lovastatin. Indian J Pharm Sci. 2008, doi: 10.4103/0250-474X.49087</w:t>
      </w:r>
    </w:p>
    <w:p>
      <w:pPr>
        <w:pStyle w:val="Compact"/>
        <w:numPr>
          <w:ilvl w:val="0"/>
          <w:numId w:val="107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74"/>
        </w:numPr>
      </w:pPr>
      <w:r>
        <w:t xml:space="preserve">Strieker, M., Tanovic, A., Marahiel, M.A., 2010. Nonribosomal peptide synthetases: structures and dynamics. Current Opinion in Structural Biology 2010, 20:234–240</w:t>
      </w:r>
    </w:p>
    <w:p>
      <w:pPr>
        <w:pStyle w:val="Compact"/>
        <w:numPr>
          <w:ilvl w:val="0"/>
          <w:numId w:val="1074"/>
        </w:numPr>
      </w:pPr>
      <w:r>
        <w:t xml:space="preserve">Keller, N., 2019. Fungal secondary metabolism: regulation, function and drug discovery. Nature Reviews Microbiology, 17(3): 167–180. doi: 10.1038/s41579-018-0121-1</w:t>
      </w:r>
    </w:p>
    <w:bookmarkEnd w:id="135"/>
    <w:bookmarkStart w:id="138" w:name="X31643484012ee51f67fd2def9a4608ddd3c7490"/>
    <w:p>
      <w:pPr>
        <w:pStyle w:val="Heading3"/>
      </w:pPr>
      <w:r>
        <w:t xml:space="preserve">9.2.3 Finding the Penicillin Biosynthetic Gene Cluster</w:t>
      </w:r>
    </w:p>
    <w:bookmarkStart w:id="136" w:name="X27e5a65183f9483aec43514a5289c555b8e099a"/>
    <w:p>
      <w:pPr>
        <w:pStyle w:val="Heading4"/>
      </w:pPr>
      <w:r>
        <w:t xml:space="preserve">9.2.3.1 Locate the known cluster in P. chrysogenum</w:t>
      </w:r>
    </w:p>
    <w:p>
      <w:pPr>
        <w:pStyle w:val="Compact"/>
        <w:numPr>
          <w:ilvl w:val="0"/>
          <w:numId w:val="107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5"/>
        </w:numPr>
      </w:pPr>
      <w:r>
        <w:t xml:space="preserve">You should see a single hit! Click on the coordinates to view this region of the genome.</w:t>
      </w:r>
    </w:p>
    <w:p>
      <w:pPr>
        <w:pStyle w:val="Compact"/>
        <w:numPr>
          <w:ilvl w:val="0"/>
          <w:numId w:val="1075"/>
        </w:numPr>
      </w:pPr>
      <w:r>
        <w:t xml:space="preserve">Of course, we are searching for DNA that is mostly found in between these penicillin-related genes. Click -10x to get a bigger view of this locus.</w:t>
      </w:r>
    </w:p>
    <w:p>
      <w:pPr>
        <w:pStyle w:val="Compact"/>
        <w:numPr>
          <w:ilvl w:val="0"/>
          <w:numId w:val="107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6"/>
    <w:bookmarkStart w:id="137" w:name="X3367d9de4d4452f0e4500f817aabeb87e960cf9"/>
    <w:p>
      <w:pPr>
        <w:pStyle w:val="Heading4"/>
      </w:pPr>
      <w:r>
        <w:t xml:space="preserve">9.2.3.2 Find candidate Penicillin BGCs in related fungi</w:t>
      </w:r>
    </w:p>
    <w:p>
      <w:pPr>
        <w:pStyle w:val="Compact"/>
        <w:numPr>
          <w:ilvl w:val="0"/>
          <w:numId w:val="1076"/>
        </w:numPr>
      </w:pPr>
      <w:r>
        <w:t xml:space="preserve">With our NRPS bait in hand, let’s try to fish out similar genes in related fungi! But before we do, do you have any hypotheses about how often it will be found?</w:t>
      </w:r>
    </w:p>
    <w:p>
      <w:pPr>
        <w:pStyle w:val="Compact"/>
        <w:numPr>
          <w:ilvl w:val="0"/>
          <w:numId w:val="107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6"/>
        </w:numPr>
      </w:pPr>
      <w:r>
        <w:t xml:space="preserve">Can you find where hit quality begins to drop off? You can see by just looking at the top 10 that quality drops off really fast!</w:t>
      </w:r>
    </w:p>
    <w:p>
      <w:pPr>
        <w:pStyle w:val="Compact"/>
        <w:numPr>
          <w:ilvl w:val="0"/>
          <w:numId w:val="107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7"/>
    <w:bookmarkEnd w:id="138"/>
    <w:bookmarkStart w:id="141" w:name="characterize-myco-ed-bgcs"/>
    <w:p>
      <w:pPr>
        <w:pStyle w:val="Heading3"/>
      </w:pPr>
      <w:r>
        <w:t xml:space="preserve">9.2.4 Characterize Myco-Ed BGCs</w:t>
      </w:r>
    </w:p>
    <w:bookmarkStart w:id="139"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7"/>
        </w:numPr>
      </w:pPr>
      <w:r>
        <w:t xml:space="preserve">Let’s set a goal to describe the distribution of fungal BGC backbone genes, following the same workflow you just did for penicillin.</w:t>
      </w:r>
    </w:p>
    <w:p>
      <w:pPr>
        <w:pStyle w:val="Compact"/>
        <w:numPr>
          <w:ilvl w:val="0"/>
          <w:numId w:val="107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9"/>
    <w:bookmarkStart w:id="140" w:name="annotate-them"/>
    <w:p>
      <w:pPr>
        <w:pStyle w:val="Heading4"/>
      </w:pPr>
      <w:r>
        <w:t xml:space="preserve">9.2.4.2 Annotate them!</w:t>
      </w:r>
    </w:p>
    <w:p>
      <w:pPr>
        <w:pStyle w:val="Compact"/>
        <w:numPr>
          <w:ilvl w:val="0"/>
          <w:numId w:val="107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0"/>
    <w:bookmarkEnd w:id="141"/>
    <w:bookmarkEnd w:id="142"/>
    <w:bookmarkEnd w:id="143"/>
    <w:bookmarkStart w:id="145"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4">
        <w:r>
          <w:rPr>
            <w:rStyle w:val="Hyperlink"/>
          </w:rPr>
          <w:t xml:space="preserve">BSC495-HWC GitHub organization</w:t>
        </w:r>
      </w:hyperlink>
      <w:r>
        <w:t xml:space="preserve">.</w:t>
      </w:r>
    </w:p>
    <w:bookmarkEnd w:id="145"/>
    <w:bookmarkStart w:id="148"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6"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6"/>
    <w:bookmarkStart w:id="147"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7"/>
    <w:bookmarkEnd w:id="148"/>
    <w:bookmarkStart w:id="150" w:name="references-2"/>
    <w:p>
      <w:pPr>
        <w:pStyle w:val="Heading1"/>
      </w:pPr>
      <w:r>
        <w:t xml:space="preserve">References</w:t>
      </w:r>
    </w:p>
    <w:bookmarkStart w:id="149" w:name="refs"/>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34" Target="media/rId34.png" /><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_rels/footnotes.xml.rels><?xml version="1.0" encoding="UTF-8"?><Relationships xmlns="http://schemas.openxmlformats.org/package/2006/relationships"><Relationship Type="http://schemas.openxmlformats.org/officeDocument/2006/relationships/hyperlink" Id="rId144"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 Type="http://schemas.openxmlformats.org/officeDocument/2006/relationships/hyperlink" Id="rId11" Target="module1-slides.html" TargetMode="External" /><Relationship Type="http://schemas.openxmlformats.org/officeDocument/2006/relationships/hyperlink" Id="rId12" Target="module2-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2026-05-17T16:35:24Z</dcterms:created>
  <dcterms:modified xsi:type="dcterms:W3CDTF">2026-05-17T16:35:24Z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