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9" w:name="module-slides"/>
    <w:p>
      <w:pPr>
        <w:pStyle w:val="Heading2"/>
      </w:pPr>
      <w:r>
        <w:t xml:space="preserve">Module Slides</w:t>
      </w:r>
    </w:p>
    <w:p>
      <w:pPr>
        <w:pStyle w:val="Compact"/>
        <w:numPr>
          <w:ilvl w:val="0"/>
          <w:numId w:val="1001"/>
        </w:numPr>
      </w:pPr>
      <w:hyperlink r:id="rId11">
        <w:r>
          <w:rPr>
            <w:rStyle w:val="Hyperlink"/>
          </w:rPr>
          <w:t xml:space="preserve">Module 0 Slides</w:t>
        </w:r>
      </w:hyperlink>
    </w:p>
    <w:p>
      <w:pPr>
        <w:pStyle w:val="Compact"/>
        <w:numPr>
          <w:ilvl w:val="0"/>
          <w:numId w:val="1001"/>
        </w:numPr>
      </w:pPr>
      <w:hyperlink r:id="rId12">
        <w:r>
          <w:rPr>
            <w:rStyle w:val="Hyperlink"/>
          </w:rPr>
          <w:t xml:space="preserve">Module 1 Slides</w:t>
        </w:r>
      </w:hyperlink>
    </w:p>
    <w:p>
      <w:pPr>
        <w:pStyle w:val="Compact"/>
        <w:numPr>
          <w:ilvl w:val="0"/>
          <w:numId w:val="1001"/>
        </w:numPr>
      </w:pPr>
      <w:hyperlink r:id="rId13">
        <w:r>
          <w:rPr>
            <w:rStyle w:val="Hyperlink"/>
          </w:rPr>
          <w:t xml:space="preserve">Module 2 Slides</w:t>
        </w:r>
      </w:hyperlink>
    </w:p>
    <w:p>
      <w:pPr>
        <w:pStyle w:val="Compact"/>
        <w:numPr>
          <w:ilvl w:val="0"/>
          <w:numId w:val="1001"/>
        </w:numPr>
      </w:pPr>
      <w:hyperlink r:id="rId14">
        <w:r>
          <w:rPr>
            <w:rStyle w:val="Hyperlink"/>
          </w:rPr>
          <w:t xml:space="preserve">Module 3 Slides</w:t>
        </w:r>
      </w:hyperlink>
    </w:p>
    <w:p>
      <w:pPr>
        <w:pStyle w:val="Compact"/>
        <w:numPr>
          <w:ilvl w:val="0"/>
          <w:numId w:val="1001"/>
        </w:numPr>
      </w:pPr>
      <w:hyperlink r:id="rId15">
        <w:r>
          <w:rPr>
            <w:rStyle w:val="Hyperlink"/>
          </w:rPr>
          <w:t xml:space="preserve">Module 4 Slides</w:t>
        </w:r>
      </w:hyperlink>
    </w:p>
    <w:p>
      <w:pPr>
        <w:pStyle w:val="Compact"/>
        <w:numPr>
          <w:ilvl w:val="0"/>
          <w:numId w:val="1001"/>
        </w:numPr>
      </w:pPr>
      <w:hyperlink r:id="rId16">
        <w:r>
          <w:rPr>
            <w:rStyle w:val="Hyperlink"/>
          </w:rPr>
          <w:t xml:space="preserve">Module 5 Slides</w:t>
        </w:r>
      </w:hyperlink>
    </w:p>
    <w:p>
      <w:pPr>
        <w:pStyle w:val="Compact"/>
        <w:numPr>
          <w:ilvl w:val="0"/>
          <w:numId w:val="1001"/>
        </w:numPr>
      </w:pPr>
      <w:hyperlink r:id="rId17">
        <w:r>
          <w:rPr>
            <w:rStyle w:val="Hyperlink"/>
          </w:rPr>
          <w:t xml:space="preserve">Module 6 Slides</w:t>
        </w:r>
      </w:hyperlink>
    </w:p>
    <w:p>
      <w:pPr>
        <w:pStyle w:val="Compact"/>
        <w:numPr>
          <w:ilvl w:val="0"/>
          <w:numId w:val="1001"/>
        </w:numPr>
      </w:pPr>
      <w:hyperlink r:id="rId18">
        <w:r>
          <w:rPr>
            <w:rStyle w:val="Hyperlink"/>
          </w:rPr>
          <w:t xml:space="preserve">Module 7 Slides</w:t>
        </w:r>
      </w:hyperlink>
    </w:p>
    <w:bookmarkEnd w:id="19"/>
    <w:bookmarkEnd w:id="20"/>
    <w:bookmarkStart w:id="21"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1"/>
    <w:bookmarkStart w:id="39" w:name="Xb6a9464ee45b88b34e73bee5db9cbd7a5932867"/>
    <w:p>
      <w:pPr>
        <w:pStyle w:val="Heading1"/>
      </w:pPr>
      <w:r>
        <w:t xml:space="preserve">2. Module 0: Getting Started and Data Management [Instructor Instructions]</w:t>
      </w:r>
    </w:p>
    <w:bookmarkStart w:id="29"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2"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Agar, Bacteriological</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Alcohol Lamp or Bunsen Burner</w:t>
      </w:r>
    </w:p>
    <w:p>
      <w:pPr>
        <w:pStyle w:val="Compact"/>
        <w:numPr>
          <w:ilvl w:val="0"/>
          <w:numId w:val="1003"/>
        </w:numPr>
      </w:pPr>
      <w:r>
        <w:t xml:space="preserve">Forceps</w:t>
      </w:r>
    </w:p>
    <w:p>
      <w:pPr>
        <w:pStyle w:val="Compact"/>
        <w:numPr>
          <w:ilvl w:val="0"/>
          <w:numId w:val="1003"/>
        </w:numPr>
      </w:pPr>
      <w:r>
        <w:t xml:space="preserve">Scalpel (make sure handle is metal, this will be flame sterilized, plastic will melt)</w:t>
      </w:r>
    </w:p>
    <w:p>
      <w:pPr>
        <w:pStyle w:val="Compact"/>
        <w:numPr>
          <w:ilvl w:val="0"/>
          <w:numId w:val="1003"/>
        </w:numPr>
      </w:pPr>
      <w:r>
        <w:t xml:space="preserve">150ml Beaker (or similar,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w:t>
      </w:r>
    </w:p>
    <w:p>
      <w:pPr>
        <w:pStyle w:val="Compact"/>
        <w:numPr>
          <w:ilvl w:val="0"/>
          <w:numId w:val="1003"/>
        </w:numPr>
      </w:pPr>
      <w:r>
        <w:t xml:space="preserve">10% bleach</w:t>
      </w:r>
    </w:p>
    <w:p>
      <w:pPr>
        <w:pStyle w:val="Compact"/>
        <w:numPr>
          <w:ilvl w:val="0"/>
          <w:numId w:val="1003"/>
        </w:numPr>
      </w:pPr>
      <w:r>
        <w:t xml:space="preserve">70% ethanol</w:t>
      </w:r>
    </w:p>
    <w:p>
      <w:pPr>
        <w:pStyle w:val="Compact"/>
        <w:numPr>
          <w:ilvl w:val="0"/>
          <w:numId w:val="1003"/>
        </w:numPr>
      </w:pPr>
      <w:r>
        <w:t xml:space="preserve">Paper towels</w:t>
      </w:r>
    </w:p>
    <w:bookmarkEnd w:id="22"/>
    <w:bookmarkStart w:id="23"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3"/>
    <w:bookmarkStart w:id="24"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4"/>
    <w:bookmarkStart w:id="25"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5"/>
    <w:bookmarkStart w:id="26" w:name="Xcfdc0ee93a5d518abd386287143069d9246eecd"/>
    <w:p>
      <w:pPr>
        <w:pStyle w:val="Heading3"/>
      </w:pPr>
      <w:r>
        <w:t xml:space="preserve">2.1.5 Module 5 - Tissue Preparation for Genome Sequencing</w:t>
      </w:r>
    </w:p>
    <w:p>
      <w:pPr>
        <w:pStyle w:val="Compact"/>
        <w:numPr>
          <w:ilvl w:val="0"/>
          <w:numId w:val="1005"/>
        </w:numPr>
      </w:pPr>
      <w:r>
        <w:t xml:space="preserve">Cellophane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Transfer hood/Bunsen burner</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6"/>
    <w:bookmarkStart w:id="27"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7"/>
    <w:bookmarkStart w:id="28"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8"/>
    <w:bookmarkEnd w:id="29"/>
    <w:bookmarkStart w:id="34" w:name="Xcbdbfd15cc4383fe5deee011eccaab33ef2e95c"/>
    <w:p>
      <w:pPr>
        <w:pStyle w:val="Heading2"/>
      </w:pPr>
      <w:r>
        <w:t xml:space="preserve">2.2 Module 0.2 – Create iNaturalist Traditional Project Instructions</w:t>
      </w:r>
    </w:p>
    <w:bookmarkStart w:id="30"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0"/>
    <w:bookmarkStart w:id="31"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1"/>
    <w:bookmarkStart w:id="32"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2"/>
    <w:bookmarkStart w:id="33"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3"/>
    <w:bookmarkEnd w:id="34"/>
    <w:bookmarkStart w:id="38" w:name="module-0.3-inaturalist-checklist"/>
    <w:p>
      <w:pPr>
        <w:pStyle w:val="Heading2"/>
      </w:pPr>
      <w:r>
        <w:t xml:space="preserve">2.3 Module 0.3 – iNaturalist Checklist</w:t>
      </w:r>
    </w:p>
    <w:bookmarkStart w:id="37"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5"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5"/>
    <w:bookmarkStart w:id="36"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6"/>
    <w:bookmarkEnd w:id="37"/>
    <w:bookmarkEnd w:id="38"/>
    <w:bookmarkEnd w:id="39"/>
    <w:bookmarkStart w:id="62" w:name="module-1-fungal-sampling"/>
    <w:p>
      <w:pPr>
        <w:pStyle w:val="Heading1"/>
      </w:pPr>
      <w:r>
        <w:t xml:space="preserve">3. Module 1: Fungal Sampling</w:t>
      </w:r>
    </w:p>
    <w:bookmarkStart w:id="44" w:name="module-1.1-lab-prep-overview"/>
    <w:p>
      <w:pPr>
        <w:pStyle w:val="Heading2"/>
      </w:pPr>
      <w:r>
        <w:t xml:space="preserve">3.1 Module 1.1 – Lab Prep Overview</w:t>
      </w:r>
    </w:p>
    <w:bookmarkStart w:id="43"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3"/>
    <w:bookmarkEnd w:id="44"/>
    <w:bookmarkStart w:id="51" w:name="module-1.2-metadata-directions"/>
    <w:p>
      <w:pPr>
        <w:pStyle w:val="Heading2"/>
      </w:pPr>
      <w:r>
        <w:t xml:space="preserve">3.2 Module 1.2 – Metadata Directions</w:t>
      </w:r>
    </w:p>
    <w:bookmarkStart w:id="45"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5"/>
    <w:bookmarkStart w:id="46" w:name="inaturalist-plant-observation"/>
    <w:p>
      <w:pPr>
        <w:pStyle w:val="Heading3"/>
      </w:pPr>
      <w:r>
        <w:t xml:space="preserve">3.2.2 iNaturalist plant observation:</w:t>
      </w:r>
    </w:p>
    <w:p>
      <w:pPr>
        <w:pStyle w:val="FirstParagraph"/>
      </w:pPr>
      <w:r>
        <w:t xml:space="preserve">Provide the URL link for your iNaturalist plant observation.</w:t>
      </w:r>
    </w:p>
    <w:bookmarkEnd w:id="46"/>
    <w:bookmarkStart w:id="47"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7"/>
    <w:bookmarkStart w:id="48"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8"/>
    <w:bookmarkStart w:id="49"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9"/>
    <w:bookmarkStart w:id="50"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0"/>
    <w:bookmarkEnd w:id="51"/>
    <w:bookmarkStart w:id="58" w:name="Xb4fb397bd02a3abfe006792dec75e7bd20d5dfd"/>
    <w:p>
      <w:pPr>
        <w:pStyle w:val="Heading2"/>
      </w:pPr>
      <w:r>
        <w:t xml:space="preserve">3.3 Module 1.3 - Fungal Sampling and Culturing</w:t>
      </w:r>
    </w:p>
    <w:bookmarkStart w:id="52"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2"/>
    <w:bookmarkStart w:id="53"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3"/>
    <w:bookmarkStart w:id="54"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54"/>
    <w:bookmarkStart w:id="55"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55"/>
    <w:bookmarkStart w:id="57" w:name="instructions"/>
    <w:p>
      <w:pPr>
        <w:pStyle w:val="Heading3"/>
      </w:pPr>
      <w:r>
        <w:t xml:space="preserve">3.3.5 Instructions</w:t>
      </w:r>
    </w:p>
    <w:bookmarkStart w:id="56"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6"/>
    <w:bookmarkEnd w:id="57"/>
    <w:bookmarkEnd w:id="58"/>
    <w:bookmarkStart w:id="61" w:name="module-1.4-using-inaturalist"/>
    <w:p>
      <w:pPr>
        <w:pStyle w:val="Heading2"/>
      </w:pPr>
      <w:r>
        <w:t xml:space="preserve">3.4 Module 1.4 – Using iNaturalist</w:t>
      </w:r>
    </w:p>
    <w:bookmarkStart w:id="59"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9"/>
    <w:bookmarkStart w:id="60"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0"/>
    <w:bookmarkEnd w:id="61"/>
    <w:bookmarkEnd w:id="62"/>
    <w:bookmarkStart w:id="80" w:name="module-2-fungal-isolation"/>
    <w:p>
      <w:pPr>
        <w:pStyle w:val="Heading1"/>
      </w:pPr>
      <w:r>
        <w:t xml:space="preserve">4. Module 2: Fungal Isolation</w:t>
      </w:r>
    </w:p>
    <w:bookmarkStart w:id="69" w:name="module-2.1-lab-prep-overview"/>
    <w:p>
      <w:pPr>
        <w:pStyle w:val="Heading2"/>
      </w:pPr>
      <w:r>
        <w:t xml:space="preserve">4.1 Module 2.1 – Lab Prep Overview</w:t>
      </w:r>
    </w:p>
    <w:bookmarkStart w:id="68"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8"/>
    <w:bookmarkEnd w:id="69"/>
    <w:bookmarkStart w:id="79" w:name="module-2.2---fungal-isolation"/>
    <w:p>
      <w:pPr>
        <w:pStyle w:val="Heading2"/>
      </w:pPr>
      <w:r>
        <w:t xml:space="preserve">4.2 Module 2.2 - Fungal Isolation</w:t>
      </w:r>
    </w:p>
    <w:bookmarkStart w:id="70"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0"/>
    <w:bookmarkStart w:id="71"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1"/>
    <w:bookmarkStart w:id="72"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72"/>
    <w:bookmarkStart w:id="73"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73"/>
    <w:bookmarkStart w:id="78" w:name="instructions-1"/>
    <w:p>
      <w:pPr>
        <w:pStyle w:val="Heading3"/>
      </w:pPr>
      <w:r>
        <w:t xml:space="preserve">4.2.5 Instructions</w:t>
      </w:r>
    </w:p>
    <w:bookmarkStart w:id="76"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important.png" id="7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6"/>
    <w:bookmarkStart w:id="77"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7"/>
    <w:bookmarkEnd w:id="78"/>
    <w:bookmarkEnd w:id="79"/>
    <w:bookmarkEnd w:id="80"/>
    <w:bookmarkStart w:id="88" w:name="module-3-phenotypic-assays"/>
    <w:p>
      <w:pPr>
        <w:pStyle w:val="Heading1"/>
      </w:pPr>
      <w:r>
        <w:t xml:space="preserve">5. Module 3: Phenotypic Assays</w:t>
      </w:r>
    </w:p>
    <w:bookmarkStart w:id="82" w:name="module-3.1-phenotypic-assays"/>
    <w:p>
      <w:pPr>
        <w:pStyle w:val="Heading2"/>
      </w:pPr>
      <w:r>
        <w:t xml:space="preserve">5.1 Module 3.1 – Phenotypic Assays</w:t>
      </w:r>
    </w:p>
    <w:bookmarkStart w:id="81"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1"/>
    <w:bookmarkEnd w:id="82"/>
    <w:bookmarkStart w:id="87" w:name="module-3.2-phenotypic-assays"/>
    <w:p>
      <w:pPr>
        <w:pStyle w:val="Heading2"/>
      </w:pPr>
      <w:r>
        <w:t xml:space="preserve">5.2 Module 3.2 – Phenotypic Assays</w:t>
      </w:r>
    </w:p>
    <w:bookmarkStart w:id="83"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3"/>
    <w:bookmarkStart w:id="84"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4"/>
    <w:bookmarkStart w:id="85"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5"/>
    <w:bookmarkStart w:id="86"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6"/>
    <w:bookmarkEnd w:id="87"/>
    <w:bookmarkEnd w:id="88"/>
    <w:bookmarkStart w:id="113" w:name="module-4-dna-sequencing"/>
    <w:p>
      <w:pPr>
        <w:pStyle w:val="Heading1"/>
      </w:pPr>
      <w:r>
        <w:t xml:space="preserve">6. Module 4: DNA Sequencing</w:t>
      </w:r>
    </w:p>
    <w:bookmarkStart w:id="90" w:name="X1f9141d941555e98bd81ab73b3543cfd3247ac1"/>
    <w:p>
      <w:pPr>
        <w:pStyle w:val="Heading2"/>
      </w:pPr>
      <w:r>
        <w:t xml:space="preserve">6.1 Module 4.1 – DNA Sequencing and Species Identification Instructor Resources</w:t>
      </w:r>
    </w:p>
    <w:bookmarkStart w:id="89"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9"/>
    <w:bookmarkEnd w:id="90"/>
    <w:bookmarkStart w:id="112" w:name="X84ab9f30f319591ed283388a48344a8ca0af377"/>
    <w:p>
      <w:pPr>
        <w:pStyle w:val="Heading2"/>
      </w:pPr>
      <w:r>
        <w:t xml:space="preserve">6.2 Module 4.2 – DNA Sequencing and Species Identification</w:t>
      </w:r>
    </w:p>
    <w:bookmarkStart w:id="91"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1"/>
    <w:bookmarkStart w:id="92"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92"/>
    <w:bookmarkStart w:id="96" w:name="part-i-dna-extraction"/>
    <w:p>
      <w:pPr>
        <w:pStyle w:val="Heading3"/>
      </w:pPr>
      <w:r>
        <w:t xml:space="preserve">6.2.3 Part I: DNA Extraction</w:t>
      </w:r>
    </w:p>
    <w:bookmarkStart w:id="93"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3"/>
    <w:bookmarkStart w:id="94"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94"/>
    <w:bookmarkStart w:id="95"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5"/>
    <w:bookmarkEnd w:id="96"/>
    <w:bookmarkStart w:id="101" w:name="part-ii-polymerase-chain-reaction-pcr"/>
    <w:p>
      <w:pPr>
        <w:pStyle w:val="Heading3"/>
      </w:pPr>
      <w:r>
        <w:t xml:space="preserve">6.2.4 Part II: Polymerase Chain Reaction (PCR)</w:t>
      </w:r>
    </w:p>
    <w:bookmarkStart w:id="97"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7"/>
    <w:bookmarkStart w:id="98"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8"/>
    <w:bookmarkStart w:id="99"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9"/>
    <w:bookmarkStart w:id="100"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100"/>
    <w:bookmarkEnd w:id="101"/>
    <w:bookmarkStart w:id="106"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2"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2"/>
    <w:bookmarkStart w:id="103"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103"/>
    <w:bookmarkStart w:id="104"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104"/>
    <w:bookmarkStart w:id="105"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105"/>
    <w:bookmarkEnd w:id="106"/>
    <w:bookmarkStart w:id="107"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7"/>
    <w:bookmarkStart w:id="108"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8"/>
    <w:bookmarkStart w:id="110" w:name="X119230681215c553508703bd9b858aabc863314"/>
    <w:p>
      <w:pPr>
        <w:pStyle w:val="Heading3"/>
      </w:pPr>
      <w:r>
        <w:t xml:space="preserve">6.2.8 Part VI: Identifying Species using DNA Barcode</w:t>
      </w:r>
    </w:p>
    <w:bookmarkStart w:id="109"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9"/>
    <w:bookmarkEnd w:id="110"/>
    <w:bookmarkStart w:id="111"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1"/>
    <w:bookmarkEnd w:id="112"/>
    <w:bookmarkEnd w:id="113"/>
    <w:bookmarkStart w:id="124" w:name="module-5-tissue-preparation"/>
    <w:p>
      <w:pPr>
        <w:pStyle w:val="Heading1"/>
      </w:pPr>
      <w:r>
        <w:t xml:space="preserve">7. Module 5: Tissue Preparation</w:t>
      </w:r>
    </w:p>
    <w:bookmarkStart w:id="115" w:name="X0d17ba572a281133a22d073b368b9fbe73454ca"/>
    <w:p>
      <w:pPr>
        <w:pStyle w:val="Heading2"/>
      </w:pPr>
      <w:r>
        <w:t xml:space="preserve">7.1 Module 5.1 – Tissue Preparation for Genome Sequencing</w:t>
      </w:r>
    </w:p>
    <w:bookmarkStart w:id="114"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4"/>
    <w:bookmarkEnd w:id="115"/>
    <w:bookmarkStart w:id="123" w:name="Xc8205bcafd44c2f0f2777871d0b670e5430cb18"/>
    <w:p>
      <w:pPr>
        <w:pStyle w:val="Heading2"/>
      </w:pPr>
      <w:r>
        <w:t xml:space="preserve">7.2 Module 5.2 – Tissue Preparation for Genome Sequencing</w:t>
      </w:r>
    </w:p>
    <w:bookmarkStart w:id="116"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6"/>
    <w:bookmarkStart w:id="117"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7"/>
    <w:bookmarkStart w:id="118"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8"/>
    <w:bookmarkStart w:id="119"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9"/>
    <w:bookmarkStart w:id="120"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20"/>
    <w:bookmarkStart w:id="121"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1"/>
    <w:bookmarkStart w:id="122"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22"/>
    <w:bookmarkEnd w:id="123"/>
    <w:bookmarkEnd w:id="124"/>
    <w:bookmarkStart w:id="131" w:name="module-6-sample-submission-1"/>
    <w:p>
      <w:pPr>
        <w:pStyle w:val="Heading1"/>
      </w:pPr>
      <w:r>
        <w:t xml:space="preserve">8. Module 6: Sample Submission</w:t>
      </w:r>
    </w:p>
    <w:bookmarkStart w:id="130" w:name="module-6.1-myco-ed-sample-submission-sop"/>
    <w:p>
      <w:pPr>
        <w:pStyle w:val="Heading2"/>
      </w:pPr>
      <w:r>
        <w:t xml:space="preserve">8.1 Module 6.1 – Myco-Ed Sample Submission SOP</w:t>
      </w:r>
    </w:p>
    <w:bookmarkStart w:id="125" w:name="overview-1"/>
    <w:p>
      <w:pPr>
        <w:pStyle w:val="Heading3"/>
      </w:pPr>
      <w:r>
        <w:t xml:space="preserve">8.1.1 Overview</w:t>
      </w:r>
    </w:p>
    <w:p>
      <w:pPr>
        <w:pStyle w:val="FirstParagraph"/>
      </w:pPr>
      <w:r>
        <w:t xml:space="preserve">Use this document to submit fungal samples to Arizona Genomics Institute (AGI) for DNA extraction.</w:t>
      </w:r>
    </w:p>
    <w:bookmarkEnd w:id="125"/>
    <w:bookmarkStart w:id="126"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6"/>
    <w:bookmarkStart w:id="127" w:name="associated-documents"/>
    <w:p>
      <w:pPr>
        <w:pStyle w:val="Heading3"/>
      </w:pPr>
      <w:r>
        <w:t xml:space="preserve">8.1.3 Associated Documents</w:t>
      </w:r>
    </w:p>
    <w:p>
      <w:pPr>
        <w:pStyle w:val="FirstParagraph"/>
      </w:pPr>
      <w:r>
        <w:t xml:space="preserve">MycoEd Metadata Form</w:t>
      </w:r>
    </w:p>
    <w:bookmarkEnd w:id="127"/>
    <w:bookmarkStart w:id="128"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8"/>
    <w:bookmarkStart w:id="129"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9"/>
    <w:bookmarkEnd w:id="130"/>
    <w:bookmarkEnd w:id="131"/>
    <w:bookmarkStart w:id="149" w:name="module-7-genomic-analyses-1"/>
    <w:p>
      <w:pPr>
        <w:pStyle w:val="Heading1"/>
      </w:pPr>
      <w:r>
        <w:t xml:space="preserve">9. Module 7: Genomic Analyses</w:t>
      </w:r>
    </w:p>
    <w:bookmarkStart w:id="139" w:name="X46999d4e04aaa0bd6e7f1cf0936f3283e50c93c"/>
    <w:p>
      <w:pPr>
        <w:pStyle w:val="Heading2"/>
      </w:pPr>
      <w:r>
        <w:t xml:space="preserve">9.1 Module 7.1 – Sexual Reproduction in Ascomycota Genomic Analysis</w:t>
      </w:r>
    </w:p>
    <w:bookmarkStart w:id="132"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2"/>
    <w:bookmarkStart w:id="133"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33"/>
    <w:bookmarkStart w:id="138" w:name="finding-mat-a"/>
    <w:p>
      <w:pPr>
        <w:pStyle w:val="Heading3"/>
      </w:pPr>
      <w:r>
        <w:t xml:space="preserve">9.1.3 Finding mat A</w:t>
      </w:r>
    </w:p>
    <w:bookmarkStart w:id="134"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4"/>
    <w:bookmarkStart w:id="135"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5"/>
    <w:bookmarkStart w:id="136"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6"/>
    <w:bookmarkStart w:id="137"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7"/>
    <w:bookmarkEnd w:id="138"/>
    <w:bookmarkEnd w:id="139"/>
    <w:bookmarkStart w:id="148" w:name="Xe7b646958662d93788a5fac43551e0623449021"/>
    <w:p>
      <w:pPr>
        <w:pStyle w:val="Heading2"/>
      </w:pPr>
      <w:r>
        <w:t xml:space="preserve">9.2 Module 7.2 – Fungal Natural Product Production Genomic Analysis</w:t>
      </w:r>
    </w:p>
    <w:bookmarkStart w:id="140"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0"/>
    <w:bookmarkStart w:id="141"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41"/>
    <w:bookmarkStart w:id="144" w:name="X31643484012ee51f67fd2def9a4608ddd3c7490"/>
    <w:p>
      <w:pPr>
        <w:pStyle w:val="Heading3"/>
      </w:pPr>
      <w:r>
        <w:t xml:space="preserve">9.2.3 Finding the Penicillin Biosynthetic Gene Cluster</w:t>
      </w:r>
    </w:p>
    <w:bookmarkStart w:id="142"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2"/>
    <w:bookmarkStart w:id="143"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3"/>
    <w:bookmarkEnd w:id="144"/>
    <w:bookmarkStart w:id="147" w:name="characterize-myco-ed-bgcs"/>
    <w:p>
      <w:pPr>
        <w:pStyle w:val="Heading3"/>
      </w:pPr>
      <w:r>
        <w:t xml:space="preserve">9.2.4 Characterize Myco-Ed BGCs</w:t>
      </w:r>
    </w:p>
    <w:bookmarkStart w:id="145"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5"/>
    <w:bookmarkStart w:id="146"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6"/>
    <w:bookmarkEnd w:id="147"/>
    <w:bookmarkEnd w:id="148"/>
    <w:bookmarkEnd w:id="149"/>
    <w:bookmarkStart w:id="151"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0">
        <w:r>
          <w:rPr>
            <w:rStyle w:val="Hyperlink"/>
          </w:rPr>
          <w:t xml:space="preserve">BSC495-HWC GitHub organization</w:t>
        </w:r>
      </w:hyperlink>
      <w:r>
        <w:t xml:space="preserve">.</w:t>
      </w:r>
    </w:p>
    <w:bookmarkEnd w:id="151"/>
    <w:bookmarkStart w:id="154"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2"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2"/>
    <w:bookmarkStart w:id="153"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3"/>
    <w:bookmarkEnd w:id="154"/>
    <w:bookmarkStart w:id="156" w:name="references-2"/>
    <w:p>
      <w:pPr>
        <w:pStyle w:val="Heading1"/>
      </w:pPr>
      <w:r>
        <w:t xml:space="preserve">References</w:t>
      </w:r>
    </w:p>
    <w:bookmarkStart w:id="155" w:name="refs"/>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0" Target="media/rId40.png" /><Relationship Type="http://schemas.openxmlformats.org/officeDocument/2006/relationships/hyperlink" Id="rId150"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0.html" TargetMode="External" /><Relationship Type="http://schemas.openxmlformats.org/officeDocument/2006/relationships/hyperlink" Id="rId12" Target="module1.html" TargetMode="External" /><Relationship Type="http://schemas.openxmlformats.org/officeDocument/2006/relationships/hyperlink" Id="rId13" Target="module2.html" TargetMode="External" /><Relationship Type="http://schemas.openxmlformats.org/officeDocument/2006/relationships/hyperlink" Id="rId14" Target="module3.html" TargetMode="External" /><Relationship Type="http://schemas.openxmlformats.org/officeDocument/2006/relationships/hyperlink" Id="rId15" Target="module4.html" TargetMode="External" /><Relationship Type="http://schemas.openxmlformats.org/officeDocument/2006/relationships/hyperlink" Id="rId16" Target="module5.html" TargetMode="External" /><Relationship Type="http://schemas.openxmlformats.org/officeDocument/2006/relationships/hyperlink" Id="rId17" Target="module6.html" TargetMode="External" /><Relationship Type="http://schemas.openxmlformats.org/officeDocument/2006/relationships/hyperlink" Id="rId18" Target="module7.html" TargetMode="External" /></Relationships>
</file>

<file path=word/_rels/footnotes.xml.rels><?xml version="1.0" encoding="UTF-8"?><Relationships xmlns="http://schemas.openxmlformats.org/package/2006/relationships"><Relationship Type="http://schemas.openxmlformats.org/officeDocument/2006/relationships/hyperlink" Id="rId150"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0.html" TargetMode="External" /><Relationship Type="http://schemas.openxmlformats.org/officeDocument/2006/relationships/hyperlink" Id="rId12" Target="module1.html" TargetMode="External" /><Relationship Type="http://schemas.openxmlformats.org/officeDocument/2006/relationships/hyperlink" Id="rId13" Target="module2.html" TargetMode="External" /><Relationship Type="http://schemas.openxmlformats.org/officeDocument/2006/relationships/hyperlink" Id="rId14" Target="module3.html" TargetMode="External" /><Relationship Type="http://schemas.openxmlformats.org/officeDocument/2006/relationships/hyperlink" Id="rId15" Target="module4.html" TargetMode="External" /><Relationship Type="http://schemas.openxmlformats.org/officeDocument/2006/relationships/hyperlink" Id="rId16" Target="module5.html" TargetMode="External" /><Relationship Type="http://schemas.openxmlformats.org/officeDocument/2006/relationships/hyperlink" Id="rId17" Target="module6.html" TargetMode="External" /><Relationship Type="http://schemas.openxmlformats.org/officeDocument/2006/relationships/hyperlink" Id="rId18" Target="module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2026-05-17T15:51:15Z</dcterms:created>
  <dcterms:modified xsi:type="dcterms:W3CDTF">2026-05-17T15:51:15Z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