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8.png" ContentType="image/png"/>
  <Override PartName="/word/media/rId12.png" ContentType="image/png"/>
  <Override PartName="/word/media/rId48.png" ContentType="image/png"/>
  <Override PartName="/word/media/rId125.png" ContentType="image/png"/>
  <Override PartName="/word/media/rId81.png" ContentType="image/png"/>
  <Override PartName="/word/media/rId99.png" ContentType="image/png"/>
  <Override PartName="/word/media/rId90.png" ContentType="image/png"/>
  <Override PartName="/word/media/rId13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6"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Compact"/>
        <w:numPr>
          <w:ilvl w:val="0"/>
          <w:numId w:val="1041"/>
        </w:numPr>
      </w:pPr>
      <w:r>
        <w:t xml:space="preserve">Laminar flow hood or clean bench (if available)</w:t>
      </w:r>
    </w:p>
    <w:p>
      <w:pPr>
        <w:pStyle w:val="Compact"/>
        <w:numPr>
          <w:ilvl w:val="0"/>
          <w:numId w:val="1042"/>
        </w:numPr>
      </w:pPr>
      <w:r>
        <w:t xml:space="preserve">Autoclave or pressure cooker</w:t>
      </w:r>
    </w:p>
    <w:p>
      <w:pPr>
        <w:pStyle w:val="Compact"/>
        <w:numPr>
          <w:ilvl w:val="0"/>
          <w:numId w:val="1043"/>
        </w:numPr>
      </w:pPr>
      <w:r>
        <w:t xml:space="preserve">Refrigerator for storing plates</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 from iNaturalist</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4"/>
        </w:numPr>
      </w:pPr>
      <w:r>
        <w:t xml:space="preserve">Tap on the location.</w:t>
      </w:r>
    </w:p>
    <w:p>
      <w:pPr>
        <w:pStyle w:val="Compact"/>
        <w:numPr>
          <w:ilvl w:val="0"/>
          <w:numId w:val="1044"/>
        </w:numPr>
      </w:pPr>
      <w:r>
        <w:t xml:space="preserve">Copy the latitutde/longitude coordinates.</w:t>
      </w:r>
    </w:p>
    <w:p>
      <w:pPr>
        <w:pStyle w:val="Compact"/>
        <w:numPr>
          <w:ilvl w:val="0"/>
          <w:numId w:val="1044"/>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5"/>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5"/>
        </w:numPr>
      </w:pPr>
      <w:r>
        <w:t xml:space="preserve">Long touch on your location. This should open a tab at the bottom of the screen.</w:t>
      </w:r>
    </w:p>
    <w:p>
      <w:pPr>
        <w:pStyle w:val="Compact"/>
        <w:numPr>
          <w:ilvl w:val="0"/>
          <w:numId w:val="1045"/>
        </w:numPr>
      </w:pPr>
      <w:r>
        <w:t xml:space="preserve">Scroll up. You should see the latitude and longitude coordinates of that position, looking something like this: (45.1234567, -122.1234567).</w:t>
      </w:r>
    </w:p>
    <w:p>
      <w:pPr>
        <w:pStyle w:val="Compact"/>
        <w:numPr>
          <w:ilvl w:val="0"/>
          <w:numId w:val="1045"/>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6"/>
        </w:numPr>
      </w:pPr>
      <w:r>
        <w:t xml:space="preserve">Go to https://www.inaturalist.org/ and make an account if you don’t already have one.</w:t>
      </w:r>
    </w:p>
    <w:p>
      <w:pPr>
        <w:pStyle w:val="Compact"/>
        <w:numPr>
          <w:ilvl w:val="0"/>
          <w:numId w:val="1046"/>
        </w:numPr>
      </w:pPr>
      <w:r>
        <w:t xml:space="preserve">Download the iNaturalist App to your phone.</w:t>
      </w:r>
    </w:p>
    <w:p>
      <w:pPr>
        <w:pStyle w:val="Compact"/>
        <w:numPr>
          <w:ilvl w:val="0"/>
          <w:numId w:val="104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6"/>
        </w:numPr>
      </w:pPr>
      <w:r>
        <w:t xml:space="preserve">Add your name to iNaturalist or coontact your instructor with the information you will want to use and share.</w:t>
      </w:r>
    </w:p>
    <w:p>
      <w:pPr>
        <w:pStyle w:val="Compact"/>
        <w:numPr>
          <w:ilvl w:val="1"/>
          <w:numId w:val="1047"/>
        </w:numPr>
      </w:pPr>
      <w:r>
        <w:t xml:space="preserve">For your name to display properly you need it spelled out in your profile.</w:t>
      </w:r>
    </w:p>
    <w:p>
      <w:pPr>
        <w:pStyle w:val="Compact"/>
        <w:numPr>
          <w:ilvl w:val="1"/>
          <w:numId w:val="1047"/>
        </w:numPr>
      </w:pPr>
      <w:r>
        <w:t xml:space="preserve">Log into iNaturalist.</w:t>
      </w:r>
    </w:p>
    <w:p>
      <w:pPr>
        <w:pStyle w:val="Compact"/>
        <w:numPr>
          <w:ilvl w:val="1"/>
          <w:numId w:val="1047"/>
        </w:numPr>
      </w:pPr>
      <w:r>
        <w:t xml:space="preserve">Go to your profile icon in the top right.</w:t>
      </w:r>
    </w:p>
    <w:p>
      <w:pPr>
        <w:pStyle w:val="Compact"/>
        <w:numPr>
          <w:ilvl w:val="1"/>
          <w:numId w:val="1047"/>
        </w:numPr>
      </w:pPr>
      <w:r>
        <w:t xml:space="preserve">Select Account Settings.</w:t>
      </w:r>
    </w:p>
    <w:p>
      <w:pPr>
        <w:pStyle w:val="Compact"/>
        <w:numPr>
          <w:ilvl w:val="1"/>
          <w:numId w:val="1047"/>
        </w:numPr>
      </w:pPr>
      <w:r>
        <w:t xml:space="preserve">Type your real name into the space under Display Name.</w:t>
      </w:r>
    </w:p>
    <w:p>
      <w:pPr>
        <w:pStyle w:val="Compact"/>
        <w:numPr>
          <w:ilvl w:val="0"/>
          <w:numId w:val="1046"/>
        </w:numPr>
      </w:pPr>
      <w:r>
        <w:t xml:space="preserve">iNaturalist Application Settings on your phone.</w:t>
      </w:r>
    </w:p>
    <w:p>
      <w:pPr>
        <w:pStyle w:val="Compact"/>
        <w:numPr>
          <w:ilvl w:val="1"/>
          <w:numId w:val="1048"/>
        </w:numPr>
      </w:pPr>
      <w:r>
        <w:t xml:space="preserve">Go to settings on your phone.</w:t>
      </w:r>
    </w:p>
    <w:p>
      <w:pPr>
        <w:pStyle w:val="Compact"/>
        <w:numPr>
          <w:ilvl w:val="1"/>
          <w:numId w:val="1048"/>
        </w:numPr>
      </w:pPr>
      <w:r>
        <w:t xml:space="preserve">Turn off</w:t>
      </w:r>
      <w:r>
        <w:t xml:space="preserve"> </w:t>
      </w:r>
      <w:r>
        <w:t xml:space="preserve">“Automatic Upload”</w:t>
      </w:r>
      <w:r>
        <w:t xml:space="preserve"> </w:t>
      </w:r>
      <w:r>
        <w:t xml:space="preserve">(recommended).</w:t>
      </w:r>
    </w:p>
    <w:p>
      <w:pPr>
        <w:pStyle w:val="Compact"/>
        <w:numPr>
          <w:ilvl w:val="1"/>
          <w:numId w:val="104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9"/>
        </w:numPr>
      </w:pPr>
      <w:hyperlink r:id="rId67">
        <w:r>
          <w:rPr>
            <w:rStyle w:val="Hyperlink"/>
          </w:rPr>
          <w:t xml:space="preserve">Getting Started</w:t>
        </w:r>
      </w:hyperlink>
    </w:p>
    <w:p>
      <w:pPr>
        <w:pStyle w:val="Compact"/>
        <w:numPr>
          <w:ilvl w:val="0"/>
          <w:numId w:val="1050"/>
        </w:numPr>
      </w:pPr>
      <w:hyperlink r:id="rId68">
        <w:r>
          <w:rPr>
            <w:rStyle w:val="Hyperlink"/>
          </w:rPr>
          <w:t xml:space="preserve">iNaturalist Videos</w:t>
        </w:r>
      </w:hyperlink>
    </w:p>
    <w:p>
      <w:pPr>
        <w:pStyle w:val="Compact"/>
        <w:numPr>
          <w:ilvl w:val="0"/>
          <w:numId w:val="1051"/>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52"/>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3"/>
        </w:numPr>
      </w:pPr>
      <w:r>
        <w:t xml:space="preserve">Open your iNaturalist Application.</w:t>
      </w:r>
    </w:p>
    <w:p>
      <w:pPr>
        <w:pStyle w:val="Compact"/>
        <w:numPr>
          <w:ilvl w:val="0"/>
          <w:numId w:val="1053"/>
        </w:numPr>
      </w:pPr>
      <w:r>
        <w:t xml:space="preserve">Make an observation of one host plant by taking a picture of it.</w:t>
      </w:r>
    </w:p>
    <w:p>
      <w:pPr>
        <w:pStyle w:val="Compact"/>
        <w:numPr>
          <w:ilvl w:val="1"/>
          <w:numId w:val="1054"/>
        </w:numPr>
      </w:pPr>
      <w:r>
        <w:t xml:space="preserve">Find the camera icon in the app and take a picture of your plant.</w:t>
      </w:r>
    </w:p>
    <w:p>
      <w:pPr>
        <w:pStyle w:val="Compact"/>
        <w:numPr>
          <w:ilvl w:val="1"/>
          <w:numId w:val="1054"/>
        </w:numPr>
      </w:pPr>
      <w:r>
        <w:t xml:space="preserve">Include one field label in an image of the plant. (review examples)</w:t>
      </w:r>
    </w:p>
    <w:p>
      <w:pPr>
        <w:pStyle w:val="Compact"/>
        <w:numPr>
          <w:ilvl w:val="1"/>
          <w:numId w:val="1054"/>
        </w:numPr>
      </w:pPr>
      <w:r>
        <w:t xml:space="preserve">Take images from multiple perspectives: whole plant, leaves, flowers &amp; fruits, branches, trunk…</w:t>
      </w:r>
    </w:p>
    <w:p>
      <w:pPr>
        <w:pStyle w:val="Compact"/>
        <w:numPr>
          <w:ilvl w:val="0"/>
          <w:numId w:val="1053"/>
        </w:numPr>
      </w:pPr>
      <w:r>
        <w:t xml:space="preserve">Alternatively, take images on your phone and upload them to iNaturalist. Again, make sure you are including a field label in your images.</w:t>
      </w:r>
    </w:p>
    <w:p>
      <w:pPr>
        <w:pStyle w:val="Compact"/>
        <w:numPr>
          <w:ilvl w:val="0"/>
          <w:numId w:val="1053"/>
        </w:numPr>
      </w:pPr>
      <w:r>
        <w:t xml:space="preserve">Before saving the observation, add it to your course project using the app.</w:t>
      </w:r>
    </w:p>
    <w:p>
      <w:pPr>
        <w:pStyle w:val="Compact"/>
        <w:numPr>
          <w:ilvl w:val="1"/>
          <w:numId w:val="1055"/>
        </w:numPr>
      </w:pPr>
      <w:r>
        <w:t xml:space="preserve">Go to</w:t>
      </w:r>
      <w:r>
        <w:t xml:space="preserve"> </w:t>
      </w:r>
      <w:r>
        <w:t xml:space="preserve">“Projects”</w:t>
      </w:r>
    </w:p>
    <w:p>
      <w:pPr>
        <w:pStyle w:val="Compact"/>
        <w:numPr>
          <w:ilvl w:val="1"/>
          <w:numId w:val="1055"/>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6"/>
        </w:numPr>
      </w:pPr>
      <w:r>
        <w:t xml:space="preserve">Click Done to save your observation.</w:t>
      </w:r>
    </w:p>
    <w:p>
      <w:pPr>
        <w:pStyle w:val="Compact"/>
        <w:numPr>
          <w:ilvl w:val="0"/>
          <w:numId w:val="1056"/>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57"/>
        </w:numPr>
      </w:pPr>
      <w:r>
        <w:t xml:space="preserve">It will appear on your account if it was uploaded correctly.</w:t>
      </w:r>
    </w:p>
    <w:p>
      <w:pPr>
        <w:pStyle w:val="Compact"/>
        <w:numPr>
          <w:ilvl w:val="0"/>
          <w:numId w:val="1056"/>
        </w:numPr>
      </w:pPr>
      <w:r>
        <w:t xml:space="preserve">Add Myco-Ed ID. This will attach the field label ID number to this host observation.</w:t>
      </w:r>
    </w:p>
    <w:p>
      <w:pPr>
        <w:pStyle w:val="Compact"/>
        <w:numPr>
          <w:ilvl w:val="1"/>
          <w:numId w:val="1058"/>
        </w:numPr>
      </w:pPr>
      <w:r>
        <w:t xml:space="preserve">Under Observations Fields, on the lower right portion of the page, type</w:t>
      </w:r>
      <w:r>
        <w:t xml:space="preserve"> </w:t>
      </w:r>
      <w:r>
        <w:t xml:space="preserve">“MycoEd”</w:t>
      </w:r>
    </w:p>
    <w:p>
      <w:pPr>
        <w:pStyle w:val="Compact"/>
        <w:numPr>
          <w:ilvl w:val="1"/>
          <w:numId w:val="1058"/>
        </w:numPr>
      </w:pPr>
      <w:r>
        <w:t xml:space="preserve">Select</w:t>
      </w:r>
      <w:r>
        <w:t xml:space="preserve"> </w:t>
      </w:r>
      <w:r>
        <w:t xml:space="preserve">“MycoEd ID”</w:t>
      </w:r>
      <w:r>
        <w:t xml:space="preserve"> </w:t>
      </w:r>
      <w:r>
        <w:t xml:space="preserve">from the dropdown that appears.</w:t>
      </w:r>
    </w:p>
    <w:p>
      <w:pPr>
        <w:pStyle w:val="Compact"/>
        <w:numPr>
          <w:ilvl w:val="1"/>
          <w:numId w:val="1058"/>
        </w:numPr>
      </w:pPr>
      <w:r>
        <w:t xml:space="preserve">Add the field label ID number assigned to this host in the blank field under MycoEd ID.</w:t>
      </w:r>
    </w:p>
    <w:p>
      <w:pPr>
        <w:pStyle w:val="Compact"/>
        <w:numPr>
          <w:ilvl w:val="1"/>
          <w:numId w:val="1058"/>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9"/>
        </w:numPr>
      </w:pPr>
      <w:r>
        <w:t xml:space="preserve">Open your iNaturalist Application.</w:t>
      </w:r>
    </w:p>
    <w:p>
      <w:pPr>
        <w:pStyle w:val="Compact"/>
        <w:numPr>
          <w:ilvl w:val="1"/>
          <w:numId w:val="1060"/>
        </w:numPr>
      </w:pPr>
      <w:r>
        <w:t xml:space="preserve">Alternatively, take images on your phone and upload them to iNaturalist.</w:t>
      </w:r>
    </w:p>
    <w:p>
      <w:pPr>
        <w:pStyle w:val="Compact"/>
        <w:numPr>
          <w:ilvl w:val="0"/>
          <w:numId w:val="1059"/>
        </w:numPr>
      </w:pPr>
      <w:r>
        <w:t xml:space="preserve">Make an observation of the fungal isolate by taking a picture of it.</w:t>
      </w:r>
    </w:p>
    <w:p>
      <w:pPr>
        <w:pStyle w:val="Compact"/>
        <w:numPr>
          <w:ilvl w:val="1"/>
          <w:numId w:val="1061"/>
        </w:numPr>
      </w:pPr>
      <w:r>
        <w:t xml:space="preserve">Take pictures from the top and bottom, including the label.</w:t>
      </w:r>
    </w:p>
    <w:p>
      <w:pPr>
        <w:pStyle w:val="Compact"/>
        <w:numPr>
          <w:ilvl w:val="0"/>
          <w:numId w:val="1059"/>
        </w:numPr>
      </w:pPr>
      <w:r>
        <w:t xml:space="preserve">Before saving the observation, add it to your course project using the app.</w:t>
      </w:r>
    </w:p>
    <w:p>
      <w:pPr>
        <w:pStyle w:val="Compact"/>
        <w:numPr>
          <w:ilvl w:val="1"/>
          <w:numId w:val="1062"/>
        </w:numPr>
      </w:pPr>
      <w:r>
        <w:t xml:space="preserve">Follow the instructions detailed above.</w:t>
      </w:r>
    </w:p>
    <w:p>
      <w:pPr>
        <w:pStyle w:val="Compact"/>
        <w:numPr>
          <w:ilvl w:val="0"/>
          <w:numId w:val="1059"/>
        </w:numPr>
      </w:pPr>
      <w:r>
        <w:t xml:space="preserve">Click Done to save your observation.</w:t>
      </w:r>
    </w:p>
    <w:p>
      <w:pPr>
        <w:pStyle w:val="Compact"/>
        <w:numPr>
          <w:ilvl w:val="0"/>
          <w:numId w:val="1059"/>
        </w:numPr>
      </w:pPr>
      <w:r>
        <w:t xml:space="preserve">Manually upload your observation. This will appear green on your phone until it is uploaded.</w:t>
      </w:r>
    </w:p>
    <w:p>
      <w:pPr>
        <w:pStyle w:val="Compact"/>
        <w:numPr>
          <w:ilvl w:val="0"/>
          <w:numId w:val="1059"/>
        </w:numPr>
      </w:pPr>
      <w:r>
        <w:t xml:space="preserve">Double-check your observation online.</w:t>
      </w:r>
    </w:p>
    <w:p>
      <w:pPr>
        <w:pStyle w:val="Compact"/>
        <w:numPr>
          <w:ilvl w:val="1"/>
          <w:numId w:val="1063"/>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4"/>
        </w:numPr>
      </w:pPr>
      <w:r>
        <w:t xml:space="preserve">Add MycoEd ID. This will attach the field label ID number to this host observation.</w:t>
      </w:r>
    </w:p>
    <w:p>
      <w:pPr>
        <w:pStyle w:val="Compact"/>
        <w:numPr>
          <w:ilvl w:val="1"/>
          <w:numId w:val="1065"/>
        </w:numPr>
      </w:pPr>
      <w:r>
        <w:t xml:space="preserve">Follow the above directions.</w:t>
      </w:r>
    </w:p>
    <w:p>
      <w:pPr>
        <w:pStyle w:val="Compact"/>
        <w:numPr>
          <w:ilvl w:val="1"/>
          <w:numId w:val="1065"/>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4"/>
        </w:numPr>
      </w:pPr>
      <w:r>
        <w:t xml:space="preserve">Add other iNaturalist Observation Fields</w:t>
      </w:r>
    </w:p>
    <w:p>
      <w:pPr>
        <w:pStyle w:val="Compact"/>
        <w:numPr>
          <w:ilvl w:val="1"/>
          <w:numId w:val="1066"/>
        </w:numPr>
      </w:pPr>
      <w:r>
        <w:t xml:space="preserve">For ITS sequence data from fungal isolates, use DNA Sequence ITS</w:t>
      </w:r>
    </w:p>
    <w:p>
      <w:pPr>
        <w:pStyle w:val="Compact"/>
        <w:numPr>
          <w:ilvl w:val="1"/>
          <w:numId w:val="1066"/>
        </w:numPr>
      </w:pPr>
      <w:r>
        <w:t xml:space="preserve">To link to the host iNaturalist observation for this fungus, use the Host Observation Observation Field and add the URL to the host observation.</w:t>
      </w:r>
    </w:p>
    <w:bookmarkEnd w:id="77"/>
    <w:bookmarkEnd w:id="78"/>
    <w:bookmarkEnd w:id="79"/>
    <w:bookmarkStart w:id="105"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7"/>
        </w:numPr>
      </w:pPr>
      <w:r>
        <w:t xml:space="preserve">Documentation using iNaturalist</w:t>
      </w:r>
    </w:p>
    <w:p>
      <w:pPr>
        <w:pStyle w:val="Compact"/>
        <w:numPr>
          <w:ilvl w:val="0"/>
          <w:numId w:val="1067"/>
        </w:numPr>
      </w:pPr>
      <w:r>
        <w:t xml:space="preserve">Practice sterile technique</w:t>
      </w:r>
    </w:p>
    <w:p>
      <w:pPr>
        <w:pStyle w:val="Compact"/>
        <w:numPr>
          <w:ilvl w:val="0"/>
          <w:numId w:val="1067"/>
        </w:numPr>
      </w:pPr>
      <w:r>
        <w:t xml:space="preserve">Culture and isolate fungi</w:t>
      </w:r>
    </w:p>
    <w:p>
      <w:pPr>
        <w:pStyle w:val="Compact"/>
        <w:numPr>
          <w:ilvl w:val="0"/>
          <w:numId w:val="1067"/>
        </w:numPr>
      </w:pPr>
      <w:r>
        <w:t xml:space="preserve">Investigate fungal endophytes</w:t>
      </w:r>
    </w:p>
    <w:p>
      <w:pPr>
        <w:pStyle w:val="Compact"/>
        <w:numPr>
          <w:ilvl w:val="0"/>
          <w:numId w:val="1067"/>
        </w:numPr>
      </w:pPr>
      <w:r>
        <w:t xml:space="preserve">Characterize morphology of fungal cultures</w:t>
      </w:r>
    </w:p>
    <w:bookmarkEnd w:id="86"/>
    <w:bookmarkStart w:id="87" w:name="lab-supplies"/>
    <w:p>
      <w:pPr>
        <w:pStyle w:val="Heading3"/>
      </w:pPr>
      <w:r>
        <w:t xml:space="preserve">Lab Supplies</w:t>
      </w:r>
    </w:p>
    <w:p>
      <w:pPr>
        <w:pStyle w:val="Compact"/>
        <w:numPr>
          <w:ilvl w:val="0"/>
          <w:numId w:val="1068"/>
        </w:numPr>
      </w:pPr>
      <w:r>
        <w:t xml:space="preserve">3 large water agar Petri plates (150 x 10 mm) - these are for initial isolation</w:t>
      </w:r>
    </w:p>
    <w:p>
      <w:pPr>
        <w:pStyle w:val="Compact"/>
        <w:numPr>
          <w:ilvl w:val="0"/>
          <w:numId w:val="1069"/>
        </w:numPr>
      </w:pPr>
      <w:r>
        <w:t xml:space="preserve">Sharpie or marker for labeling plates</w:t>
      </w:r>
    </w:p>
    <w:p>
      <w:pPr>
        <w:pStyle w:val="Compact"/>
        <w:numPr>
          <w:ilvl w:val="0"/>
          <w:numId w:val="1070"/>
        </w:numPr>
      </w:pPr>
      <w:r>
        <w:t xml:space="preserve">Parafilm</w:t>
      </w:r>
    </w:p>
    <w:p>
      <w:pPr>
        <w:pStyle w:val="Compact"/>
        <w:numPr>
          <w:ilvl w:val="0"/>
          <w:numId w:val="1071"/>
        </w:numPr>
      </w:pPr>
      <w:r>
        <w:t xml:space="preserve">Paper towels</w:t>
      </w:r>
    </w:p>
    <w:p>
      <w:pPr>
        <w:pStyle w:val="Compact"/>
        <w:numPr>
          <w:ilvl w:val="0"/>
          <w:numId w:val="1072"/>
        </w:numPr>
      </w:pPr>
      <w:r>
        <w:t xml:space="preserve">Gloves</w:t>
      </w:r>
    </w:p>
    <w:p>
      <w:pPr>
        <w:pStyle w:val="Compact"/>
        <w:numPr>
          <w:ilvl w:val="0"/>
          <w:numId w:val="1073"/>
        </w:numPr>
      </w:pPr>
      <w:r>
        <w:t xml:space="preserve">Bleach</w:t>
      </w:r>
    </w:p>
    <w:p>
      <w:pPr>
        <w:pStyle w:val="Compact"/>
        <w:numPr>
          <w:ilvl w:val="0"/>
          <w:numId w:val="1074"/>
        </w:numPr>
      </w:pPr>
      <w:r>
        <w:t xml:space="preserve">Ethanol</w:t>
      </w:r>
    </w:p>
    <w:p>
      <w:pPr>
        <w:pStyle w:val="Compact"/>
        <w:numPr>
          <w:ilvl w:val="0"/>
          <w:numId w:val="1075"/>
        </w:numPr>
      </w:pPr>
      <w:r>
        <w:t xml:space="preserve">Scissors</w:t>
      </w:r>
    </w:p>
    <w:p>
      <w:pPr>
        <w:pStyle w:val="Compact"/>
        <w:numPr>
          <w:ilvl w:val="0"/>
          <w:numId w:val="1076"/>
        </w:numPr>
      </w:pPr>
      <w:r>
        <w:t xml:space="preserve">Metal hole punch</w:t>
      </w:r>
    </w:p>
    <w:p>
      <w:pPr>
        <w:pStyle w:val="Compact"/>
        <w:numPr>
          <w:ilvl w:val="0"/>
          <w:numId w:val="1077"/>
        </w:numPr>
      </w:pPr>
      <w:r>
        <w:t xml:space="preserve">Forceps</w:t>
      </w:r>
    </w:p>
    <w:bookmarkEnd w:id="87"/>
    <w:bookmarkStart w:id="104"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8"/>
        </w:numPr>
      </w:pPr>
      <w:r>
        <w:t xml:space="preserve">Your phone with iNaturalist.</w:t>
      </w:r>
    </w:p>
    <w:p>
      <w:pPr>
        <w:pStyle w:val="Compact"/>
        <w:numPr>
          <w:ilvl w:val="0"/>
          <w:numId w:val="1079"/>
        </w:numPr>
      </w:pPr>
      <w:r>
        <w:t xml:space="preserve">Sample labels with unique ID numbers.</w:t>
      </w:r>
    </w:p>
    <w:p>
      <w:pPr>
        <w:pStyle w:val="Compact"/>
        <w:numPr>
          <w:ilvl w:val="0"/>
          <w:numId w:val="1080"/>
        </w:numPr>
      </w:pPr>
      <w:r>
        <w:t xml:space="preserve">Paper bags for samples.</w:t>
      </w:r>
    </w:p>
    <w:p>
      <w:pPr>
        <w:pStyle w:val="Compact"/>
        <w:numPr>
          <w:ilvl w:val="0"/>
          <w:numId w:val="1081"/>
        </w:numPr>
      </w:pPr>
      <w:r>
        <w:t xml:space="preserve">Clippers, scissors, or a knife to sample leaves.</w:t>
      </w:r>
    </w:p>
    <w:bookmarkEnd w:id="89"/>
    <w:bookmarkStart w:id="94" w:name="protocol"/>
    <w:p>
      <w:pPr>
        <w:pStyle w:val="Heading4"/>
      </w:pPr>
      <w:r>
        <w:t xml:space="preserve">Protocol</w:t>
      </w:r>
    </w:p>
    <w:p>
      <w:pPr>
        <w:pStyle w:val="Compact"/>
        <w:numPr>
          <w:ilvl w:val="0"/>
          <w:numId w:val="1082"/>
        </w:numPr>
      </w:pPr>
      <w:r>
        <w:t xml:space="preserve">Find a tree, or other plant to sample. Ideally, one that has healthy leaves.</w:t>
      </w:r>
    </w:p>
    <w:p>
      <w:pPr>
        <w:pStyle w:val="Compact"/>
        <w:numPr>
          <w:ilvl w:val="0"/>
          <w:numId w:val="1082"/>
        </w:numPr>
      </w:pPr>
      <w:r>
        <w:t xml:space="preserve">Make an iNaturalist observation of the plant on your phone or device.</w:t>
      </w:r>
    </w:p>
    <w:p>
      <w:pPr>
        <w:pStyle w:val="Compact"/>
        <w:numPr>
          <w:ilvl w:val="1"/>
          <w:numId w:val="1083"/>
        </w:numPr>
      </w:pPr>
      <w:r>
        <w:t xml:space="preserve">Take multiple photos.</w:t>
      </w:r>
    </w:p>
    <w:p>
      <w:pPr>
        <w:pStyle w:val="Compact"/>
        <w:numPr>
          <w:ilvl w:val="2"/>
          <w:numId w:val="1084"/>
        </w:numPr>
      </w:pPr>
      <w:r>
        <w:t xml:space="preserve">At least one of the entire plant.</w:t>
      </w:r>
    </w:p>
    <w:p>
      <w:pPr>
        <w:pStyle w:val="Compact"/>
        <w:numPr>
          <w:ilvl w:val="2"/>
          <w:numId w:val="1084"/>
        </w:numPr>
      </w:pPr>
      <w:r>
        <w:t xml:space="preserve">Multiple closer pictures of the leaves, bark, any flowers or fruit…</w:t>
      </w:r>
    </w:p>
    <w:p>
      <w:pPr>
        <w:pStyle w:val="Compact"/>
        <w:numPr>
          <w:ilvl w:val="2"/>
          <w:numId w:val="1084"/>
        </w:numPr>
      </w:pPr>
      <w:r>
        <w:t xml:space="preserve">At least one observation must include one sample label with an ID number.</w:t>
      </w:r>
    </w:p>
    <w:p>
      <w:pPr>
        <w:pStyle w:val="Compact"/>
        <w:numPr>
          <w:ilvl w:val="1"/>
          <w:numId w:val="1083"/>
        </w:numPr>
      </w:pPr>
      <w:r>
        <w:t xml:space="preserve">Go to the projects section on iNaturalist.</w:t>
      </w:r>
    </w:p>
    <w:p>
      <w:pPr>
        <w:pStyle w:val="Compact"/>
        <w:numPr>
          <w:ilvl w:val="2"/>
          <w:numId w:val="1085"/>
        </w:numPr>
      </w:pPr>
      <w:r>
        <w:t xml:space="preserve">Select</w:t>
      </w:r>
      <w:r>
        <w:t xml:space="preserve"> </w:t>
      </w:r>
      <w:r>
        <w:t xml:space="preserve">“Your iNaturalist Project.”</w:t>
      </w:r>
    </w:p>
    <w:p>
      <w:pPr>
        <w:pStyle w:val="Compact"/>
        <w:numPr>
          <w:ilvl w:val="1"/>
          <w:numId w:val="1083"/>
        </w:numPr>
      </w:pPr>
      <w:r>
        <w:t xml:space="preserve">Save the observation on iNaturalist.</w:t>
      </w:r>
    </w:p>
    <w:p>
      <w:pPr>
        <w:pStyle w:val="Compact"/>
        <w:numPr>
          <w:ilvl w:val="2"/>
          <w:numId w:val="1086"/>
        </w:numPr>
      </w:pPr>
      <w:r>
        <w:t xml:space="preserve">Follow instructions in Module 1.2 Using iNaturalist</w:t>
      </w:r>
    </w:p>
    <w:p>
      <w:pPr>
        <w:pStyle w:val="Compact"/>
        <w:numPr>
          <w:ilvl w:val="0"/>
          <w:numId w:val="1082"/>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82"/>
        </w:numPr>
      </w:pPr>
      <w:r>
        <w:t xml:space="preserve">Sample up to three leaves using your cutting instrument.</w:t>
      </w:r>
    </w:p>
    <w:p>
      <w:pPr>
        <w:pStyle w:val="Compact"/>
        <w:numPr>
          <w:ilvl w:val="0"/>
          <w:numId w:val="1082"/>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3"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7"/>
        </w:numPr>
      </w:pPr>
      <w:r>
        <w:t xml:space="preserve">Sanitize/sterilize all work surfaces. Wipe surfaces with ethanol. Choose a working location with the least amount of airflow to prevent contamination.</w:t>
      </w:r>
    </w:p>
    <w:p>
      <w:pPr>
        <w:pStyle w:val="Compact"/>
        <w:numPr>
          <w:ilvl w:val="0"/>
          <w:numId w:val="1087"/>
        </w:numPr>
      </w:pPr>
      <w:r>
        <w:t xml:space="preserve">Sterilize tools (scalpel or hole punch and forceps). Use ethanol and allow to air dry.</w:t>
      </w:r>
    </w:p>
    <w:p>
      <w:pPr>
        <w:pStyle w:val="Compact"/>
        <w:numPr>
          <w:ilvl w:val="0"/>
          <w:numId w:val="1087"/>
        </w:numPr>
      </w:pPr>
      <w:r>
        <w:t xml:space="preserve">Cut leaf tissues. You may take as many cuttings from each leaf as desired. Be sure to label cuttings appropriately as described above. Cuttings should be ~1 cm.</w:t>
      </w:r>
    </w:p>
    <w:p>
      <w:pPr>
        <w:pStyle w:val="Compact"/>
        <w:numPr>
          <w:ilvl w:val="0"/>
          <w:numId w:val="1087"/>
        </w:numPr>
      </w:pPr>
      <w:r>
        <w:t xml:space="preserve">Surface sterilize leaf tissue. Using sterilized forceps (heat and cool as above), immerse each cutting in 10% bleach solution for 10 seconds.</w:t>
      </w:r>
    </w:p>
    <w:p>
      <w:pPr>
        <w:pStyle w:val="Compact"/>
        <w:numPr>
          <w:ilvl w:val="1"/>
          <w:numId w:val="1088"/>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8"/>
        </w:numPr>
      </w:pPr>
      <w:r>
        <w:t xml:space="preserve">Mix 1ml (1/4 teaspoon) household bleach with 500 ml (2 cups) sterilized water.</w:t>
      </w:r>
    </w:p>
    <w:p>
      <w:pPr>
        <w:pStyle w:val="Compact"/>
        <w:numPr>
          <w:ilvl w:val="0"/>
          <w:numId w:val="1087"/>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7"/>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7"/>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7"/>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2" w:name="fig-SamplesWaterAgar"/>
          <w:p>
            <w:pPr>
              <w:pStyle w:val="Compact"/>
              <w:jc w:val="center"/>
            </w:pPr>
            <w:r>
              <w:drawing>
                <wp:inline>
                  <wp:extent cx="5334000" cy="3733799"/>
                  <wp:effectExtent b="0" l="0" r="0" t="0"/>
                  <wp:docPr descr="" title="" id="100" name="Picture"/>
                  <a:graphic>
                    <a:graphicData uri="http://schemas.openxmlformats.org/drawingml/2006/picture">
                      <pic:pic>
                        <pic:nvPicPr>
                          <pic:cNvPr descr="images/LeafSamplesWaterAgar.png" id="101" name="Picture"/>
                          <pic:cNvPicPr>
                            <a:picLocks noChangeArrowheads="1" noChangeAspect="1"/>
                          </pic:cNvPicPr>
                        </pic:nvPicPr>
                        <pic:blipFill>
                          <a:blip r:embed="rId9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2"/>
        </w:tc>
      </w:tr>
    </w:tbl>
    <w:bookmarkEnd w:id="103"/>
    <w:bookmarkEnd w:id="104"/>
    <w:bookmarkEnd w:id="105"/>
    <w:bookmarkEnd w:id="106"/>
    <w:bookmarkStart w:id="137"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tip.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8" w:name="module-2.1-lab-prep-overview"/>
    <w:p>
      <w:pPr>
        <w:pStyle w:val="Heading2"/>
      </w:pPr>
      <w:r>
        <w:t xml:space="preserve">Module 2.1 – Lab Prep Overview</w:t>
      </w:r>
    </w:p>
    <w:bookmarkStart w:id="117" w:name="X607910f6b5d5ec784b2986740c973a9a0beb010"/>
    <w:p>
      <w:pPr>
        <w:pStyle w:val="Heading3"/>
      </w:pPr>
      <w:r>
        <w:t xml:space="preserve">Instructor Laboratory Preparation Instructions</w:t>
      </w:r>
    </w:p>
    <w:bookmarkStart w:id="116" w:name="materials-1"/>
    <w:p>
      <w:pPr>
        <w:pStyle w:val="Heading4"/>
      </w:pPr>
      <w:r>
        <w:t xml:space="preserve">Materials</w:t>
      </w:r>
    </w:p>
    <w:p>
      <w:pPr>
        <w:pStyle w:val="Compact"/>
        <w:numPr>
          <w:ilvl w:val="0"/>
          <w:numId w:val="1089"/>
        </w:numPr>
      </w:pPr>
      <w:r>
        <w:t xml:space="preserve">Cellophane (rinsed, individually wrapped in gauze, and autoclaved)</w:t>
      </w:r>
    </w:p>
    <w:p>
      <w:pPr>
        <w:pStyle w:val="Compact"/>
        <w:numPr>
          <w:ilvl w:val="0"/>
          <w:numId w:val="1090"/>
        </w:numPr>
      </w:pPr>
      <w:r>
        <w:t xml:space="preserve">100x15mm Petri dishes</w:t>
      </w:r>
    </w:p>
    <w:p>
      <w:pPr>
        <w:pStyle w:val="Compact"/>
        <w:numPr>
          <w:ilvl w:val="0"/>
          <w:numId w:val="1091"/>
        </w:numPr>
      </w:pPr>
      <w:r>
        <w:t xml:space="preserve">60x15mm Petri dishes</w:t>
      </w:r>
    </w:p>
    <w:p>
      <w:pPr>
        <w:pStyle w:val="Compact"/>
        <w:numPr>
          <w:ilvl w:val="0"/>
          <w:numId w:val="1092"/>
        </w:numPr>
      </w:pPr>
      <w:r>
        <w:t xml:space="preserve">Bacteriological agar</w:t>
      </w:r>
    </w:p>
    <w:p>
      <w:pPr>
        <w:pStyle w:val="Compact"/>
        <w:numPr>
          <w:ilvl w:val="0"/>
          <w:numId w:val="1093"/>
        </w:numPr>
      </w:pPr>
      <w:r>
        <w:t xml:space="preserve">Potato Dextrose Agar (PDA)</w:t>
      </w:r>
    </w:p>
    <w:p>
      <w:pPr>
        <w:pStyle w:val="Compact"/>
        <w:numPr>
          <w:ilvl w:val="0"/>
          <w:numId w:val="1094"/>
        </w:numPr>
      </w:pPr>
      <w:r>
        <w:t xml:space="preserve">Forceps</w:t>
      </w:r>
    </w:p>
    <w:p>
      <w:pPr>
        <w:pStyle w:val="Compact"/>
        <w:numPr>
          <w:ilvl w:val="0"/>
          <w:numId w:val="1095"/>
        </w:numPr>
      </w:pPr>
      <w:r>
        <w:t xml:space="preserve">Scalpel</w:t>
      </w:r>
    </w:p>
    <w:p>
      <w:pPr>
        <w:pStyle w:val="Compact"/>
        <w:numPr>
          <w:ilvl w:val="0"/>
          <w:numId w:val="1096"/>
        </w:numPr>
      </w:pPr>
      <w:r>
        <w:t xml:space="preserve">70% ethanol</w:t>
      </w:r>
    </w:p>
    <w:p>
      <w:pPr>
        <w:pStyle w:val="Compact"/>
        <w:numPr>
          <w:ilvl w:val="0"/>
          <w:numId w:val="1097"/>
        </w:numPr>
      </w:pPr>
      <w:r>
        <w:t xml:space="preserve">Beaker or autoclavable container for cellophane and ethanol</w:t>
      </w:r>
    </w:p>
    <w:p>
      <w:pPr>
        <w:pStyle w:val="Compact"/>
        <w:numPr>
          <w:ilvl w:val="0"/>
          <w:numId w:val="1098"/>
        </w:numPr>
      </w:pPr>
      <w:r>
        <w:t xml:space="preserve">Parafilm</w:t>
      </w:r>
    </w:p>
    <w:p>
      <w:pPr>
        <w:pStyle w:val="Compact"/>
        <w:numPr>
          <w:ilvl w:val="0"/>
          <w:numId w:val="1099"/>
        </w:numPr>
      </w:pPr>
      <w:r>
        <w:t xml:space="preserve">Ruler</w:t>
      </w:r>
    </w:p>
    <w:p>
      <w:pPr>
        <w:pStyle w:val="Compact"/>
        <w:numPr>
          <w:ilvl w:val="0"/>
          <w:numId w:val="1100"/>
        </w:numPr>
      </w:pPr>
      <w:r>
        <w:t xml:space="preserve">Fine-tip Sharpie or marker for labeling plates</w:t>
      </w:r>
    </w:p>
    <w:p>
      <w:pPr>
        <w:pStyle w:val="Compact"/>
        <w:numPr>
          <w:ilvl w:val="0"/>
          <w:numId w:val="1101"/>
        </w:numPr>
      </w:pPr>
      <w:r>
        <w:t xml:space="preserve">Paper towels/Kimwipes</w:t>
      </w:r>
    </w:p>
    <w:p>
      <w:pPr>
        <w:pStyle w:val="Compact"/>
        <w:numPr>
          <w:ilvl w:val="0"/>
          <w:numId w:val="1102"/>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important.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6"/>
    <w:bookmarkEnd w:id="117"/>
    <w:bookmarkEnd w:id="118"/>
    <w:bookmarkStart w:id="136" w:name="module-2.2---fungal-isolation"/>
    <w:p>
      <w:pPr>
        <w:pStyle w:val="Heading2"/>
      </w:pPr>
      <w:r>
        <w:t xml:space="preserve">Module 2.2 - Fungal Isolation</w:t>
      </w:r>
    </w:p>
    <w:bookmarkStart w:id="121"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warning.png" id="12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1"/>
    <w:bookmarkStart w:id="122"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2"/>
    <w:bookmarkStart w:id="123" w:name="learning-goals-1"/>
    <w:p>
      <w:pPr>
        <w:pStyle w:val="Heading3"/>
      </w:pPr>
      <w:r>
        <w:t xml:space="preserve">Learning Goals</w:t>
      </w:r>
    </w:p>
    <w:p>
      <w:pPr>
        <w:pStyle w:val="Compact"/>
        <w:numPr>
          <w:ilvl w:val="0"/>
          <w:numId w:val="1103"/>
        </w:numPr>
      </w:pPr>
      <w:r>
        <w:t xml:space="preserve">Practice sterile technique</w:t>
      </w:r>
    </w:p>
    <w:p>
      <w:pPr>
        <w:pStyle w:val="Compact"/>
        <w:numPr>
          <w:ilvl w:val="0"/>
          <w:numId w:val="1103"/>
        </w:numPr>
      </w:pPr>
      <w:r>
        <w:t xml:space="preserve">Culture and isolate fungi</w:t>
      </w:r>
    </w:p>
    <w:p>
      <w:pPr>
        <w:pStyle w:val="Compact"/>
        <w:numPr>
          <w:ilvl w:val="0"/>
          <w:numId w:val="1103"/>
        </w:numPr>
      </w:pPr>
      <w:r>
        <w:t xml:space="preserve">Investigate fungal endophytes</w:t>
      </w:r>
    </w:p>
    <w:p>
      <w:pPr>
        <w:pStyle w:val="Compact"/>
        <w:numPr>
          <w:ilvl w:val="0"/>
          <w:numId w:val="1103"/>
        </w:numPr>
      </w:pPr>
      <w:r>
        <w:t xml:space="preserve">Characterize morphology of fungal cultures</w:t>
      </w:r>
    </w:p>
    <w:p>
      <w:pPr>
        <w:pStyle w:val="Compact"/>
        <w:numPr>
          <w:ilvl w:val="0"/>
          <w:numId w:val="1103"/>
        </w:numPr>
      </w:pPr>
      <w:r>
        <w:t xml:space="preserve">Create data spreadsheets</w:t>
      </w:r>
    </w:p>
    <w:p>
      <w:pPr>
        <w:pStyle w:val="Compact"/>
        <w:numPr>
          <w:ilvl w:val="0"/>
          <w:numId w:val="1103"/>
        </w:numPr>
      </w:pPr>
      <w:r>
        <w:t xml:space="preserve">Isolate fungi for molecular extraction and analysis</w:t>
      </w:r>
    </w:p>
    <w:p>
      <w:pPr>
        <w:pStyle w:val="Compact"/>
        <w:numPr>
          <w:ilvl w:val="0"/>
          <w:numId w:val="1103"/>
        </w:numPr>
      </w:pPr>
      <w:r>
        <w:t xml:space="preserve">Create growth curves</w:t>
      </w:r>
    </w:p>
    <w:bookmarkEnd w:id="123"/>
    <w:bookmarkStart w:id="135" w:name="instructions-1"/>
    <w:p>
      <w:pPr>
        <w:pStyle w:val="Heading3"/>
      </w:pPr>
      <w:r>
        <w:t xml:space="preserve">Instructions</w:t>
      </w:r>
    </w:p>
    <w:bookmarkStart w:id="124" w:name="materials-2"/>
    <w:p>
      <w:pPr>
        <w:pStyle w:val="Heading4"/>
      </w:pPr>
      <w:r>
        <w:t xml:space="preserve">Materials</w:t>
      </w:r>
    </w:p>
    <w:p>
      <w:pPr>
        <w:pStyle w:val="Compact"/>
        <w:numPr>
          <w:ilvl w:val="0"/>
          <w:numId w:val="1104"/>
        </w:numPr>
      </w:pPr>
      <w:r>
        <w:t xml:space="preserve">Fungal endophyte sample plates</w:t>
      </w:r>
    </w:p>
    <w:p>
      <w:pPr>
        <w:pStyle w:val="Compact"/>
        <w:numPr>
          <w:ilvl w:val="0"/>
          <w:numId w:val="1105"/>
        </w:numPr>
      </w:pPr>
      <w:r>
        <w:t xml:space="preserve">PDA plates (60x15 mm)</w:t>
      </w:r>
    </w:p>
    <w:p>
      <w:pPr>
        <w:pStyle w:val="Compact"/>
        <w:numPr>
          <w:ilvl w:val="0"/>
          <w:numId w:val="1106"/>
        </w:numPr>
      </w:pPr>
      <w:r>
        <w:t xml:space="preserve">70% ethanol</w:t>
      </w:r>
    </w:p>
    <w:p>
      <w:pPr>
        <w:pStyle w:val="Compact"/>
        <w:numPr>
          <w:ilvl w:val="0"/>
          <w:numId w:val="1107"/>
        </w:numPr>
      </w:pPr>
      <w:r>
        <w:t xml:space="preserve">Kimwipes and paper towels</w:t>
      </w:r>
    </w:p>
    <w:p>
      <w:pPr>
        <w:pStyle w:val="Compact"/>
        <w:numPr>
          <w:ilvl w:val="0"/>
          <w:numId w:val="1108"/>
        </w:numPr>
      </w:pPr>
      <w:r>
        <w:t xml:space="preserve">Parafilm</w:t>
      </w:r>
    </w:p>
    <w:p>
      <w:pPr>
        <w:pStyle w:val="Compact"/>
        <w:numPr>
          <w:ilvl w:val="0"/>
          <w:numId w:val="1109"/>
        </w:numPr>
      </w:pPr>
      <w:r>
        <w:t xml:space="preserve">Fine-tip Sharpie</w:t>
      </w:r>
    </w:p>
    <w:p>
      <w:pPr>
        <w:pStyle w:val="Compact"/>
        <w:numPr>
          <w:ilvl w:val="0"/>
          <w:numId w:val="1110"/>
        </w:numPr>
      </w:pPr>
      <w:r>
        <w:t xml:space="preserve">Ethanol for sterilization</w:t>
      </w:r>
    </w:p>
    <w:p>
      <w:pPr>
        <w:pStyle w:val="Compact"/>
        <w:numPr>
          <w:ilvl w:val="0"/>
          <w:numId w:val="1111"/>
        </w:numPr>
      </w:pPr>
      <w:r>
        <w:t xml:space="preserve">Beaker or autoclavable container for ethanol</w:t>
      </w:r>
    </w:p>
    <w:p>
      <w:pPr>
        <w:pStyle w:val="Compact"/>
        <w:numPr>
          <w:ilvl w:val="0"/>
          <w:numId w:val="1112"/>
        </w:numPr>
      </w:pPr>
      <w:r>
        <w:t xml:space="preserve">Scalpel</w:t>
      </w:r>
    </w:p>
    <w:p>
      <w:pPr>
        <w:pStyle w:val="Compact"/>
        <w:numPr>
          <w:ilvl w:val="0"/>
          <w:numId w:val="1113"/>
        </w:numPr>
      </w:pPr>
      <w:r>
        <w:t xml:space="preserve">Ruler</w:t>
      </w:r>
    </w:p>
    <w:p>
      <w:pPr>
        <w:pStyle w:val="Compact"/>
        <w:numPr>
          <w:ilvl w:val="0"/>
          <w:numId w:val="1114"/>
        </w:numPr>
      </w:pPr>
      <w:r>
        <w:t xml:space="preserve">Forceps</w:t>
      </w:r>
    </w:p>
    <w:p>
      <w:pPr>
        <w:pStyle w:val="Compact"/>
        <w:numPr>
          <w:ilvl w:val="0"/>
          <w:numId w:val="1115"/>
        </w:numPr>
      </w:pPr>
      <w:r>
        <w:t xml:space="preserve">Autclave</w:t>
      </w:r>
    </w:p>
    <w:bookmarkEnd w:id="124"/>
    <w:bookmarkStart w:id="12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8" w:name="fig-fungalhyphae"/>
          <w:p>
            <w:pPr>
              <w:pStyle w:val="Compact"/>
              <w:jc w:val="center"/>
            </w:pPr>
            <w:r>
              <w:drawing>
                <wp:inline>
                  <wp:extent cx="5334000" cy="3733799"/>
                  <wp:effectExtent b="0" l="0" r="0" t="0"/>
                  <wp:docPr descr="" title="" id="126" name="Picture"/>
                  <a:graphic>
                    <a:graphicData uri="http://schemas.openxmlformats.org/drawingml/2006/picture">
                      <pic:pic>
                        <pic:nvPicPr>
                          <pic:cNvPr descr="images/FungalHyphae.png" id="127" name="Picture"/>
                          <pic:cNvPicPr>
                            <a:picLocks noChangeArrowheads="1" noChangeAspect="1"/>
                          </pic:cNvPicPr>
                        </pic:nvPicPr>
                        <pic:blipFill>
                          <a:blip r:embed="rId12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8"/>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6"/>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6"/>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6"/>
        </w:numPr>
      </w:pPr>
      <w:r>
        <w:t xml:space="preserve">Use a sterilized scalpel, forceps, and agar punch.</w:t>
      </w:r>
    </w:p>
    <w:p>
      <w:pPr>
        <w:pStyle w:val="Compact"/>
        <w:numPr>
          <w:ilvl w:val="0"/>
          <w:numId w:val="1116"/>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7"/>
        </w:numPr>
      </w:pPr>
      <w:r>
        <w:t xml:space="preserve">Work quickly and cleanly and consider your technique to prevent contamination. Remove Parafilm from the water agar plate.</w:t>
      </w:r>
    </w:p>
    <w:p>
      <w:pPr>
        <w:pStyle w:val="Compact"/>
        <w:numPr>
          <w:ilvl w:val="1"/>
          <w:numId w:val="1117"/>
        </w:numPr>
      </w:pPr>
      <w:r>
        <w:t xml:space="preserve">Tilt or lift the lid of the water agar petri dish as little as possible, try to keep the lid covering or hovering over the plate to prevent airborne contaminants.</w:t>
      </w:r>
    </w:p>
    <w:p>
      <w:pPr>
        <w:pStyle w:val="Compact"/>
        <w:numPr>
          <w:ilvl w:val="1"/>
          <w:numId w:val="1117"/>
        </w:numPr>
      </w:pPr>
      <w:r>
        <w:t xml:space="preserve">Using a sterile scalpel remove the chunk of agar from the target fungal isolate.</w:t>
      </w:r>
    </w:p>
    <w:p>
      <w:pPr>
        <w:pStyle w:val="Compact"/>
        <w:numPr>
          <w:ilvl w:val="1"/>
          <w:numId w:val="1117"/>
        </w:numPr>
      </w:pPr>
      <w:r>
        <w:t xml:space="preserve">Replace the lid of the water agar.</w:t>
      </w:r>
    </w:p>
    <w:p>
      <w:pPr>
        <w:pStyle w:val="Compact"/>
        <w:numPr>
          <w:ilvl w:val="1"/>
          <w:numId w:val="111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7"/>
        </w:numPr>
      </w:pPr>
      <w:r>
        <w:t xml:space="preserve">Close the lid of the PDA Petri dish lid as quickly as possible. Seal with parafilm.</w:t>
      </w:r>
    </w:p>
    <w:bookmarkEnd w:id="129"/>
    <w:bookmarkStart w:id="134" w:name="part-ii-measuring-growth-rates"/>
    <w:p>
      <w:pPr>
        <w:pStyle w:val="Heading4"/>
      </w:pPr>
      <w:r>
        <w:t xml:space="preserve">Part II – Measuring Growth Rates</w:t>
      </w:r>
    </w:p>
    <w:p>
      <w:pPr>
        <w:pStyle w:val="Compact"/>
        <w:numPr>
          <w:ilvl w:val="0"/>
          <w:numId w:val="1118"/>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18"/>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3" w:name="fig-measuregrowth"/>
          <w:p>
            <w:pPr>
              <w:pStyle w:val="Compact"/>
              <w:jc w:val="center"/>
            </w:pPr>
            <w:r>
              <w:drawing>
                <wp:inline>
                  <wp:extent cx="5334000" cy="3733799"/>
                  <wp:effectExtent b="0" l="0" r="0" t="0"/>
                  <wp:docPr descr="" title="" id="131" name="Picture"/>
                  <a:graphic>
                    <a:graphicData uri="http://schemas.openxmlformats.org/drawingml/2006/picture">
                      <pic:pic>
                        <pic:nvPicPr>
                          <pic:cNvPr descr="images/MeasureGrowthPDA.png" id="132" name="Picture"/>
                          <pic:cNvPicPr>
                            <a:picLocks noChangeArrowheads="1" noChangeAspect="1"/>
                          </pic:cNvPicPr>
                        </pic:nvPicPr>
                        <pic:blipFill>
                          <a:blip r:embed="rId13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3"/>
        </w:tc>
      </w:tr>
    </w:tbl>
    <w:p>
      <w:pPr>
        <w:pStyle w:val="Compact"/>
        <w:numPr>
          <w:ilvl w:val="0"/>
          <w:numId w:val="1119"/>
        </w:numPr>
      </w:pPr>
      <w:r>
        <w:t xml:space="preserve">Measure, in mm, new growth at each of the eight edges along the lines (Figures 3 and 4)</w:t>
      </w:r>
    </w:p>
    <w:p>
      <w:pPr>
        <w:pStyle w:val="Compact"/>
        <w:numPr>
          <w:ilvl w:val="0"/>
          <w:numId w:val="111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20"/>
        </w:numPr>
      </w:pPr>
      <w:r>
        <w:t xml:space="preserve">Continue to measure average growth in mm 7 days from plating.</w:t>
      </w:r>
    </w:p>
    <w:p>
      <w:pPr>
        <w:pStyle w:val="Compact"/>
        <w:numPr>
          <w:ilvl w:val="0"/>
          <w:numId w:val="1120"/>
        </w:numPr>
      </w:pPr>
      <w:r>
        <w:t xml:space="preserve">Calculate the average growth rate (distance/time).</w:t>
      </w:r>
    </w:p>
    <w:p>
      <w:pPr>
        <w:pStyle w:val="Compact"/>
        <w:numPr>
          <w:ilvl w:val="0"/>
          <w:numId w:val="1120"/>
        </w:numPr>
      </w:pPr>
      <w:r>
        <w:t xml:space="preserve">Plot a graph of your fungal isolate(s) growth rate.</w:t>
      </w:r>
    </w:p>
    <w:p>
      <w:pPr>
        <w:pStyle w:val="Compact"/>
        <w:numPr>
          <w:ilvl w:val="0"/>
          <w:numId w:val="1120"/>
        </w:numPr>
      </w:pPr>
      <w:r>
        <w:t xml:space="preserve">Submit images and your data sheet and a graph of growth rates in your lab blog post for this project. Please take images to add to your lab notebook.</w:t>
      </w:r>
    </w:p>
    <w:bookmarkEnd w:id="134"/>
    <w:bookmarkEnd w:id="135"/>
    <w:bookmarkEnd w:id="136"/>
    <w:bookmarkEnd w:id="137"/>
    <w:bookmarkStart w:id="149"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opt/quarto/share/formats/docx/tip.png" id="1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2" w:name="module-3.1-phenotypic-assays"/>
    <w:p>
      <w:pPr>
        <w:pStyle w:val="Heading2"/>
      </w:pPr>
      <w:r>
        <w:t xml:space="preserve">Module 3.1 – Phenotypic Assays</w:t>
      </w:r>
    </w:p>
    <w:bookmarkStart w:id="141" w:name="X7ceddf16062824a3bde6cd0475f549d1fd9a5ed"/>
    <w:p>
      <w:pPr>
        <w:pStyle w:val="Heading3"/>
      </w:pPr>
      <w:r>
        <w:t xml:space="preserve">Instructor Laboratory Preparation Instructions</w:t>
      </w:r>
    </w:p>
    <w:bookmarkStart w:id="140" w:name="materials-and-equipment"/>
    <w:p>
      <w:pPr>
        <w:pStyle w:val="Heading4"/>
      </w:pPr>
      <w:r>
        <w:t xml:space="preserve">Materials and Equipment</w:t>
      </w:r>
    </w:p>
    <w:p>
      <w:pPr>
        <w:pStyle w:val="Compact"/>
        <w:numPr>
          <w:ilvl w:val="0"/>
          <w:numId w:val="1121"/>
        </w:numPr>
      </w:pPr>
      <w:r>
        <w:t xml:space="preserve">Autoclave</w:t>
      </w:r>
    </w:p>
    <w:p>
      <w:pPr>
        <w:pStyle w:val="Compact"/>
        <w:numPr>
          <w:ilvl w:val="0"/>
          <w:numId w:val="1122"/>
        </w:numPr>
      </w:pPr>
      <w:r>
        <w:t xml:space="preserve">Laminar flow hood (if available)</w:t>
      </w:r>
    </w:p>
    <w:p>
      <w:pPr>
        <w:pStyle w:val="Compact"/>
        <w:numPr>
          <w:ilvl w:val="0"/>
          <w:numId w:val="1123"/>
        </w:numPr>
      </w:pPr>
      <w:r>
        <w:t xml:space="preserve">60x15 mm Petri dishes</w:t>
      </w:r>
    </w:p>
    <w:p>
      <w:pPr>
        <w:pStyle w:val="Compact"/>
        <w:numPr>
          <w:ilvl w:val="0"/>
          <w:numId w:val="1124"/>
        </w:numPr>
      </w:pPr>
      <w:r>
        <w:t xml:space="preserve">Bacteriological agar</w:t>
      </w:r>
    </w:p>
    <w:p>
      <w:pPr>
        <w:pStyle w:val="Compact"/>
        <w:numPr>
          <w:ilvl w:val="0"/>
          <w:numId w:val="1125"/>
        </w:numPr>
      </w:pPr>
      <w:r>
        <w:t xml:space="preserve">Potato Dextrose Agar (PDA) with antibiotics</w:t>
      </w:r>
    </w:p>
    <w:p>
      <w:pPr>
        <w:pStyle w:val="Compact"/>
        <w:numPr>
          <w:ilvl w:val="0"/>
          <w:numId w:val="1126"/>
        </w:numPr>
      </w:pPr>
      <w:r>
        <w:t xml:space="preserve">Zinc sulfate</w:t>
      </w:r>
    </w:p>
    <w:p>
      <w:pPr>
        <w:pStyle w:val="Compact"/>
        <w:numPr>
          <w:ilvl w:val="0"/>
          <w:numId w:val="1127"/>
        </w:numPr>
      </w:pPr>
      <w:r>
        <w:t xml:space="preserve">Cellophane discs</w:t>
      </w:r>
    </w:p>
    <w:p>
      <w:pPr>
        <w:pStyle w:val="Compact"/>
        <w:numPr>
          <w:ilvl w:val="0"/>
          <w:numId w:val="1128"/>
        </w:numPr>
      </w:pPr>
      <w:r>
        <w:t xml:space="preserve">Forceps</w:t>
      </w:r>
    </w:p>
    <w:p>
      <w:pPr>
        <w:pStyle w:val="Compact"/>
        <w:numPr>
          <w:ilvl w:val="0"/>
          <w:numId w:val="1129"/>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0"/>
    <w:bookmarkEnd w:id="141"/>
    <w:bookmarkEnd w:id="142"/>
    <w:bookmarkStart w:id="148" w:name="module-3.2-phenotypic-assays"/>
    <w:p>
      <w:pPr>
        <w:pStyle w:val="Heading2"/>
      </w:pPr>
      <w:r>
        <w:t xml:space="preserve">Module 3.2 – Phenotypic Assays</w:t>
      </w:r>
    </w:p>
    <w:bookmarkStart w:id="143"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43"/>
    <w:bookmarkStart w:id="14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44" w:name="materials-3"/>
    <w:p>
      <w:pPr>
        <w:pStyle w:val="Heading4"/>
      </w:pPr>
      <w:r>
        <w:t xml:space="preserve">Materials</w:t>
      </w:r>
    </w:p>
    <w:p>
      <w:pPr>
        <w:pStyle w:val="Compact"/>
        <w:numPr>
          <w:ilvl w:val="0"/>
          <w:numId w:val="1130"/>
        </w:numPr>
      </w:pPr>
      <w:r>
        <w:t xml:space="preserve">Pure fungal cultures</w:t>
      </w:r>
    </w:p>
    <w:p>
      <w:pPr>
        <w:pStyle w:val="Compact"/>
        <w:numPr>
          <w:ilvl w:val="0"/>
          <w:numId w:val="1131"/>
        </w:numPr>
      </w:pPr>
      <w:r>
        <w:t xml:space="preserve">PDA 0 mM Zn + antibiotics</w:t>
      </w:r>
    </w:p>
    <w:p>
      <w:pPr>
        <w:pStyle w:val="Compact"/>
        <w:numPr>
          <w:ilvl w:val="0"/>
          <w:numId w:val="1132"/>
        </w:numPr>
      </w:pPr>
      <w:r>
        <w:t xml:space="preserve">PDA 1 mM Zn + antibiotics</w:t>
      </w:r>
    </w:p>
    <w:p>
      <w:pPr>
        <w:pStyle w:val="Compact"/>
        <w:numPr>
          <w:ilvl w:val="0"/>
          <w:numId w:val="1133"/>
        </w:numPr>
      </w:pPr>
      <w:r>
        <w:t xml:space="preserve">PDA 10 mM Zn + antibiotics</w:t>
      </w:r>
    </w:p>
    <w:p>
      <w:pPr>
        <w:pStyle w:val="Compact"/>
        <w:numPr>
          <w:ilvl w:val="0"/>
          <w:numId w:val="1134"/>
        </w:numPr>
      </w:pPr>
      <w:r>
        <w:t xml:space="preserve">Fine tip Sharpie or marker</w:t>
      </w:r>
    </w:p>
    <w:p>
      <w:pPr>
        <w:pStyle w:val="Compact"/>
        <w:numPr>
          <w:ilvl w:val="0"/>
          <w:numId w:val="1135"/>
        </w:numPr>
      </w:pPr>
      <w:r>
        <w:t xml:space="preserve">Agar cutting tool and whole punch</w:t>
      </w:r>
    </w:p>
    <w:p>
      <w:pPr>
        <w:pStyle w:val="Compact"/>
        <w:numPr>
          <w:ilvl w:val="0"/>
          <w:numId w:val="1136"/>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44"/>
    <w:bookmarkEnd w:id="145"/>
    <w:bookmarkStart w:id="14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6"/>
    <w:bookmarkStart w:id="14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7"/>
    <w:bookmarkEnd w:id="148"/>
    <w:bookmarkEnd w:id="149"/>
    <w:bookmarkStart w:id="177"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54" w:name="X1f9141d941555e98bd81ab73b3543cfd3247ac1"/>
    <w:p>
      <w:pPr>
        <w:pStyle w:val="Heading2"/>
      </w:pPr>
      <w:r>
        <w:t xml:space="preserve">Module 4.1 – DNA Sequencing and Species Identification Instructor Resources</w:t>
      </w:r>
    </w:p>
    <w:bookmarkStart w:id="153" w:name="Xf2d43db359788ca93a2d8fe43440f1f2685953f"/>
    <w:p>
      <w:pPr>
        <w:pStyle w:val="Heading3"/>
      </w:pPr>
      <w:r>
        <w:t xml:space="preserve">Instructor Laboratory Preparation Instructions</w:t>
      </w:r>
    </w:p>
    <w:bookmarkStart w:id="152"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37"/>
        </w:numPr>
      </w:pPr>
      <w:r>
        <w:t xml:space="preserve">☐ Gloves</w:t>
      </w:r>
    </w:p>
    <w:p>
      <w:pPr>
        <w:pStyle w:val="Compact"/>
        <w:numPr>
          <w:ilvl w:val="0"/>
          <w:numId w:val="1137"/>
        </w:numPr>
      </w:pPr>
      <w:r>
        <w:t xml:space="preserve">☐ Sharpie</w:t>
      </w:r>
    </w:p>
    <w:p>
      <w:pPr>
        <w:pStyle w:val="Compact"/>
        <w:numPr>
          <w:ilvl w:val="0"/>
          <w:numId w:val="1137"/>
        </w:numPr>
      </w:pPr>
      <w:r>
        <w:t xml:space="preserve">☐ Thermal cycler</w:t>
      </w:r>
    </w:p>
    <w:p>
      <w:pPr>
        <w:pStyle w:val="Compact"/>
        <w:numPr>
          <w:ilvl w:val="0"/>
          <w:numId w:val="1137"/>
        </w:numPr>
      </w:pPr>
      <w:r>
        <w:t xml:space="preserve">☐ Vortex</w:t>
      </w:r>
    </w:p>
    <w:p>
      <w:pPr>
        <w:pStyle w:val="Compact"/>
        <w:numPr>
          <w:ilvl w:val="0"/>
          <w:numId w:val="1137"/>
        </w:numPr>
      </w:pPr>
      <w:r>
        <w:t xml:space="preserve">☐ Centrifuge for PCR and microfuge tubes</w:t>
      </w:r>
    </w:p>
    <w:p>
      <w:pPr>
        <w:pStyle w:val="Compact"/>
        <w:numPr>
          <w:ilvl w:val="0"/>
          <w:numId w:val="1137"/>
        </w:numPr>
      </w:pPr>
      <w:r>
        <w:t xml:space="preserve">☐ Heat block/thermomixer for 1.5-2.0 ml microfuge tubes</w:t>
      </w:r>
    </w:p>
    <w:p>
      <w:pPr>
        <w:pStyle w:val="Compact"/>
        <w:numPr>
          <w:ilvl w:val="0"/>
          <w:numId w:val="1137"/>
        </w:numPr>
      </w:pPr>
      <w:r>
        <w:t xml:space="preserve">☐ 1.5mL microcentrifuge tubes (Eppendorf DNA LoBind)</w:t>
      </w:r>
    </w:p>
    <w:p>
      <w:pPr>
        <w:pStyle w:val="Compact"/>
        <w:numPr>
          <w:ilvl w:val="0"/>
          <w:numId w:val="1137"/>
        </w:numPr>
      </w:pPr>
      <w:r>
        <w:t xml:space="preserve">☐ 0.2 mL PCR tubes</w:t>
      </w:r>
    </w:p>
    <w:p>
      <w:pPr>
        <w:pStyle w:val="Compact"/>
        <w:numPr>
          <w:ilvl w:val="0"/>
          <w:numId w:val="1137"/>
        </w:numPr>
      </w:pPr>
      <w:r>
        <w:t xml:space="preserve">☐ Microfuge and PCR tube racks</w:t>
      </w:r>
    </w:p>
    <w:p>
      <w:pPr>
        <w:pStyle w:val="Compact"/>
        <w:numPr>
          <w:ilvl w:val="0"/>
          <w:numId w:val="1137"/>
        </w:numPr>
      </w:pPr>
      <w:r>
        <w:t xml:space="preserve">☐ Labeling tape</w:t>
      </w:r>
    </w:p>
    <w:p>
      <w:pPr>
        <w:pStyle w:val="Compact"/>
        <w:numPr>
          <w:ilvl w:val="0"/>
          <w:numId w:val="1137"/>
        </w:numPr>
      </w:pPr>
      <w:r>
        <w:t xml:space="preserve">☐ Monarch® Spin gDNA Extraction Kit (New England BioLabs,T3010S)</w:t>
      </w:r>
    </w:p>
    <w:p>
      <w:pPr>
        <w:pStyle w:val="Compact"/>
        <w:numPr>
          <w:ilvl w:val="0"/>
          <w:numId w:val="1137"/>
        </w:numPr>
      </w:pPr>
      <w:r>
        <w:t xml:space="preserve">☐ MetaPolyzyme, DNA free (Millipore Sigma, MAC4LDF-5X1VL)</w:t>
      </w:r>
    </w:p>
    <w:p>
      <w:pPr>
        <w:pStyle w:val="Compact"/>
        <w:numPr>
          <w:ilvl w:val="0"/>
          <w:numId w:val="1137"/>
        </w:numPr>
      </w:pPr>
      <w:r>
        <w:t xml:space="preserve">☐ TE Buffer</w:t>
      </w:r>
    </w:p>
    <w:p>
      <w:pPr>
        <w:pStyle w:val="Compact"/>
        <w:numPr>
          <w:ilvl w:val="0"/>
          <w:numId w:val="1137"/>
        </w:numPr>
      </w:pPr>
      <w:r>
        <w:t xml:space="preserve">☐ CTAB solution (100 ml, Promega, MC1411)</w:t>
      </w:r>
    </w:p>
    <w:p>
      <w:pPr>
        <w:pStyle w:val="Compact"/>
        <w:numPr>
          <w:ilvl w:val="0"/>
          <w:numId w:val="1137"/>
        </w:numPr>
      </w:pPr>
      <w:r>
        <w:t xml:space="preserve">☐ Parafilm</w:t>
      </w:r>
    </w:p>
    <w:p>
      <w:pPr>
        <w:pStyle w:val="Compact"/>
        <w:numPr>
          <w:ilvl w:val="0"/>
          <w:numId w:val="1137"/>
        </w:numPr>
      </w:pPr>
      <w:r>
        <w:t xml:space="preserve">☐ 70% ETOH</w:t>
      </w:r>
    </w:p>
    <w:p>
      <w:pPr>
        <w:pStyle w:val="Compact"/>
        <w:numPr>
          <w:ilvl w:val="0"/>
          <w:numId w:val="1137"/>
        </w:numPr>
      </w:pPr>
      <w:r>
        <w:t xml:space="preserve">☐ 1-10, 20-200, and 100-1000 µL micropipettors</w:t>
      </w:r>
    </w:p>
    <w:p>
      <w:pPr>
        <w:pStyle w:val="Compact"/>
        <w:numPr>
          <w:ilvl w:val="0"/>
          <w:numId w:val="1137"/>
        </w:numPr>
      </w:pPr>
      <w:r>
        <w:t xml:space="preserve">☐ 1-10, 20-200, and 100-1000 µL micropipette tips (preferably filtered)</w:t>
      </w:r>
    </w:p>
    <w:p>
      <w:pPr>
        <w:pStyle w:val="Compact"/>
        <w:numPr>
          <w:ilvl w:val="0"/>
          <w:numId w:val="1137"/>
        </w:numPr>
      </w:pPr>
      <w:r>
        <w:t xml:space="preserve">☐ Kimwipes</w:t>
      </w:r>
    </w:p>
    <w:p>
      <w:pPr>
        <w:pStyle w:val="Compact"/>
        <w:numPr>
          <w:ilvl w:val="0"/>
          <w:numId w:val="1137"/>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38"/>
        </w:numPr>
      </w:pPr>
      <w:r>
        <w:t xml:space="preserve">ITS1f: 5’-CTTGGTCATTTAGAGGAAGTAA-3’</w:t>
      </w:r>
    </w:p>
    <w:p>
      <w:pPr>
        <w:pStyle w:val="Compact"/>
        <w:numPr>
          <w:ilvl w:val="1"/>
          <w:numId w:val="1138"/>
        </w:numPr>
      </w:pPr>
      <w:r>
        <w:t xml:space="preserve">ITS4: 5’-TCCTCCGCTTATTGATATGC-3’</w:t>
      </w:r>
    </w:p>
    <w:p>
      <w:pPr>
        <w:pStyle w:val="Compact"/>
        <w:numPr>
          <w:ilvl w:val="1"/>
          <w:numId w:val="1138"/>
        </w:numPr>
      </w:pPr>
      <w:r>
        <w:t xml:space="preserve">5.8SR: 5’-CGCTGCGTTCTTCATCG-3’</w:t>
      </w:r>
    </w:p>
    <w:p>
      <w:pPr>
        <w:pStyle w:val="Compact"/>
        <w:numPr>
          <w:ilvl w:val="1"/>
          <w:numId w:val="1138"/>
        </w:numPr>
      </w:pPr>
      <w:r>
        <w:t xml:space="preserve">fITS7: 5’-GTGARTCATCGAATCTTTG-3’</w:t>
      </w:r>
    </w:p>
    <w:p>
      <w:pPr>
        <w:pStyle w:val="Compact"/>
        <w:numPr>
          <w:ilvl w:val="0"/>
          <w:numId w:val="1137"/>
        </w:numPr>
      </w:pPr>
      <w:r>
        <w:t xml:space="preserve">☐ Q5® Hot Start High-Fidelity 2X Master Mix - 100 reactions(New England BioLabs, M0494S)</w:t>
      </w:r>
    </w:p>
    <w:p>
      <w:pPr>
        <w:pStyle w:val="Compact"/>
        <w:numPr>
          <w:ilvl w:val="0"/>
          <w:numId w:val="1137"/>
        </w:numPr>
      </w:pPr>
      <w:r>
        <w:t xml:space="preserve">☐ PCR water (New England BioLabs, B1500S)</w:t>
      </w:r>
    </w:p>
    <w:p>
      <w:pPr>
        <w:pStyle w:val="Compact"/>
        <w:numPr>
          <w:ilvl w:val="0"/>
          <w:numId w:val="1137"/>
        </w:numPr>
      </w:pPr>
      <w:r>
        <w:t xml:space="preserve">☐ Exo-CIP Rapid PCR Cleanup Kit - 100 reactions (New England BioLabs, E1050S)</w:t>
      </w:r>
    </w:p>
    <w:p>
      <w:pPr>
        <w:pStyle w:val="Compact"/>
        <w:numPr>
          <w:ilvl w:val="0"/>
          <w:numId w:val="1137"/>
        </w:numPr>
      </w:pPr>
      <w:r>
        <w:t xml:space="preserve">☐ E-Gel system with 1.2% agarose gels (ThermoFisher, G4010010) or similar gel electrophoresis system</w:t>
      </w:r>
    </w:p>
    <w:p>
      <w:pPr>
        <w:pStyle w:val="Compact"/>
        <w:numPr>
          <w:ilvl w:val="0"/>
          <w:numId w:val="1137"/>
        </w:numPr>
      </w:pPr>
      <w:r>
        <w:t xml:space="preserve">☐ E-Gel™ Sizing DNA Ladder (ThermoFisher, 10488100)</w:t>
      </w:r>
    </w:p>
    <w:p>
      <w:pPr>
        <w:pStyle w:val="Compact"/>
        <w:numPr>
          <w:ilvl w:val="0"/>
          <w:numId w:val="1137"/>
        </w:numPr>
      </w:pPr>
      <w:r>
        <w:t xml:space="preserve">☐ DNA quantification system (for example, Qubit Fluorometer with dsDNA HS Assay Kit, ThermoFisher, Q32851)</w:t>
      </w:r>
    </w:p>
    <w:p>
      <w:pPr>
        <w:pStyle w:val="Compact"/>
        <w:numPr>
          <w:ilvl w:val="0"/>
          <w:numId w:val="1137"/>
        </w:numPr>
      </w:pPr>
      <w:r>
        <w:t xml:space="preserve">☐ Access to Sanger sequencing services (for example, Genewiz, Eurofins, Eton, or similar provider).</w:t>
      </w:r>
    </w:p>
    <w:p>
      <w:pPr>
        <w:pStyle w:val="Compact"/>
        <w:numPr>
          <w:ilvl w:val="0"/>
          <w:numId w:val="1137"/>
        </w:numPr>
      </w:pPr>
      <w:r>
        <w:t xml:space="preserve">☐ Rapid Barcoding Kit v14 (Oxford Nanopore Technologies), SQK-RBK114.24 or similar kit for long-read sequencing (optional)</w:t>
      </w:r>
    </w:p>
    <w:p>
      <w:pPr>
        <w:pStyle w:val="Compact"/>
        <w:numPr>
          <w:ilvl w:val="0"/>
          <w:numId w:val="1137"/>
        </w:numPr>
      </w:pPr>
      <w:r>
        <w:t xml:space="preserve">☐ MinION sequencing device</w:t>
      </w:r>
    </w:p>
    <w:p>
      <w:pPr>
        <w:pStyle w:val="Compact"/>
        <w:numPr>
          <w:ilvl w:val="0"/>
          <w:numId w:val="1137"/>
        </w:numPr>
      </w:pPr>
      <w:r>
        <w:t xml:space="preserve">☐ MinION flow cells (R10.4.1 or similar, Oxford Nanopore Technologies, FLO-MIN114)</w:t>
      </w:r>
    </w:p>
    <w:p>
      <w:pPr>
        <w:pStyle w:val="Compact"/>
        <w:numPr>
          <w:ilvl w:val="0"/>
          <w:numId w:val="1137"/>
        </w:numPr>
      </w:pPr>
      <w:r>
        <w:t xml:space="preserve">☐ Ultrapure BSA 50mg/ml (ThermoFisher, AM2616) for long-read sequencing</w:t>
      </w:r>
    </w:p>
    <w:p>
      <w:pPr>
        <w:pStyle w:val="Compact"/>
        <w:numPr>
          <w:ilvl w:val="0"/>
          <w:numId w:val="1137"/>
        </w:numPr>
      </w:pPr>
      <w:r>
        <w:t xml:space="preserve">☐ 1.5mL microcentrifuge tubes (Eppendorf DNA LoBind) for long-read sequencing</w:t>
      </w:r>
    </w:p>
    <w:p>
      <w:pPr>
        <w:pStyle w:val="Compact"/>
        <w:numPr>
          <w:ilvl w:val="0"/>
          <w:numId w:val="1137"/>
        </w:numPr>
      </w:pPr>
      <w:r>
        <w:t xml:space="preserve">0.2 mL PCR tubes for long-read sequencing</w:t>
      </w:r>
    </w:p>
    <w:p>
      <w:pPr>
        <w:pStyle w:val="Compact"/>
        <w:numPr>
          <w:ilvl w:val="0"/>
          <w:numId w:val="1137"/>
        </w:numPr>
      </w:pPr>
      <w:r>
        <w:t xml:space="preserve">Magnetic rack for 1.5ml microcentrifuge tubes (for example, ThermoFisher DynaMag-2, 12321D) for long-read sequencing</w:t>
      </w:r>
    </w:p>
    <w:p>
      <w:pPr>
        <w:pStyle w:val="Compact"/>
        <w:numPr>
          <w:ilvl w:val="0"/>
          <w:numId w:val="1137"/>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52"/>
    <w:bookmarkEnd w:id="153"/>
    <w:bookmarkEnd w:id="154"/>
    <w:bookmarkStart w:id="176" w:name="X84ab9f30f319591ed283388a48344a8ca0af377"/>
    <w:p>
      <w:pPr>
        <w:pStyle w:val="Heading2"/>
      </w:pPr>
      <w:r>
        <w:t xml:space="preserve">Module 4.2 – DNA Sequencing and Species Identification</w:t>
      </w:r>
    </w:p>
    <w:bookmarkStart w:id="155"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5"/>
    <w:bookmarkStart w:id="156" w:name="learning-goals-2"/>
    <w:p>
      <w:pPr>
        <w:pStyle w:val="Heading3"/>
      </w:pPr>
      <w:r>
        <w:t xml:space="preserve">Learning Goals</w:t>
      </w:r>
    </w:p>
    <w:p>
      <w:pPr>
        <w:pStyle w:val="Compact"/>
        <w:numPr>
          <w:ilvl w:val="0"/>
          <w:numId w:val="1139"/>
        </w:numPr>
      </w:pPr>
      <w:r>
        <w:t xml:space="preserve">Practice extracting fungal DNA</w:t>
      </w:r>
    </w:p>
    <w:p>
      <w:pPr>
        <w:pStyle w:val="Compact"/>
        <w:numPr>
          <w:ilvl w:val="0"/>
          <w:numId w:val="1139"/>
        </w:numPr>
      </w:pPr>
      <w:r>
        <w:t xml:space="preserve">Successfully PCR amplify fungal ITS</w:t>
      </w:r>
    </w:p>
    <w:p>
      <w:pPr>
        <w:pStyle w:val="Compact"/>
        <w:numPr>
          <w:ilvl w:val="0"/>
          <w:numId w:val="1139"/>
        </w:numPr>
      </w:pPr>
      <w:r>
        <w:t xml:space="preserve">Learn to BLAST ITS sequence to identify fungal isolates</w:t>
      </w:r>
    </w:p>
    <w:bookmarkEnd w:id="156"/>
    <w:bookmarkStart w:id="160" w:name="part-i-dna-extraction"/>
    <w:p>
      <w:pPr>
        <w:pStyle w:val="Heading3"/>
      </w:pPr>
      <w:r>
        <w:t xml:space="preserve">Part I: DNA Extraction</w:t>
      </w:r>
    </w:p>
    <w:bookmarkStart w:id="157"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7"/>
    <w:bookmarkStart w:id="158" w:name="materials-5"/>
    <w:p>
      <w:pPr>
        <w:pStyle w:val="Heading4"/>
      </w:pPr>
      <w:r>
        <w:t xml:space="preserve">Materials</w:t>
      </w:r>
    </w:p>
    <w:p>
      <w:pPr>
        <w:pStyle w:val="Compact"/>
        <w:numPr>
          <w:ilvl w:val="0"/>
          <w:numId w:val="1140"/>
        </w:numPr>
      </w:pPr>
      <w:r>
        <w:t xml:space="preserve">☐ Fungal isolates</w:t>
      </w:r>
    </w:p>
    <w:p>
      <w:pPr>
        <w:pStyle w:val="Compact"/>
        <w:numPr>
          <w:ilvl w:val="0"/>
          <w:numId w:val="1140"/>
        </w:numPr>
      </w:pPr>
      <w:r>
        <w:t xml:space="preserve">[ ]0.2 mL PCR tubes</w:t>
      </w:r>
    </w:p>
    <w:p>
      <w:pPr>
        <w:pStyle w:val="Compact"/>
        <w:numPr>
          <w:ilvl w:val="0"/>
          <w:numId w:val="1140"/>
        </w:numPr>
      </w:pPr>
      <w:r>
        <w:t xml:space="preserve">[ ]P20 micropipette with tips</w:t>
      </w:r>
    </w:p>
    <w:p>
      <w:pPr>
        <w:pStyle w:val="Compact"/>
        <w:numPr>
          <w:ilvl w:val="0"/>
          <w:numId w:val="1140"/>
        </w:numPr>
      </w:pPr>
      <w:r>
        <w:t xml:space="preserve">[ ]DNA extraction kit (New England BioLabs, Monarch® Spin gDNA Extraction Kit, T3010S)</w:t>
      </w:r>
    </w:p>
    <w:p>
      <w:pPr>
        <w:pStyle w:val="Compact"/>
        <w:numPr>
          <w:ilvl w:val="0"/>
          <w:numId w:val="1140"/>
        </w:numPr>
      </w:pPr>
      <w:r>
        <w:t xml:space="preserve">[ ]DNA quantification system (for example, Qubit Fluorometer with dsDNA HS Assay Kit, ThermoFisher, Q32851)</w:t>
      </w:r>
    </w:p>
    <w:p>
      <w:pPr>
        <w:pStyle w:val="Compact"/>
        <w:numPr>
          <w:ilvl w:val="0"/>
          <w:numId w:val="1140"/>
        </w:numPr>
      </w:pPr>
      <w:r>
        <w:t xml:space="preserve">[ ]Ethanol jar</w:t>
      </w:r>
    </w:p>
    <w:p>
      <w:pPr>
        <w:pStyle w:val="Compact"/>
        <w:numPr>
          <w:ilvl w:val="0"/>
          <w:numId w:val="1140"/>
        </w:numPr>
      </w:pPr>
      <w:r>
        <w:t xml:space="preserve">[ ]Loop, pick, and forceps</w:t>
      </w:r>
    </w:p>
    <w:bookmarkEnd w:id="158"/>
    <w:bookmarkStart w:id="159" w:name="procedures"/>
    <w:p>
      <w:pPr>
        <w:pStyle w:val="Heading4"/>
      </w:pPr>
      <w:r>
        <w:t xml:space="preserve">Procedures</w:t>
      </w:r>
    </w:p>
    <w:p>
      <w:pPr>
        <w:pStyle w:val="Compact"/>
        <w:numPr>
          <w:ilvl w:val="0"/>
          <w:numId w:val="1141"/>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41"/>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41"/>
        </w:numPr>
      </w:pPr>
      <w:r>
        <w:t xml:space="preserve">Close the snap-caps and incubate at 65 °C for 10 minutes followed by 95 °C for 10 minutes.</w:t>
      </w:r>
    </w:p>
    <w:p>
      <w:pPr>
        <w:pStyle w:val="Compact"/>
        <w:numPr>
          <w:ilvl w:val="0"/>
          <w:numId w:val="1141"/>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59"/>
    <w:bookmarkEnd w:id="160"/>
    <w:bookmarkStart w:id="165" w:name="part-ii-polymerase-chain-reaction-pcr"/>
    <w:p>
      <w:pPr>
        <w:pStyle w:val="Heading3"/>
      </w:pPr>
      <w:r>
        <w:t xml:space="preserve">Part II: Polymerase Chain Reaction (PCR)</w:t>
      </w:r>
    </w:p>
    <w:bookmarkStart w:id="161"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61"/>
    <w:bookmarkStart w:id="162" w:name="materials-6"/>
    <w:p>
      <w:pPr>
        <w:pStyle w:val="Heading4"/>
      </w:pPr>
      <w:r>
        <w:t xml:space="preserve">Materials</w:t>
      </w:r>
    </w:p>
    <w:p>
      <w:pPr>
        <w:pStyle w:val="Compact"/>
        <w:numPr>
          <w:ilvl w:val="0"/>
          <w:numId w:val="1142"/>
        </w:numPr>
      </w:pPr>
      <w:r>
        <w:t xml:space="preserve">DNA extraction kit</w:t>
      </w:r>
    </w:p>
    <w:p>
      <w:pPr>
        <w:pStyle w:val="Compact"/>
        <w:numPr>
          <w:ilvl w:val="0"/>
          <w:numId w:val="1143"/>
        </w:numPr>
      </w:pPr>
      <w:r>
        <w:t xml:space="preserve">Control DNA sample</w:t>
      </w:r>
    </w:p>
    <w:p>
      <w:pPr>
        <w:pStyle w:val="Compact"/>
        <w:numPr>
          <w:ilvl w:val="0"/>
          <w:numId w:val="1144"/>
        </w:numPr>
      </w:pPr>
      <w:r>
        <w:t xml:space="preserve">0.2 mL PCR tubes</w:t>
      </w:r>
    </w:p>
    <w:p>
      <w:pPr>
        <w:pStyle w:val="Compact"/>
        <w:numPr>
          <w:ilvl w:val="0"/>
          <w:numId w:val="1145"/>
        </w:numPr>
      </w:pPr>
      <w:r>
        <w:t xml:space="preserve">P10 micropipette with tips</w:t>
      </w:r>
    </w:p>
    <w:p>
      <w:pPr>
        <w:pStyle w:val="Compact"/>
        <w:numPr>
          <w:ilvl w:val="0"/>
          <w:numId w:val="1146"/>
        </w:numPr>
      </w:pPr>
      <w:r>
        <w:t xml:space="preserve">P20 micropipette with tips</w:t>
      </w:r>
    </w:p>
    <w:p>
      <w:pPr>
        <w:pStyle w:val="Compact"/>
        <w:numPr>
          <w:ilvl w:val="0"/>
          <w:numId w:val="1147"/>
        </w:numPr>
      </w:pPr>
      <w:r>
        <w:t xml:space="preserve">P200 micropipette with tips</w:t>
      </w:r>
    </w:p>
    <w:p>
      <w:pPr>
        <w:pStyle w:val="Compact"/>
        <w:numPr>
          <w:ilvl w:val="0"/>
          <w:numId w:val="1148"/>
        </w:numPr>
      </w:pPr>
      <w:r>
        <w:t xml:space="preserve">P1000 micropipette with tips</w:t>
      </w:r>
    </w:p>
    <w:p>
      <w:pPr>
        <w:pStyle w:val="Compact"/>
        <w:numPr>
          <w:ilvl w:val="0"/>
          <w:numId w:val="1149"/>
        </w:numPr>
      </w:pPr>
      <w:r>
        <w:t xml:space="preserve">Master mix containing buffer (MgCl2, dNTPs, primers, polymerase enzyme)</w:t>
      </w:r>
    </w:p>
    <w:p>
      <w:pPr>
        <w:pStyle w:val="Compact"/>
        <w:numPr>
          <w:ilvl w:val="0"/>
          <w:numId w:val="1150"/>
        </w:numPr>
      </w:pPr>
      <w:r>
        <w:t xml:space="preserve">PCR tube centrifuge</w:t>
      </w:r>
    </w:p>
    <w:p>
      <w:pPr>
        <w:pStyle w:val="Compact"/>
        <w:numPr>
          <w:ilvl w:val="0"/>
          <w:numId w:val="1151"/>
        </w:numPr>
      </w:pPr>
      <w:r>
        <w:t xml:space="preserve">Thermal cycler</w:t>
      </w:r>
    </w:p>
    <w:bookmarkEnd w:id="162"/>
    <w:bookmarkStart w:id="163"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52"/>
        </w:numPr>
      </w:pPr>
      <w:r>
        <w:t xml:space="preserve">Dilute DNA 1:10 (2 µl of DNA + 18 µL of DS)</w:t>
      </w:r>
    </w:p>
    <w:p>
      <w:pPr>
        <w:pStyle w:val="Compact"/>
        <w:numPr>
          <w:ilvl w:val="0"/>
          <w:numId w:val="1152"/>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52"/>
        </w:numPr>
      </w:pPr>
      <w:r>
        <w:t xml:space="preserve">Spin down your tubes before placing them in the thermal cycler. Run the reaction and observe the temperature cycles. After the reactions are finished, we will store your PCR products at -20 °C.</w:t>
      </w:r>
    </w:p>
    <w:bookmarkEnd w:id="163"/>
    <w:bookmarkStart w:id="164" w:name="X7a9437114b66a535474c7c1f8d36e2e2fb635f1"/>
    <w:p>
      <w:pPr>
        <w:pStyle w:val="Heading4"/>
      </w:pPr>
      <w:r>
        <w:t xml:space="preserve">PCR Troubleshooting after Gel Electrophoresis</w:t>
      </w:r>
    </w:p>
    <w:p>
      <w:pPr>
        <w:pStyle w:val="Compact"/>
        <w:numPr>
          <w:ilvl w:val="0"/>
          <w:numId w:val="1153"/>
        </w:numPr>
      </w:pPr>
      <w:r>
        <w:t xml:space="preserve">No amplification on any samples: check primers, polymerase, and other reagents.</w:t>
      </w:r>
    </w:p>
    <w:p>
      <w:pPr>
        <w:pStyle w:val="Compact"/>
        <w:numPr>
          <w:ilvl w:val="0"/>
          <w:numId w:val="1153"/>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53"/>
        </w:numPr>
      </w:pPr>
      <w:r>
        <w:t xml:space="preserve">Weak or multiple bands, smear: Mispriming from the incorrect program. Check primer concentration: an imbalance of primers can lead to multiple bands.</w:t>
      </w:r>
    </w:p>
    <w:bookmarkEnd w:id="164"/>
    <w:bookmarkEnd w:id="165"/>
    <w:bookmarkStart w:id="170"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6"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6"/>
    <w:bookmarkStart w:id="167" w:name="materials-needed-1"/>
    <w:p>
      <w:pPr>
        <w:pStyle w:val="Heading4"/>
      </w:pPr>
      <w:r>
        <w:t xml:space="preserve">Materials Needed</w:t>
      </w:r>
    </w:p>
    <w:p>
      <w:pPr>
        <w:pStyle w:val="Compact"/>
        <w:numPr>
          <w:ilvl w:val="0"/>
          <w:numId w:val="1154"/>
        </w:numPr>
      </w:pPr>
      <w:r>
        <w:t xml:space="preserve">Agarose</w:t>
      </w:r>
    </w:p>
    <w:p>
      <w:pPr>
        <w:pStyle w:val="Compact"/>
        <w:numPr>
          <w:ilvl w:val="0"/>
          <w:numId w:val="1154"/>
        </w:numPr>
      </w:pPr>
      <w:r>
        <w:t xml:space="preserve">1X TAE (or TE, TBE, or SB) buffer to make gels and running buffer</w:t>
      </w:r>
      <w:r>
        <w:t xml:space="preserve"> </w:t>
      </w:r>
      <w:r>
        <w:t xml:space="preserve">Note: Use the same buffer for making and running the gel</w:t>
      </w:r>
    </w:p>
    <w:p>
      <w:pPr>
        <w:pStyle w:val="Compact"/>
        <w:numPr>
          <w:ilvl w:val="0"/>
          <w:numId w:val="1154"/>
        </w:numPr>
      </w:pPr>
      <w:r>
        <w:t xml:space="preserve">SYBR Safe to visualize DNA</w:t>
      </w:r>
    </w:p>
    <w:p>
      <w:pPr>
        <w:pStyle w:val="Compact"/>
        <w:numPr>
          <w:ilvl w:val="0"/>
          <w:numId w:val="1154"/>
        </w:numPr>
      </w:pPr>
      <w:r>
        <w:t xml:space="preserve">250 mL Erlenmeyer Flask</w:t>
      </w:r>
    </w:p>
    <w:p>
      <w:pPr>
        <w:pStyle w:val="Compact"/>
        <w:numPr>
          <w:ilvl w:val="0"/>
          <w:numId w:val="1154"/>
        </w:numPr>
      </w:pPr>
      <w:r>
        <w:t xml:space="preserve">P20 micropipette with tips</w:t>
      </w:r>
    </w:p>
    <w:p>
      <w:pPr>
        <w:pStyle w:val="Compact"/>
        <w:numPr>
          <w:ilvl w:val="0"/>
          <w:numId w:val="1154"/>
        </w:numPr>
      </w:pPr>
      <w:r>
        <w:t xml:space="preserve">PCR products</w:t>
      </w:r>
    </w:p>
    <w:p>
      <w:pPr>
        <w:pStyle w:val="Compact"/>
        <w:numPr>
          <w:ilvl w:val="0"/>
          <w:numId w:val="1154"/>
        </w:numPr>
      </w:pPr>
      <w:r>
        <w:t xml:space="preserve">100 bp Ladder</w:t>
      </w:r>
    </w:p>
    <w:p>
      <w:pPr>
        <w:pStyle w:val="Compact"/>
        <w:numPr>
          <w:ilvl w:val="0"/>
          <w:numId w:val="1154"/>
        </w:numPr>
      </w:pPr>
      <w:r>
        <w:t xml:space="preserve">Digital Balance</w:t>
      </w:r>
    </w:p>
    <w:p>
      <w:pPr>
        <w:pStyle w:val="Compact"/>
        <w:numPr>
          <w:ilvl w:val="0"/>
          <w:numId w:val="1154"/>
        </w:numPr>
      </w:pPr>
      <w:r>
        <w:t xml:space="preserve">Weigh Boats</w:t>
      </w:r>
    </w:p>
    <w:p>
      <w:pPr>
        <w:pStyle w:val="Compact"/>
        <w:numPr>
          <w:ilvl w:val="0"/>
          <w:numId w:val="1154"/>
        </w:numPr>
      </w:pPr>
      <w:r>
        <w:t xml:space="preserve">Gel rigs</w:t>
      </w:r>
    </w:p>
    <w:p>
      <w:pPr>
        <w:pStyle w:val="Compact"/>
        <w:numPr>
          <w:ilvl w:val="0"/>
          <w:numId w:val="1154"/>
        </w:numPr>
      </w:pPr>
      <w:r>
        <w:t xml:space="preserve">Gel comb</w:t>
      </w:r>
    </w:p>
    <w:p>
      <w:pPr>
        <w:pStyle w:val="Compact"/>
        <w:numPr>
          <w:ilvl w:val="0"/>
          <w:numId w:val="1154"/>
        </w:numPr>
      </w:pPr>
      <w:r>
        <w:t xml:space="preserve">Power source</w:t>
      </w:r>
    </w:p>
    <w:bookmarkEnd w:id="167"/>
    <w:bookmarkStart w:id="168" w:name="X27e3611931edb00682f71c58d3e85dfeecf25c4"/>
    <w:p>
      <w:pPr>
        <w:pStyle w:val="Heading4"/>
      </w:pPr>
      <w:r>
        <w:t xml:space="preserve">Gel Preparation Protocol (Prep gel at least 20 minutes prior to use)</w:t>
      </w:r>
    </w:p>
    <w:p>
      <w:pPr>
        <w:pStyle w:val="Compact"/>
        <w:numPr>
          <w:ilvl w:val="0"/>
          <w:numId w:val="1155"/>
        </w:numPr>
      </w:pPr>
      <w:r>
        <w:t xml:space="preserve">Measure 100 mL of 1x TE buffer in an Erlenmeyer flask.</w:t>
      </w:r>
    </w:p>
    <w:p>
      <w:pPr>
        <w:pStyle w:val="Compact"/>
        <w:numPr>
          <w:ilvl w:val="0"/>
          <w:numId w:val="1155"/>
        </w:numPr>
      </w:pPr>
      <w:r>
        <w:t xml:space="preserve">Add 1 gram of agarose to the buffer.</w:t>
      </w:r>
    </w:p>
    <w:p>
      <w:pPr>
        <w:pStyle w:val="Compact"/>
        <w:numPr>
          <w:ilvl w:val="0"/>
          <w:numId w:val="1155"/>
        </w:numPr>
      </w:pPr>
      <w:r>
        <w:t xml:space="preserve">Microwave for 30-second intervals.</w:t>
      </w:r>
    </w:p>
    <w:p>
      <w:pPr>
        <w:pStyle w:val="Compact"/>
        <w:numPr>
          <w:ilvl w:val="0"/>
          <w:numId w:val="1155"/>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55"/>
        </w:numPr>
      </w:pPr>
      <w:r>
        <w:t xml:space="preserve">Once all the agarose is melted, let sit on the counter until it cools enough to handle. Don’t let it cool too long as it will solidify.</w:t>
      </w:r>
    </w:p>
    <w:p>
      <w:pPr>
        <w:pStyle w:val="Compact"/>
        <w:numPr>
          <w:ilvl w:val="0"/>
          <w:numId w:val="1155"/>
        </w:numPr>
      </w:pPr>
      <w:r>
        <w:t xml:space="preserve">Set up the agarose mold and add a comb.</w:t>
      </w:r>
    </w:p>
    <w:p>
      <w:pPr>
        <w:pStyle w:val="Compact"/>
        <w:numPr>
          <w:ilvl w:val="0"/>
          <w:numId w:val="1155"/>
        </w:numPr>
      </w:pPr>
      <w:r>
        <w:t xml:space="preserve">Once the agarose has cooled to the touch. Pour into the mold. Make sure the agarose is approximately 1/3 to 1/2 way up the combs.</w:t>
      </w:r>
    </w:p>
    <w:p>
      <w:pPr>
        <w:pStyle w:val="Compact"/>
        <w:numPr>
          <w:ilvl w:val="0"/>
          <w:numId w:val="1155"/>
        </w:numPr>
      </w:pPr>
      <w:r>
        <w:t xml:space="preserve">If bubbles are present, use a micropipette tip to draw them to the sides of the gel.</w:t>
      </w:r>
    </w:p>
    <w:p>
      <w:pPr>
        <w:pStyle w:val="Compact"/>
        <w:numPr>
          <w:ilvl w:val="0"/>
          <w:numId w:val="1155"/>
        </w:numPr>
      </w:pPr>
      <w:r>
        <w:t xml:space="preserve">Allow approximately 20 minutes for the gel to solidify and become somewhat translucent.</w:t>
      </w:r>
    </w:p>
    <w:p>
      <w:pPr>
        <w:pStyle w:val="Compact"/>
        <w:numPr>
          <w:ilvl w:val="0"/>
          <w:numId w:val="1155"/>
        </w:numPr>
      </w:pPr>
      <w:r>
        <w:t xml:space="preserve">Gently remove the comb.</w:t>
      </w:r>
    </w:p>
    <w:p>
      <w:pPr>
        <w:pStyle w:val="Compact"/>
        <w:numPr>
          <w:ilvl w:val="0"/>
          <w:numId w:val="1155"/>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55"/>
        </w:numPr>
      </w:pPr>
      <w:r>
        <w:t xml:space="preserve">Gels can be wrapped in saran wrap and stored for approximately 1 week.</w:t>
      </w:r>
    </w:p>
    <w:bookmarkEnd w:id="168"/>
    <w:bookmarkStart w:id="169" w:name="gel-loading"/>
    <w:p>
      <w:pPr>
        <w:pStyle w:val="Heading4"/>
      </w:pPr>
      <w:r>
        <w:t xml:space="preserve">Gel Loading</w:t>
      </w:r>
    </w:p>
    <w:p>
      <w:pPr>
        <w:pStyle w:val="Compact"/>
        <w:numPr>
          <w:ilvl w:val="0"/>
          <w:numId w:val="1156"/>
        </w:numPr>
      </w:pPr>
      <w:r>
        <w:t xml:space="preserve">Fill the gel rig with 1X TAE (or equivalent) buffer until it covers the surface of the gel.</w:t>
      </w:r>
    </w:p>
    <w:p>
      <w:pPr>
        <w:pStyle w:val="Compact"/>
        <w:numPr>
          <w:ilvl w:val="0"/>
          <w:numId w:val="1156"/>
        </w:numPr>
      </w:pPr>
      <w:r>
        <w:t xml:space="preserve">Make a map of your samples in your gel.</w:t>
      </w:r>
    </w:p>
    <w:p>
      <w:pPr>
        <w:pStyle w:val="Compact"/>
        <w:numPr>
          <w:ilvl w:val="0"/>
          <w:numId w:val="1156"/>
        </w:numPr>
      </w:pPr>
      <w:r>
        <w:t xml:space="preserve">Load Gel</w:t>
      </w:r>
    </w:p>
    <w:p>
      <w:pPr>
        <w:pStyle w:val="Compact"/>
        <w:numPr>
          <w:ilvl w:val="1"/>
          <w:numId w:val="1157"/>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57"/>
        </w:numPr>
      </w:pPr>
      <w:r>
        <w:t xml:space="preserve">PCR product with loading dye: Draw up 5 μL of PCR product using micropipette.</w:t>
      </w:r>
    </w:p>
    <w:p>
      <w:pPr>
        <w:pStyle w:val="Compact"/>
        <w:numPr>
          <w:ilvl w:val="0"/>
          <w:numId w:val="1156"/>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56"/>
        </w:numPr>
      </w:pPr>
      <w:r>
        <w:t xml:space="preserve">Be sure to reserve one well per row for a standardized DNA ladder.</w:t>
      </w:r>
    </w:p>
    <w:p>
      <w:pPr>
        <w:pStyle w:val="Compact"/>
        <w:numPr>
          <w:ilvl w:val="0"/>
          <w:numId w:val="1156"/>
        </w:numPr>
      </w:pPr>
      <w:r>
        <w:t xml:space="preserve">Run at 300 volts for about 15 minutes</w:t>
      </w:r>
    </w:p>
    <w:p>
      <w:pPr>
        <w:pStyle w:val="Compact"/>
        <w:numPr>
          <w:ilvl w:val="1"/>
          <w:numId w:val="1158"/>
        </w:numPr>
      </w:pPr>
      <w:r>
        <w:t xml:space="preserve">Keep an eye on the migration of your PCR product across the gel to ensure it doesn’t run off the other end of the gel.</w:t>
      </w:r>
    </w:p>
    <w:p>
      <w:pPr>
        <w:pStyle w:val="Compact"/>
        <w:numPr>
          <w:ilvl w:val="0"/>
          <w:numId w:val="1156"/>
        </w:numPr>
      </w:pPr>
      <w:r>
        <w:t xml:space="preserve">Visualize with UV light.</w:t>
      </w:r>
    </w:p>
    <w:bookmarkEnd w:id="169"/>
    <w:bookmarkEnd w:id="170"/>
    <w:bookmarkStart w:id="171"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71"/>
    <w:bookmarkStart w:id="172"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72"/>
    <w:bookmarkStart w:id="174" w:name="X119230681215c553508703bd9b858aabc863314"/>
    <w:p>
      <w:pPr>
        <w:pStyle w:val="Heading3"/>
      </w:pPr>
      <w:r>
        <w:t xml:space="preserve">Part VI: Identifying Species using DNA Barcode</w:t>
      </w:r>
    </w:p>
    <w:bookmarkStart w:id="173"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59"/>
        </w:numPr>
      </w:pPr>
      <w:r>
        <w:t xml:space="preserve">Go to NCBI: https://www.ncbi.nlm.nih.gov/.</w:t>
      </w:r>
    </w:p>
    <w:p>
      <w:pPr>
        <w:pStyle w:val="Compact"/>
        <w:numPr>
          <w:ilvl w:val="0"/>
          <w:numId w:val="1159"/>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60"/>
        </w:numPr>
      </w:pPr>
      <w:r>
        <w:t xml:space="preserve">BLAST = Basic Local Alignment Search Tool</w:t>
      </w:r>
    </w:p>
    <w:p>
      <w:pPr>
        <w:pStyle w:val="Compact"/>
        <w:numPr>
          <w:ilvl w:val="0"/>
          <w:numId w:val="1159"/>
        </w:numPr>
      </w:pPr>
      <w:r>
        <w:t xml:space="preserve">Click on the Nucleotide BLAST image.</w:t>
      </w:r>
    </w:p>
    <w:p>
      <w:pPr>
        <w:pStyle w:val="Compact"/>
        <w:numPr>
          <w:ilvl w:val="1"/>
          <w:numId w:val="1161"/>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59"/>
        </w:numPr>
      </w:pPr>
      <w:r>
        <w:t xml:space="preserve">Paste your sequence data into the big space under</w:t>
      </w:r>
      <w:r>
        <w:t xml:space="preserve"> </w:t>
      </w:r>
      <w:r>
        <w:t xml:space="preserve">“Enter Query Sequence”</w:t>
      </w:r>
      <w:r>
        <w:t xml:space="preserve">.</w:t>
      </w:r>
    </w:p>
    <w:p>
      <w:pPr>
        <w:pStyle w:val="Compact"/>
        <w:numPr>
          <w:ilvl w:val="1"/>
          <w:numId w:val="1162"/>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59"/>
        </w:numPr>
      </w:pPr>
      <w:r>
        <w:t xml:space="preserve">Under Choose Search Set you can keep it under</w:t>
      </w:r>
      <w:r>
        <w:t xml:space="preserve"> </w:t>
      </w:r>
      <w:r>
        <w:t xml:space="preserve">“Standard databases (nr etc.)”</w:t>
      </w:r>
      <w:r>
        <w:t xml:space="preserve">.</w:t>
      </w:r>
    </w:p>
    <w:p>
      <w:pPr>
        <w:pStyle w:val="Compact"/>
        <w:numPr>
          <w:ilvl w:val="1"/>
          <w:numId w:val="1163"/>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59"/>
        </w:numPr>
      </w:pPr>
      <w:r>
        <w:t xml:space="preserve">Select the</w:t>
      </w:r>
      <w:r>
        <w:t xml:space="preserve"> </w:t>
      </w:r>
      <w:r>
        <w:t xml:space="preserve">“BLAST”</w:t>
      </w:r>
      <w:r>
        <w:t xml:space="preserve"> </w:t>
      </w:r>
      <w:r>
        <w:t xml:space="preserve">button at the end.</w:t>
      </w:r>
    </w:p>
    <w:p>
      <w:pPr>
        <w:pStyle w:val="Compact"/>
        <w:numPr>
          <w:ilvl w:val="1"/>
          <w:numId w:val="1164"/>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64"/>
        </w:numPr>
      </w:pPr>
      <w:r>
        <w:t xml:space="preserve">Percent Identity = What percent of your sequence (query sequence) is identical to the matched sequence.</w:t>
      </w:r>
    </w:p>
    <w:p>
      <w:pPr>
        <w:pStyle w:val="Compact"/>
        <w:numPr>
          <w:ilvl w:val="1"/>
          <w:numId w:val="1164"/>
        </w:numPr>
      </w:pPr>
      <w:r>
        <w:t xml:space="preserve">Query Cover = How much of the query sequence covers the matched sequence.</w:t>
      </w:r>
    </w:p>
    <w:p>
      <w:pPr>
        <w:pStyle w:val="Compact"/>
        <w:numPr>
          <w:ilvl w:val="1"/>
          <w:numId w:val="1164"/>
        </w:numPr>
      </w:pPr>
      <w:r>
        <w:t xml:space="preserve">E value = The probability that this match occurred by chance in the provided database.</w:t>
      </w:r>
    </w:p>
    <w:p>
      <w:pPr>
        <w:pStyle w:val="Compact"/>
        <w:numPr>
          <w:ilvl w:val="0"/>
          <w:numId w:val="1159"/>
        </w:numPr>
      </w:pPr>
      <w:r>
        <w:t xml:space="preserve">Review the results.</w:t>
      </w:r>
    </w:p>
    <w:p>
      <w:pPr>
        <w:pStyle w:val="Compact"/>
        <w:numPr>
          <w:ilvl w:val="1"/>
          <w:numId w:val="1165"/>
        </w:numPr>
      </w:pPr>
      <w:r>
        <w:t xml:space="preserve">What is the</w:t>
      </w:r>
      <w:r>
        <w:t xml:space="preserve"> </w:t>
      </w:r>
      <w:r>
        <w:t xml:space="preserve">“top hit”</w:t>
      </w:r>
      <w:r>
        <w:t xml:space="preserve">?</w:t>
      </w:r>
    </w:p>
    <w:p>
      <w:pPr>
        <w:pStyle w:val="Compact"/>
        <w:numPr>
          <w:ilvl w:val="1"/>
          <w:numId w:val="1165"/>
        </w:numPr>
      </w:pPr>
      <w:r>
        <w:t xml:space="preserve">How much support is provided for this hit given the current database used?</w:t>
      </w:r>
    </w:p>
    <w:p>
      <w:pPr>
        <w:pStyle w:val="Compact"/>
        <w:numPr>
          <w:ilvl w:val="1"/>
          <w:numId w:val="1165"/>
        </w:numPr>
      </w:pPr>
      <w:r>
        <w:t xml:space="preserve">What is the taxonomic ID of this result? What kind of fungi are these?</w:t>
      </w:r>
    </w:p>
    <w:p>
      <w:pPr>
        <w:pStyle w:val="Compact"/>
        <w:numPr>
          <w:ilvl w:val="1"/>
          <w:numId w:val="1165"/>
        </w:numPr>
      </w:pPr>
      <w:r>
        <w:t xml:space="preserve">You may google the names and search under Wikipedia to get a better understanding of these organisms and what is known.</w:t>
      </w:r>
    </w:p>
    <w:bookmarkEnd w:id="173"/>
    <w:bookmarkEnd w:id="174"/>
    <w:bookmarkStart w:id="175"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5"/>
    <w:bookmarkEnd w:id="176"/>
    <w:bookmarkEnd w:id="177"/>
    <w:bookmarkStart w:id="191"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82" w:name="X0d17ba572a281133a22d073b368b9fbe73454ca"/>
    <w:p>
      <w:pPr>
        <w:pStyle w:val="Heading2"/>
      </w:pPr>
      <w:r>
        <w:t xml:space="preserve">Module 5.1 – Tissue Preparation for Genome Sequencing</w:t>
      </w:r>
    </w:p>
    <w:bookmarkStart w:id="181" w:name="Xaadd1af7be5342dd14d66f9d9ba06249647885a"/>
    <w:p>
      <w:pPr>
        <w:pStyle w:val="Heading3"/>
      </w:pPr>
      <w:r>
        <w:t xml:space="preserve">Instructor Laboratory Preparation Instructions</w:t>
      </w:r>
    </w:p>
    <w:bookmarkStart w:id="180" w:name="materials-and-equipment-1"/>
    <w:p>
      <w:pPr>
        <w:pStyle w:val="Heading4"/>
      </w:pPr>
      <w:r>
        <w:t xml:space="preserve">Materials and Equipment</w:t>
      </w:r>
    </w:p>
    <w:p>
      <w:pPr>
        <w:pStyle w:val="Compact"/>
        <w:numPr>
          <w:ilvl w:val="0"/>
          <w:numId w:val="1166"/>
        </w:numPr>
      </w:pPr>
      <w:r>
        <w:t xml:space="preserve">Autoclave</w:t>
      </w:r>
    </w:p>
    <w:p>
      <w:pPr>
        <w:pStyle w:val="Compact"/>
        <w:numPr>
          <w:ilvl w:val="0"/>
          <w:numId w:val="1167"/>
        </w:numPr>
      </w:pPr>
      <w:r>
        <w:t xml:space="preserve">Laminar Flow Hood (if available)</w:t>
      </w:r>
    </w:p>
    <w:p>
      <w:pPr>
        <w:pStyle w:val="Compact"/>
        <w:numPr>
          <w:ilvl w:val="0"/>
          <w:numId w:val="1168"/>
        </w:numPr>
      </w:pPr>
      <w:r>
        <w:t xml:space="preserve">Cellophane</w:t>
      </w:r>
    </w:p>
    <w:p>
      <w:pPr>
        <w:pStyle w:val="Compact"/>
        <w:numPr>
          <w:ilvl w:val="0"/>
          <w:numId w:val="1169"/>
        </w:numPr>
      </w:pPr>
      <w:r>
        <w:t xml:space="preserve">100x15mm Petri Dishes</w:t>
      </w:r>
    </w:p>
    <w:p>
      <w:pPr>
        <w:pStyle w:val="Compact"/>
        <w:numPr>
          <w:ilvl w:val="0"/>
          <w:numId w:val="1170"/>
        </w:numPr>
      </w:pPr>
      <w:r>
        <w:t xml:space="preserve">60x15mm Petri Dishes</w:t>
      </w:r>
    </w:p>
    <w:p>
      <w:pPr>
        <w:pStyle w:val="Compact"/>
        <w:numPr>
          <w:ilvl w:val="0"/>
          <w:numId w:val="1171"/>
        </w:numPr>
      </w:pPr>
      <w:r>
        <w:t xml:space="preserve">Agar, Bacteriological</w:t>
      </w:r>
    </w:p>
    <w:p>
      <w:pPr>
        <w:pStyle w:val="Compact"/>
        <w:numPr>
          <w:ilvl w:val="0"/>
          <w:numId w:val="1172"/>
        </w:numPr>
      </w:pPr>
      <w:r>
        <w:t xml:space="preserve">Potato Dextrose Agar (PDA) media</w:t>
      </w:r>
    </w:p>
    <w:p>
      <w:pPr>
        <w:pStyle w:val="Compact"/>
        <w:numPr>
          <w:ilvl w:val="0"/>
          <w:numId w:val="1173"/>
        </w:numPr>
      </w:pPr>
      <w:r>
        <w:t xml:space="preserve">Alcohol for sterilization</w:t>
      </w:r>
    </w:p>
    <w:p>
      <w:pPr>
        <w:pStyle w:val="Compact"/>
        <w:numPr>
          <w:ilvl w:val="0"/>
          <w:numId w:val="1174"/>
        </w:numPr>
      </w:pPr>
      <w:r>
        <w:t xml:space="preserve">Forceps</w:t>
      </w:r>
    </w:p>
    <w:p>
      <w:pPr>
        <w:pStyle w:val="Compact"/>
        <w:numPr>
          <w:ilvl w:val="0"/>
          <w:numId w:val="1175"/>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80"/>
    <w:bookmarkEnd w:id="181"/>
    <w:bookmarkEnd w:id="182"/>
    <w:bookmarkStart w:id="190" w:name="Xc8205bcafd44c2f0f2777871d0b670e5430cb18"/>
    <w:p>
      <w:pPr>
        <w:pStyle w:val="Heading2"/>
      </w:pPr>
      <w:r>
        <w:t xml:space="preserve">Module 5.2 – Tissue Preparation for Genome Sequencing</w:t>
      </w:r>
    </w:p>
    <w:bookmarkStart w:id="183"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83"/>
    <w:bookmarkStart w:id="184"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84"/>
    <w:bookmarkStart w:id="185" w:name="sub-culturing-on-cellophane"/>
    <w:p>
      <w:pPr>
        <w:pStyle w:val="Heading3"/>
      </w:pPr>
      <w:r>
        <w:t xml:space="preserve">Sub-Culturing on Cellophane</w:t>
      </w:r>
    </w:p>
    <w:p>
      <w:pPr>
        <w:pStyle w:val="Compact"/>
        <w:numPr>
          <w:ilvl w:val="0"/>
          <w:numId w:val="1176"/>
        </w:numPr>
      </w:pPr>
      <w:r>
        <w:t xml:space="preserve">Clean your workspace as described previously. Work under flames or in a laminar flow hood if available.</w:t>
      </w:r>
    </w:p>
    <w:p>
      <w:pPr>
        <w:pStyle w:val="Compact"/>
        <w:numPr>
          <w:ilvl w:val="0"/>
          <w:numId w:val="1176"/>
        </w:numPr>
      </w:pPr>
      <w:r>
        <w:t xml:space="preserve">Label your Cellophane lined Petri Dish appropriately.</w:t>
      </w:r>
    </w:p>
    <w:p>
      <w:pPr>
        <w:pStyle w:val="Compact"/>
        <w:numPr>
          <w:ilvl w:val="0"/>
          <w:numId w:val="1176"/>
        </w:numPr>
      </w:pPr>
      <w:r>
        <w:t xml:space="preserve">Sterilize implements (forceps and scalpel).</w:t>
      </w:r>
    </w:p>
    <w:p>
      <w:pPr>
        <w:pStyle w:val="Compact"/>
        <w:numPr>
          <w:ilvl w:val="0"/>
          <w:numId w:val="1176"/>
        </w:numPr>
      </w:pPr>
      <w:r>
        <w:t xml:space="preserve">Scrape mycelia from PDA plates that you have been growing. Be sure to avoid transferring any media as much as possible.</w:t>
      </w:r>
    </w:p>
    <w:p>
      <w:pPr>
        <w:pStyle w:val="Compact"/>
        <w:numPr>
          <w:ilvl w:val="1"/>
          <w:numId w:val="1177"/>
        </w:numPr>
      </w:pPr>
      <w:r>
        <w:t xml:space="preserve">Leaving the assay plate on the bench space, remove the parafilm of the inoculation plate and slightly crack open the lid using your non-dominant hand.</w:t>
      </w:r>
    </w:p>
    <w:p>
      <w:pPr>
        <w:pStyle w:val="Compact"/>
        <w:numPr>
          <w:ilvl w:val="1"/>
          <w:numId w:val="1177"/>
        </w:numPr>
      </w:pPr>
      <w:r>
        <w:t xml:space="preserve">Insert your forceps into the crack of the Petri dish and attempt to sample some mycelium.</w:t>
      </w:r>
    </w:p>
    <w:p>
      <w:pPr>
        <w:pStyle w:val="Compact"/>
        <w:numPr>
          <w:ilvl w:val="2"/>
          <w:numId w:val="1178"/>
        </w:numPr>
      </w:pPr>
      <w:r>
        <w:t xml:space="preserve">If you are unable to remove mycelia with your forceps, use your scalpel to remove mycelia with the least amount of agar possible.</w:t>
      </w:r>
    </w:p>
    <w:p>
      <w:pPr>
        <w:pStyle w:val="Compact"/>
        <w:numPr>
          <w:ilvl w:val="0"/>
          <w:numId w:val="1176"/>
        </w:numPr>
      </w:pPr>
      <w:r>
        <w:t xml:space="preserve">Transfer the mycelia to a Petri dish with cellophane.</w:t>
      </w:r>
    </w:p>
    <w:p>
      <w:pPr>
        <w:pStyle w:val="Compact"/>
        <w:numPr>
          <w:ilvl w:val="1"/>
          <w:numId w:val="1179"/>
        </w:numPr>
      </w:pPr>
      <w:r>
        <w:t xml:space="preserve">Carefully remove the chunk of agar. Replace the lid. Slide the sample plate away. Slide a cellophane plate towards you.</w:t>
      </w:r>
    </w:p>
    <w:p>
      <w:pPr>
        <w:pStyle w:val="Compact"/>
        <w:numPr>
          <w:ilvl w:val="1"/>
          <w:numId w:val="1179"/>
        </w:numPr>
      </w:pPr>
      <w:r>
        <w:t xml:space="preserve">Crack open the cellophane plate using your non-dominant hand, and carefully insert the forceps with the agar and mycelium.</w:t>
      </w:r>
    </w:p>
    <w:p>
      <w:pPr>
        <w:pStyle w:val="Compact"/>
        <w:numPr>
          <w:ilvl w:val="1"/>
          <w:numId w:val="1179"/>
        </w:numPr>
      </w:pPr>
      <w:r>
        <w:t xml:space="preserve">To deposit the agar onto the PDA agar, submerge the forceps into the agar on the plate. This should force the agar and mycelium from your forceps, onto the PDA agar.</w:t>
      </w:r>
    </w:p>
    <w:p>
      <w:pPr>
        <w:pStyle w:val="Compact"/>
        <w:numPr>
          <w:ilvl w:val="1"/>
          <w:numId w:val="1179"/>
        </w:numPr>
      </w:pPr>
      <w:r>
        <w:t xml:space="preserve">Pull your forceps straight out to leave the agar and mycelium on the plate.</w:t>
      </w:r>
    </w:p>
    <w:p>
      <w:pPr>
        <w:pStyle w:val="Compact"/>
        <w:numPr>
          <w:ilvl w:val="1"/>
          <w:numId w:val="1179"/>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76"/>
        </w:numPr>
      </w:pPr>
      <w:r>
        <w:t xml:space="preserve">Seal Petri dish with parafilm.</w:t>
      </w:r>
    </w:p>
    <w:p>
      <w:pPr>
        <w:pStyle w:val="Compact"/>
        <w:numPr>
          <w:ilvl w:val="0"/>
          <w:numId w:val="1176"/>
        </w:numPr>
      </w:pPr>
      <w:r>
        <w:t xml:space="preserve">Allow fungi to fill the cellophane.</w:t>
      </w:r>
    </w:p>
    <w:p>
      <w:pPr>
        <w:pStyle w:val="Compact"/>
        <w:numPr>
          <w:ilvl w:val="0"/>
          <w:numId w:val="1176"/>
        </w:numPr>
      </w:pPr>
      <w:r>
        <w:t xml:space="preserve">Repeat this process with all fungal isolates that will be sent for genome sequencing.</w:t>
      </w:r>
    </w:p>
    <w:bookmarkEnd w:id="185"/>
    <w:bookmarkStart w:id="186"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6"/>
    <w:bookmarkStart w:id="187" w:name="student-lab-supplies"/>
    <w:p>
      <w:pPr>
        <w:pStyle w:val="Heading3"/>
      </w:pPr>
      <w:r>
        <w:t xml:space="preserve">Student Lab Supplies</w:t>
      </w:r>
    </w:p>
    <w:p>
      <w:pPr>
        <w:pStyle w:val="Compact"/>
        <w:numPr>
          <w:ilvl w:val="0"/>
          <w:numId w:val="1180"/>
        </w:numPr>
      </w:pPr>
      <w:r>
        <w:t xml:space="preserve">1.5 ml Eppendorf tubes</w:t>
      </w:r>
    </w:p>
    <w:p>
      <w:pPr>
        <w:pStyle w:val="Compact"/>
        <w:numPr>
          <w:ilvl w:val="0"/>
          <w:numId w:val="1181"/>
        </w:numPr>
      </w:pPr>
      <w:r>
        <w:t xml:space="preserve">Sharpie</w:t>
      </w:r>
    </w:p>
    <w:p>
      <w:pPr>
        <w:pStyle w:val="Compact"/>
        <w:numPr>
          <w:ilvl w:val="0"/>
          <w:numId w:val="1182"/>
        </w:numPr>
      </w:pPr>
      <w:r>
        <w:t xml:space="preserve">Scalpel</w:t>
      </w:r>
    </w:p>
    <w:p>
      <w:pPr>
        <w:pStyle w:val="Compact"/>
        <w:numPr>
          <w:ilvl w:val="0"/>
          <w:numId w:val="1183"/>
        </w:numPr>
      </w:pPr>
      <w:r>
        <w:t xml:space="preserve">Forceps</w:t>
      </w:r>
    </w:p>
    <w:p>
      <w:pPr>
        <w:pStyle w:val="Compact"/>
        <w:numPr>
          <w:ilvl w:val="0"/>
          <w:numId w:val="1184"/>
        </w:numPr>
      </w:pPr>
      <w:r>
        <w:t xml:space="preserve">Silica</w:t>
      </w:r>
    </w:p>
    <w:p>
      <w:pPr>
        <w:pStyle w:val="Compact"/>
        <w:numPr>
          <w:ilvl w:val="0"/>
          <w:numId w:val="1185"/>
        </w:numPr>
      </w:pPr>
      <w:r>
        <w:t xml:space="preserve">Probe</w:t>
      </w:r>
    </w:p>
    <w:bookmarkEnd w:id="187"/>
    <w:bookmarkStart w:id="188"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8"/>
    <w:bookmarkStart w:id="189" w:name="instructions-2"/>
    <w:p>
      <w:pPr>
        <w:pStyle w:val="Heading3"/>
      </w:pPr>
      <w:r>
        <w:t xml:space="preserve">Instructions</w:t>
      </w:r>
    </w:p>
    <w:p>
      <w:pPr>
        <w:pStyle w:val="Compact"/>
        <w:numPr>
          <w:ilvl w:val="0"/>
          <w:numId w:val="1186"/>
        </w:numPr>
      </w:pPr>
      <w:r>
        <w:t xml:space="preserve">You will be harvesting fungal tissue from the cellophane PDA petri dishes.</w:t>
      </w:r>
    </w:p>
    <w:p>
      <w:pPr>
        <w:pStyle w:val="Compact"/>
        <w:numPr>
          <w:ilvl w:val="0"/>
          <w:numId w:val="1186"/>
        </w:numPr>
      </w:pPr>
      <w:r>
        <w:t xml:space="preserve">Use a laminar flow hood or set up flames to create a sterile environment. Clean your sterile area.</w:t>
      </w:r>
    </w:p>
    <w:p>
      <w:pPr>
        <w:pStyle w:val="Compact"/>
        <w:numPr>
          <w:ilvl w:val="0"/>
          <w:numId w:val="1186"/>
        </w:numPr>
      </w:pPr>
      <w:r>
        <w:t xml:space="preserve">Light your flame source. Dip your harvesting implement(s) (scalpel, forceps, and/or probe) into alcohol. Flame your implements and let it cool.</w:t>
      </w:r>
    </w:p>
    <w:p>
      <w:pPr>
        <w:pStyle w:val="Compact"/>
        <w:numPr>
          <w:ilvl w:val="0"/>
          <w:numId w:val="1186"/>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86"/>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86"/>
        </w:numPr>
      </w:pPr>
      <w:r>
        <w:t xml:space="preserve">Seal silica-filled jar with the lid. Allow the tissue to dry for 5-10 days.</w:t>
      </w:r>
    </w:p>
    <w:p>
      <w:pPr>
        <w:pStyle w:val="Compact"/>
        <w:numPr>
          <w:ilvl w:val="0"/>
          <w:numId w:val="1186"/>
        </w:numPr>
      </w:pPr>
      <w:r>
        <w:t xml:space="preserve">Once the tissue is dry, remove the Eppendorf tubes from the silica jar and close the lids.</w:t>
      </w:r>
    </w:p>
    <w:p>
      <w:pPr>
        <w:pStyle w:val="Compact"/>
        <w:numPr>
          <w:ilvl w:val="0"/>
          <w:numId w:val="1186"/>
        </w:numPr>
      </w:pPr>
      <w:r>
        <w:t xml:space="preserve">Proceed to the Sample submission module.</w:t>
      </w:r>
    </w:p>
    <w:bookmarkEnd w:id="189"/>
    <w:bookmarkEnd w:id="190"/>
    <w:bookmarkEnd w:id="191"/>
    <w:bookmarkStart w:id="200"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tip.png" id="19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99" w:name="module-6.1-myco-ed-sample-submission-sop"/>
    <w:p>
      <w:pPr>
        <w:pStyle w:val="Heading2"/>
      </w:pPr>
      <w:r>
        <w:t xml:space="preserve">Module 6.1 – Myco-Ed Sample Submission SOP</w:t>
      </w:r>
    </w:p>
    <w:bookmarkStart w:id="194" w:name="overview-2"/>
    <w:p>
      <w:pPr>
        <w:pStyle w:val="Heading3"/>
      </w:pPr>
      <w:r>
        <w:t xml:space="preserve">Overview</w:t>
      </w:r>
    </w:p>
    <w:p>
      <w:pPr>
        <w:pStyle w:val="FirstParagraph"/>
      </w:pPr>
      <w:r>
        <w:t xml:space="preserve">Use this document to submit fungal samples to Arizona Genomics Institute (AGI) for DNA extraction.</w:t>
      </w:r>
    </w:p>
    <w:bookmarkEnd w:id="194"/>
    <w:bookmarkStart w:id="195" w:name="definitions"/>
    <w:p>
      <w:pPr>
        <w:pStyle w:val="Heading3"/>
      </w:pPr>
      <w:r>
        <w:t xml:space="preserve">Definitions</w:t>
      </w:r>
    </w:p>
    <w:p>
      <w:pPr>
        <w:pStyle w:val="Compact"/>
        <w:numPr>
          <w:ilvl w:val="0"/>
          <w:numId w:val="1187"/>
        </w:numPr>
      </w:pPr>
      <w:r>
        <w:t xml:space="preserve">JGI = Joint Genomics Institute</w:t>
      </w:r>
    </w:p>
    <w:p>
      <w:pPr>
        <w:pStyle w:val="Compact"/>
        <w:numPr>
          <w:ilvl w:val="0"/>
          <w:numId w:val="1187"/>
        </w:numPr>
      </w:pPr>
      <w:r>
        <w:t xml:space="preserve">AGI = Arizona Genome Institute</w:t>
      </w:r>
    </w:p>
    <w:bookmarkEnd w:id="195"/>
    <w:bookmarkStart w:id="196" w:name="associated-documents"/>
    <w:p>
      <w:pPr>
        <w:pStyle w:val="Heading3"/>
      </w:pPr>
      <w:r>
        <w:t xml:space="preserve">Associated Documents</w:t>
      </w:r>
    </w:p>
    <w:p>
      <w:pPr>
        <w:pStyle w:val="FirstParagraph"/>
      </w:pPr>
      <w:r>
        <w:t xml:space="preserve">MycoEd Metadata Form</w:t>
      </w:r>
    </w:p>
    <w:bookmarkEnd w:id="196"/>
    <w:bookmarkStart w:id="197" w:name="process-steps"/>
    <w:p>
      <w:pPr>
        <w:pStyle w:val="Heading3"/>
      </w:pPr>
      <w:r>
        <w:t xml:space="preserve">Process Steps</w:t>
      </w:r>
    </w:p>
    <w:p>
      <w:pPr>
        <w:pStyle w:val="Compact"/>
        <w:numPr>
          <w:ilvl w:val="0"/>
          <w:numId w:val="1188"/>
        </w:numPr>
      </w:pPr>
      <w:r>
        <w:t xml:space="preserve">Create a JGI Single Sign on Account</w:t>
      </w:r>
    </w:p>
    <w:p>
      <w:pPr>
        <w:pStyle w:val="Compact"/>
        <w:numPr>
          <w:ilvl w:val="0"/>
          <w:numId w:val="1188"/>
        </w:numPr>
      </w:pPr>
      <w:r>
        <w:t xml:space="preserve">Email photos of the live tissue you intend to send AGI before collection to JTALAG@email.arizona.edu and kwbarry@lbl.gov.</w:t>
      </w:r>
    </w:p>
    <w:p>
      <w:pPr>
        <w:pStyle w:val="Compact"/>
        <w:numPr>
          <w:ilvl w:val="0"/>
          <w:numId w:val="1188"/>
        </w:numPr>
      </w:pPr>
      <w:r>
        <w:t xml:space="preserve">Make a copy of the MycoEd Metadata Form</w:t>
      </w:r>
    </w:p>
    <w:p>
      <w:pPr>
        <w:pStyle w:val="Compact"/>
        <w:numPr>
          <w:ilvl w:val="1"/>
          <w:numId w:val="1189"/>
        </w:numPr>
      </w:pPr>
      <w:r>
        <w:t xml:space="preserve">Click on MycoEd Metadata Form link</w:t>
      </w:r>
    </w:p>
    <w:p>
      <w:pPr>
        <w:pStyle w:val="Compact"/>
        <w:numPr>
          <w:ilvl w:val="1"/>
          <w:numId w:val="1189"/>
        </w:numPr>
      </w:pPr>
      <w:r>
        <w:t xml:space="preserve">Under file, select Make a Copy</w:t>
      </w:r>
    </w:p>
    <w:p>
      <w:pPr>
        <w:pStyle w:val="Compact"/>
        <w:numPr>
          <w:ilvl w:val="1"/>
          <w:numId w:val="1189"/>
        </w:numPr>
      </w:pPr>
      <w:r>
        <w:t xml:space="preserve">Rename your new copy [University][Instructor Last Name][MycoEd Metadata][Date]</w:t>
      </w:r>
    </w:p>
    <w:p>
      <w:pPr>
        <w:pStyle w:val="Compact"/>
        <w:numPr>
          <w:ilvl w:val="0"/>
          <w:numId w:val="1188"/>
        </w:numPr>
      </w:pPr>
      <w:r>
        <w:t xml:space="preserve">Fill out your copy of the MycoEd Metadata Form</w:t>
      </w:r>
    </w:p>
    <w:p>
      <w:pPr>
        <w:pStyle w:val="Compact"/>
        <w:numPr>
          <w:ilvl w:val="1"/>
          <w:numId w:val="1190"/>
        </w:numPr>
      </w:pPr>
      <w:r>
        <w:t xml:space="preserve">Professor is the instructor for the class and their email address</w:t>
      </w:r>
    </w:p>
    <w:p>
      <w:pPr>
        <w:pStyle w:val="Compact"/>
        <w:numPr>
          <w:ilvl w:val="1"/>
          <w:numId w:val="1190"/>
        </w:numPr>
      </w:pPr>
      <w:r>
        <w:t xml:space="preserve">Name of the University/Institution is your University/Institution</w:t>
      </w:r>
    </w:p>
    <w:p>
      <w:pPr>
        <w:pStyle w:val="Compact"/>
        <w:numPr>
          <w:ilvl w:val="1"/>
          <w:numId w:val="1190"/>
        </w:numPr>
      </w:pPr>
      <w:r>
        <w:t xml:space="preserve">Date submitted/shipped is the date you ship the samples to AGI</w:t>
      </w:r>
    </w:p>
    <w:p>
      <w:pPr>
        <w:pStyle w:val="Compact"/>
        <w:numPr>
          <w:ilvl w:val="1"/>
          <w:numId w:val="1190"/>
        </w:numPr>
      </w:pPr>
      <w:r>
        <w:t xml:space="preserve">JGI proposal name &amp; number is DS 509937 (already provided)</w:t>
      </w:r>
    </w:p>
    <w:p>
      <w:pPr>
        <w:pStyle w:val="Compact"/>
        <w:numPr>
          <w:ilvl w:val="0"/>
          <w:numId w:val="1188"/>
        </w:numPr>
      </w:pPr>
      <w:r>
        <w:t xml:space="preserve">Fill out Sample Table</w:t>
      </w:r>
    </w:p>
    <w:p>
      <w:pPr>
        <w:pStyle w:val="Compact"/>
        <w:numPr>
          <w:ilvl w:val="1"/>
          <w:numId w:val="1191"/>
        </w:numPr>
      </w:pPr>
      <w:r>
        <w:t xml:space="preserve">Enter requested metadata into the table</w:t>
      </w:r>
    </w:p>
    <w:p>
      <w:pPr>
        <w:pStyle w:val="Compact"/>
        <w:numPr>
          <w:ilvl w:val="1"/>
          <w:numId w:val="1191"/>
        </w:numPr>
      </w:pPr>
      <w:r>
        <w:t xml:space="preserve">Use one row per sample/tube</w:t>
      </w:r>
    </w:p>
    <w:p>
      <w:pPr>
        <w:pStyle w:val="Compact"/>
        <w:numPr>
          <w:ilvl w:val="1"/>
          <w:numId w:val="1191"/>
        </w:numPr>
      </w:pPr>
      <w:r>
        <w:t xml:space="preserve">Insert additional rows if needed</w:t>
      </w:r>
    </w:p>
    <w:p>
      <w:pPr>
        <w:pStyle w:val="Compact"/>
        <w:numPr>
          <w:ilvl w:val="1"/>
          <w:numId w:val="1191"/>
        </w:numPr>
      </w:pPr>
      <w:r>
        <w:t xml:space="preserve">Columns with gray field headers, B and D, will be filled out by JGI</w:t>
      </w:r>
    </w:p>
    <w:p>
      <w:pPr>
        <w:pStyle w:val="Compact"/>
        <w:numPr>
          <w:ilvl w:val="1"/>
          <w:numId w:val="1191"/>
        </w:numPr>
      </w:pPr>
      <w:r>
        <w:t xml:space="preserve">For Column C, Sample Name - please use below convention for naming: [University][Plant][Plant tissue] Metagenome [Sample ID]</w:t>
      </w:r>
    </w:p>
    <w:p>
      <w:pPr>
        <w:pStyle w:val="Compact"/>
        <w:numPr>
          <w:ilvl w:val="1"/>
          <w:numId w:val="1191"/>
        </w:numPr>
      </w:pPr>
      <w:r>
        <w:t xml:space="preserve">Column G is only needed if you are sending more than 22 samples</w:t>
      </w:r>
    </w:p>
    <w:p>
      <w:pPr>
        <w:pStyle w:val="Compact"/>
        <w:numPr>
          <w:ilvl w:val="1"/>
          <w:numId w:val="1191"/>
        </w:numPr>
      </w:pPr>
      <w:r>
        <w:t xml:space="preserve">Student is the full name of student that collected the sample and their email address</w:t>
      </w:r>
    </w:p>
    <w:p>
      <w:pPr>
        <w:pStyle w:val="Compact"/>
        <w:numPr>
          <w:ilvl w:val="1"/>
          <w:numId w:val="1191"/>
        </w:numPr>
      </w:pPr>
      <w:r>
        <w:t xml:space="preserve">Columns with Yellow Header, X-AF, will be filled out by AGI after DNA extraction</w:t>
      </w:r>
    </w:p>
    <w:p>
      <w:pPr>
        <w:pStyle w:val="Compact"/>
        <w:numPr>
          <w:ilvl w:val="0"/>
          <w:numId w:val="1188"/>
        </w:numPr>
      </w:pPr>
      <w:r>
        <w:t xml:space="preserve">Email form to AGI &amp; JGI</w:t>
      </w:r>
    </w:p>
    <w:p>
      <w:pPr>
        <w:pStyle w:val="Compact"/>
        <w:numPr>
          <w:ilvl w:val="1"/>
          <w:numId w:val="1192"/>
        </w:numPr>
      </w:pPr>
      <w:r>
        <w:t xml:space="preserve">Once all required metadata is provided, download a copy to excel</w:t>
      </w:r>
    </w:p>
    <w:p>
      <w:pPr>
        <w:pStyle w:val="Compact"/>
        <w:numPr>
          <w:ilvl w:val="1"/>
          <w:numId w:val="1192"/>
        </w:numPr>
      </w:pPr>
      <w:r>
        <w:t xml:space="preserve">Email a copy to Jayson at (jtalag@ag.arizona.edu ) and Kerrie (kwbarry@lbl.gov).</w:t>
      </w:r>
    </w:p>
    <w:p>
      <w:pPr>
        <w:pStyle w:val="Compact"/>
        <w:numPr>
          <w:ilvl w:val="1"/>
          <w:numId w:val="1192"/>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92"/>
        </w:numPr>
      </w:pPr>
      <w:r>
        <w:t xml:space="preserve">Include in your email your name, your college/university, the exact name of your samples (column D) that are ready to ship to AGI (and the rows in this sheet).</w:t>
      </w:r>
    </w:p>
    <w:p>
      <w:pPr>
        <w:pStyle w:val="Compact"/>
        <w:numPr>
          <w:ilvl w:val="1"/>
          <w:numId w:val="1192"/>
        </w:numPr>
      </w:pPr>
      <w:r>
        <w:t xml:space="preserve">Wait for approval/confirmation from AGI &amp; JGI.</w:t>
      </w:r>
    </w:p>
    <w:p>
      <w:pPr>
        <w:pStyle w:val="Compact"/>
        <w:numPr>
          <w:ilvl w:val="2"/>
          <w:numId w:val="1193"/>
        </w:numPr>
      </w:pPr>
      <w:r>
        <w:t xml:space="preserve">If needed make requested changed and email updated copy</w:t>
      </w:r>
    </w:p>
    <w:p>
      <w:pPr>
        <w:pStyle w:val="Compact"/>
        <w:numPr>
          <w:ilvl w:val="0"/>
          <w:numId w:val="1188"/>
        </w:numPr>
      </w:pPr>
      <w:r>
        <w:t xml:space="preserve">Prepare samples for shipment</w:t>
      </w:r>
    </w:p>
    <w:p>
      <w:pPr>
        <w:pStyle w:val="Compact"/>
        <w:numPr>
          <w:ilvl w:val="1"/>
          <w:numId w:val="1194"/>
        </w:numPr>
      </w:pPr>
    </w:p>
    <w:p>
      <w:pPr>
        <w:pStyle w:val="Compact"/>
        <w:numPr>
          <w:ilvl w:val="2"/>
          <w:numId w:val="1195"/>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94"/>
        </w:numPr>
      </w:pPr>
      <w:r>
        <w:t xml:space="preserve">Email FEDEX tracking # when your shipment is picked up.</w:t>
      </w:r>
    </w:p>
    <w:p>
      <w:pPr>
        <w:pStyle w:val="Compact"/>
        <w:numPr>
          <w:ilvl w:val="1"/>
          <w:numId w:val="1194"/>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7"/>
    <w:bookmarkStart w:id="198"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8"/>
    <w:bookmarkEnd w:id="199"/>
    <w:bookmarkEnd w:id="200"/>
    <w:bookmarkStart w:id="220"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tip.png" id="20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10" w:name="X46999d4e04aaa0bd6e7f1cf0936f3283e50c93c"/>
    <w:p>
      <w:pPr>
        <w:pStyle w:val="Heading2"/>
      </w:pPr>
      <w:r>
        <w:t xml:space="preserve">Module 7.1 – Sexual Reproduction in Ascomycota Genomic Analysis</w:t>
      </w:r>
    </w:p>
    <w:bookmarkStart w:id="203"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03"/>
    <w:bookmarkStart w:id="204" w:name="references"/>
    <w:p>
      <w:pPr>
        <w:pStyle w:val="Heading3"/>
      </w:pPr>
      <w:r>
        <w:t xml:space="preserve">References</w:t>
      </w:r>
    </w:p>
    <w:p>
      <w:pPr>
        <w:pStyle w:val="Compact"/>
        <w:numPr>
          <w:ilvl w:val="0"/>
          <w:numId w:val="1196"/>
        </w:numPr>
      </w:pPr>
      <w:r>
        <w:t xml:space="preserve">Casselton, L.A., Olesnicky, N.S., 1998. Molecular Genetics of Mating Recognition in Basidiomycete Fungi. Microbiol Mol Biol Rev., 62(1): 55–70. doi: 10.1128/mmbr.62.1.55-70.1998</w:t>
      </w:r>
    </w:p>
    <w:p>
      <w:pPr>
        <w:pStyle w:val="Compact"/>
        <w:numPr>
          <w:ilvl w:val="0"/>
          <w:numId w:val="1196"/>
        </w:numPr>
      </w:pPr>
      <w:r>
        <w:t xml:space="preserve">Cambareri, E.B., Singer, M.J., Selker, E.U., 1991. Recurrence of repeat-induced point mutation (RIP) in Neurospora crassa. Genetics, 127(4):699-710. doi: 10.1093/genetics/127.4.699.</w:t>
      </w:r>
    </w:p>
    <w:p>
      <w:pPr>
        <w:pStyle w:val="Compact"/>
        <w:numPr>
          <w:ilvl w:val="0"/>
          <w:numId w:val="1196"/>
        </w:numPr>
      </w:pPr>
      <w:r>
        <w:t xml:space="preserve">Metzenberg, R.L., Glass, N.L., 1990. Mating type and mating strategies in Neurospora. Bioessays. 1990 Feb;12(2):53-9. doi: 10.1002/bies.950120202.</w:t>
      </w:r>
    </w:p>
    <w:bookmarkEnd w:id="204"/>
    <w:bookmarkStart w:id="209" w:name="finding-mat-a"/>
    <w:p>
      <w:pPr>
        <w:pStyle w:val="Heading3"/>
      </w:pPr>
      <w:r>
        <w:t xml:space="preserve">Finding mat A</w:t>
      </w:r>
    </w:p>
    <w:bookmarkStart w:id="205"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97"/>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97"/>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97"/>
        </w:numPr>
      </w:pPr>
      <w:r>
        <w:t xml:space="preserve">Let’s find the location of this gene in the genome! Go to the Neucr2 MycoCosm portal (https://mycocosm.jgi.doe.gov/Neucr2) and search for it using the BLAST tool.</w:t>
      </w:r>
    </w:p>
    <w:p>
      <w:pPr>
        <w:pStyle w:val="Compact"/>
        <w:numPr>
          <w:ilvl w:val="0"/>
          <w:numId w:val="1197"/>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97"/>
        </w:numPr>
      </w:pPr>
      <w:r>
        <w:t xml:space="preserve">You should see two hits, each shown in a separate row.</w:t>
      </w:r>
    </w:p>
    <w:p>
      <w:pPr>
        <w:pStyle w:val="Compact"/>
        <w:numPr>
          <w:ilvl w:val="1"/>
          <w:numId w:val="1198"/>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98"/>
        </w:numPr>
      </w:pPr>
      <w:r>
        <w:t xml:space="preserve">The second column shows an alignment of that sequence against your query, which is helpful for seeing how well hits cover your query sequence.</w:t>
      </w:r>
    </w:p>
    <w:p>
      <w:pPr>
        <w:pStyle w:val="Compact"/>
        <w:numPr>
          <w:ilvl w:val="1"/>
          <w:numId w:val="1198"/>
        </w:numPr>
      </w:pPr>
      <w:r>
        <w:t xml:space="preserve">The score and EValue columns are also useful when assessing hit quality. Higher scores are better, and conversely, lower e-values are better.</w:t>
      </w:r>
    </w:p>
    <w:p>
      <w:pPr>
        <w:pStyle w:val="Compact"/>
        <w:numPr>
          <w:ilvl w:val="0"/>
          <w:numId w:val="1197"/>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97"/>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97"/>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97"/>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97"/>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97"/>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97"/>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97"/>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97"/>
        </w:numPr>
      </w:pPr>
      <w:r>
        <w:t xml:space="preserve">Using the information on the protein page, can you find mat A-2 and mat-A3?</w:t>
      </w:r>
    </w:p>
    <w:p>
      <w:pPr>
        <w:pStyle w:val="Compact"/>
        <w:numPr>
          <w:ilvl w:val="0"/>
          <w:numId w:val="1197"/>
        </w:numPr>
      </w:pPr>
      <w:r>
        <w:t xml:space="preserve">At the mating type locus, do you notice anything interesting when exploring the read depth coverage plots (pink tracks) from related Neurospora genomes?</w:t>
      </w:r>
    </w:p>
    <w:p>
      <w:pPr>
        <w:pStyle w:val="Compact"/>
        <w:numPr>
          <w:ilvl w:val="0"/>
          <w:numId w:val="1197"/>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5"/>
    <w:bookmarkStart w:id="206"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99"/>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99"/>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99"/>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99"/>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99"/>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99"/>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6"/>
    <w:bookmarkStart w:id="207"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200"/>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200"/>
        </w:numPr>
      </w:pPr>
      <w:r>
        <w:t xml:space="preserve">Let’s find it on the mat a genome portal you found earlier for N. tetrasperma strain FGSC 2509, (https://mycocosm.jgi.doe.gov/Neute_mat_a1).</w:t>
      </w:r>
    </w:p>
    <w:p>
      <w:pPr>
        <w:pStyle w:val="Compact"/>
        <w:numPr>
          <w:ilvl w:val="0"/>
          <w:numId w:val="1200"/>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200"/>
        </w:numPr>
      </w:pPr>
      <w:r>
        <w:t xml:space="preserve">The best hit is to N. tetrasperma protein ID 124723, can you explain why?</w:t>
      </w:r>
    </w:p>
    <w:p>
      <w:pPr>
        <w:pStyle w:val="Compact"/>
        <w:numPr>
          <w:ilvl w:val="0"/>
          <w:numId w:val="1200"/>
        </w:numPr>
      </w:pPr>
      <w:r>
        <w:t xml:space="preserve">Let’s revisit the Neucr2 mcl clustering page and search for this, again by typing portalID.proteinID (e.g. Neute_mat_a1.124723) in the search field.</w:t>
      </w:r>
    </w:p>
    <w:p>
      <w:pPr>
        <w:pStyle w:val="Compact"/>
        <w:numPr>
          <w:ilvl w:val="0"/>
          <w:numId w:val="1200"/>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200"/>
        </w:numPr>
      </w:pPr>
      <w:r>
        <w:t xml:space="preserve">It looks like our mat a gene is found in a region that is not present in any of the others, which are all the opposite mating type (mat A)!</w:t>
      </w:r>
    </w:p>
    <w:p>
      <w:pPr>
        <w:pStyle w:val="Compact"/>
        <w:numPr>
          <w:ilvl w:val="0"/>
          <w:numId w:val="1200"/>
        </w:numPr>
      </w:pPr>
      <w:r>
        <w:t xml:space="preserve">With this information, we can say that all our current evidence supports our hypothesis that fungal mating types are driven by presence/absence of specific genes, mat a and A in particular!</w:t>
      </w:r>
    </w:p>
    <w:bookmarkEnd w:id="207"/>
    <w:bookmarkStart w:id="208"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201"/>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201"/>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201"/>
        </w:numPr>
      </w:pPr>
      <w:r>
        <w:t xml:space="preserve">Go through the same exercise to search mcl clusters. Do you see a similar pattern to what we observed in N. crassa?</w:t>
      </w:r>
    </w:p>
    <w:p>
      <w:pPr>
        <w:pStyle w:val="Compact"/>
        <w:numPr>
          <w:ilvl w:val="0"/>
          <w:numId w:val="1201"/>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201"/>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201"/>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201"/>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201"/>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8"/>
    <w:bookmarkEnd w:id="209"/>
    <w:bookmarkEnd w:id="210"/>
    <w:bookmarkStart w:id="219" w:name="Xe7b646958662d93788a5fac43551e0623449021"/>
    <w:p>
      <w:pPr>
        <w:pStyle w:val="Heading2"/>
      </w:pPr>
      <w:r>
        <w:t xml:space="preserve">Module 7.2 – Fungal Natural Product Production Genomic Analysis</w:t>
      </w:r>
    </w:p>
    <w:bookmarkStart w:id="211"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11"/>
    <w:bookmarkStart w:id="212" w:name="references-1"/>
    <w:p>
      <w:pPr>
        <w:pStyle w:val="Heading3"/>
      </w:pPr>
      <w:r>
        <w:t xml:space="preserve">References</w:t>
      </w:r>
    </w:p>
    <w:p>
      <w:pPr>
        <w:pStyle w:val="Compact"/>
        <w:numPr>
          <w:ilvl w:val="0"/>
          <w:numId w:val="1202"/>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202"/>
        </w:numPr>
      </w:pPr>
      <w:r>
        <w:t xml:space="preserve">Seenivasan, A., Subhagar, S., Aravindan, R., Viruthagiri, T., 2008. Microbial Production and Biomedical Applications of Lovastatin. Indian J Pharm Sci. 2008, doi: 10.4103/0250-474X.49087</w:t>
      </w:r>
    </w:p>
    <w:p>
      <w:pPr>
        <w:pStyle w:val="Compact"/>
        <w:numPr>
          <w:ilvl w:val="0"/>
          <w:numId w:val="1202"/>
        </w:numPr>
      </w:pPr>
      <w:r>
        <w:t xml:space="preserve">Fleming, A., 1929. On the Antibacterial Action of Cultures of a Penicillium, with Special Reference to their Use in the Isolation of B. influenzæ. Br J Exp Pathol. 1929 Jun; 10(3): 226–236</w:t>
      </w:r>
    </w:p>
    <w:p>
      <w:pPr>
        <w:pStyle w:val="Compact"/>
        <w:numPr>
          <w:ilvl w:val="0"/>
          <w:numId w:val="1202"/>
        </w:numPr>
      </w:pPr>
      <w:r>
        <w:t xml:space="preserve">Strieker, M., Tanovic, A., Marahiel, M.A., 2010. Nonribosomal peptide synthetases: structures and dynamics. Current Opinion in Structural Biology 2010, 20:234–240</w:t>
      </w:r>
    </w:p>
    <w:p>
      <w:pPr>
        <w:pStyle w:val="Compact"/>
        <w:numPr>
          <w:ilvl w:val="0"/>
          <w:numId w:val="1202"/>
        </w:numPr>
      </w:pPr>
      <w:r>
        <w:t xml:space="preserve">Keller, N., 2019. Fungal secondary metabolism: regulation, function and drug discovery. Nature Reviews Microbiology, 17(3): 167–180. doi: 10.1038/s41579-018-0121-1</w:t>
      </w:r>
    </w:p>
    <w:bookmarkEnd w:id="212"/>
    <w:bookmarkStart w:id="215" w:name="X31643484012ee51f67fd2def9a4608ddd3c7490"/>
    <w:p>
      <w:pPr>
        <w:pStyle w:val="Heading3"/>
      </w:pPr>
      <w:r>
        <w:t xml:space="preserve">Finding the Penicillin Biosynthetic Gene Cluster</w:t>
      </w:r>
    </w:p>
    <w:bookmarkStart w:id="213" w:name="X27e5a65183f9483aec43514a5289c555b8e099a"/>
    <w:p>
      <w:pPr>
        <w:pStyle w:val="Heading4"/>
      </w:pPr>
      <w:r>
        <w:t xml:space="preserve">Locate the known cluster in P. chrysogenum</w:t>
      </w:r>
    </w:p>
    <w:p>
      <w:pPr>
        <w:pStyle w:val="Compact"/>
        <w:numPr>
          <w:ilvl w:val="0"/>
          <w:numId w:val="1203"/>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03"/>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03"/>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03"/>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03"/>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03"/>
        </w:numPr>
      </w:pPr>
      <w:r>
        <w:t xml:space="preserve">You should see a single hit! Click on the coordinates to view this region of the genome.</w:t>
      </w:r>
    </w:p>
    <w:p>
      <w:pPr>
        <w:pStyle w:val="Compact"/>
        <w:numPr>
          <w:ilvl w:val="0"/>
          <w:numId w:val="1203"/>
        </w:numPr>
      </w:pPr>
      <w:r>
        <w:t xml:space="preserve">Of course, we are searching for DNA that is mostly found in between these penicillin-related genes. Click -10x to get a bigger view of this locus.</w:t>
      </w:r>
    </w:p>
    <w:p>
      <w:pPr>
        <w:pStyle w:val="Compact"/>
        <w:numPr>
          <w:ilvl w:val="0"/>
          <w:numId w:val="1203"/>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03"/>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03"/>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13"/>
    <w:bookmarkStart w:id="214" w:name="X3367d9de4d4452f0e4500f817aabeb87e960cf9"/>
    <w:p>
      <w:pPr>
        <w:pStyle w:val="Heading4"/>
      </w:pPr>
      <w:r>
        <w:t xml:space="preserve">Find candidate Penicillin BGCs in related fungi</w:t>
      </w:r>
    </w:p>
    <w:p>
      <w:pPr>
        <w:pStyle w:val="Compact"/>
        <w:numPr>
          <w:ilvl w:val="0"/>
          <w:numId w:val="1204"/>
        </w:numPr>
      </w:pPr>
      <w:r>
        <w:t xml:space="preserve">With our NRPS bait in hand, let’s try to fish out similar genes in related fungi! But before we do, do you have any hypotheses about how often it will be found?</w:t>
      </w:r>
    </w:p>
    <w:p>
      <w:pPr>
        <w:pStyle w:val="Compact"/>
        <w:numPr>
          <w:ilvl w:val="0"/>
          <w:numId w:val="1204"/>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04"/>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04"/>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04"/>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04"/>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04"/>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04"/>
        </w:numPr>
      </w:pPr>
      <w:r>
        <w:t xml:space="preserve">Can you find where hit quality begins to drop off? You can see by just looking at the top 10 that quality drops off really fast!</w:t>
      </w:r>
    </w:p>
    <w:p>
      <w:pPr>
        <w:pStyle w:val="Compact"/>
        <w:numPr>
          <w:ilvl w:val="0"/>
          <w:numId w:val="1204"/>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04"/>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04"/>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04"/>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04"/>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04"/>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04"/>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04"/>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04"/>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04"/>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04"/>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04"/>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14"/>
    <w:bookmarkEnd w:id="215"/>
    <w:bookmarkStart w:id="218" w:name="characterize-myco-ed-bgcs"/>
    <w:p>
      <w:pPr>
        <w:pStyle w:val="Heading3"/>
      </w:pPr>
      <w:r>
        <w:t xml:space="preserve">Characterize Myco-Ed BGCs</w:t>
      </w:r>
    </w:p>
    <w:bookmarkStart w:id="216"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05"/>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05"/>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05"/>
        </w:numPr>
      </w:pPr>
      <w:r>
        <w:t xml:space="preserve">Let’s set a goal to describe the distribution of fungal BGC backbone genes, following the same workflow you just did for penicillin.</w:t>
      </w:r>
    </w:p>
    <w:p>
      <w:pPr>
        <w:pStyle w:val="Compact"/>
        <w:numPr>
          <w:ilvl w:val="0"/>
          <w:numId w:val="1205"/>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05"/>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05"/>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05"/>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05"/>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05"/>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05"/>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6"/>
    <w:bookmarkStart w:id="217" w:name="annotate-them"/>
    <w:p>
      <w:pPr>
        <w:pStyle w:val="Heading4"/>
      </w:pPr>
      <w:r>
        <w:t xml:space="preserve">Annotate them!</w:t>
      </w:r>
    </w:p>
    <w:p>
      <w:pPr>
        <w:pStyle w:val="Compact"/>
        <w:numPr>
          <w:ilvl w:val="0"/>
          <w:numId w:val="1206"/>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06"/>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06"/>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7"/>
    <w:bookmarkEnd w:id="218"/>
    <w:bookmarkEnd w:id="219"/>
    <w:bookmarkEnd w:id="220"/>
    <w:bookmarkStart w:id="222"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21">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22"/>
    <w:bookmarkStart w:id="223" w:name="carlos-c.-goller"/>
    <w:p>
      <w:pPr>
        <w:pStyle w:val="Heading1"/>
      </w:pPr>
      <w:r>
        <w:t xml:space="preserve">1. Carlos C. Goller</w:t>
      </w:r>
    </w:p>
    <w:bookmarkEnd w:id="223"/>
    <w:bookmarkStart w:id="226"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24"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24"/>
    <w:bookmarkStart w:id="225"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5"/>
    <w:bookmarkEnd w:id="226"/>
    <w:bookmarkStart w:id="233" w:name="references-2"/>
    <w:p>
      <w:pPr>
        <w:pStyle w:val="Heading1"/>
      </w:pPr>
      <w:r>
        <w:t xml:space="preserve">References</w:t>
      </w:r>
    </w:p>
    <w:bookmarkStart w:id="227" w:name="workbook-references"/>
    <w:p>
      <w:pPr>
        <w:pStyle w:val="Heading2"/>
      </w:pPr>
      <w:r>
        <w:t xml:space="preserve">Workbook References</w:t>
      </w:r>
    </w:p>
    <w:p>
      <w:pPr>
        <w:pStyle w:val="Compact"/>
        <w:numPr>
          <w:ilvl w:val="0"/>
          <w:numId w:val="1207"/>
        </w:numPr>
      </w:pPr>
      <w:r>
        <w:t xml:space="preserve">Honan, A., Wilson, A., Cobian, G., Branco, S., Mondo, S., Barry, K., Gremillion, S., Avis, P., Stewart, J., Dow, E., Knight, C., LaButti, K., Quandt, A., Talag, J., and Lofgren, L., 2025. Myco-Ed Protocols Booklet. protocols.io. https://doi.org/10.17504/protocols.io.rm7vzqd5xvx1/v1</w:t>
      </w:r>
    </w:p>
    <w:bookmarkEnd w:id="227"/>
    <w:bookmarkStart w:id="232" w:name="module-7.1-references"/>
    <w:p>
      <w:pPr>
        <w:pStyle w:val="Heading2"/>
      </w:pPr>
      <w:r>
        <w:t xml:space="preserve">Module 7.1 References</w:t>
      </w:r>
    </w:p>
    <w:p>
      <w:pPr>
        <w:pStyle w:val="Compact"/>
        <w:numPr>
          <w:ilvl w:val="0"/>
          <w:numId w:val="1208"/>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08"/>
        </w:numPr>
      </w:pPr>
      <w:r>
        <w:t xml:space="preserve">Cambareri, E.B., Singer, M.J., Selker, E.U., 1991. Recurrence of repeat-induced point mutation (RIP) in Neurospora crassa. Genetics, 127(4): 699-710. https://doi.org/10.1093/genetics/127.4.699</w:t>
      </w:r>
    </w:p>
    <w:p>
      <w:pPr>
        <w:pStyle w:val="Compact"/>
        <w:numPr>
          <w:ilvl w:val="0"/>
          <w:numId w:val="1208"/>
        </w:numPr>
      </w:pPr>
      <w:r>
        <w:t xml:space="preserve">Metzenberg, R.L., Glass, N.L., 1990. Mating type and mating strategies in Neurospora. BioEssays, 12(2): 53-59. https://doi.org/10.1002/bies.950120202</w:t>
      </w:r>
    </w:p>
    <w:bookmarkStart w:id="231" w:name="refs"/>
    <w:bookmarkStart w:id="22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8"/>
    <w:bookmarkStart w:id="230"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29">
        <w:r>
          <w:rPr>
            <w:rStyle w:val="Hyperlink"/>
          </w:rPr>
          <w:t xml:space="preserve">https://doi.org/10.17504/protocols.io.rm7vzqd5xvx1/v1</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2"/>
  </w:num>
  <w:num w:numId="1050">
    <w:abstractNumId w:val="992"/>
  </w:num>
  <w:num w:numId="1051">
    <w:abstractNumId w:val="992"/>
  </w:num>
  <w:num w:numId="1052">
    <w:abstractNumId w:val="992"/>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9" Target="media/rId109.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25" Target="media/rId125.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90" Target="media/rId90.png" /><Relationship Type="http://schemas.openxmlformats.org/officeDocument/2006/relationships/image" Id="rId130" Target="media/rId130.png" /><Relationship Type="http://schemas.openxmlformats.org/officeDocument/2006/relationships/image" Id="rId95" Target="media/rId95.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29"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21"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29"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21"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2026-05-31T00:11:09Z</dcterms:created>
  <dcterms:modified xsi:type="dcterms:W3CDTF">2026-05-31T00:11:09Z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