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22"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1"/>
              </w:numPr>
            </w:pPr>
            <w:hyperlink r:id="rId14">
              <w:r>
                <w:rPr>
                  <w:rStyle w:val="Hyperlink"/>
                </w:rPr>
                <w:t xml:space="preserve">Open Module 0 RevealJS Slides</w:t>
              </w:r>
            </w:hyperlink>
          </w:p>
          <w:p>
            <w:pPr>
              <w:pStyle w:val="Compact"/>
              <w:numPr>
                <w:ilvl w:val="0"/>
                <w:numId w:val="1001"/>
              </w:numPr>
            </w:pPr>
            <w:hyperlink r:id="rId15">
              <w:r>
                <w:rPr>
                  <w:rStyle w:val="Hyperlink"/>
                </w:rPr>
                <w:t xml:space="preserve">Open Module 1 RevealJS Slides</w:t>
              </w:r>
            </w:hyperlink>
          </w:p>
          <w:p>
            <w:pPr>
              <w:pStyle w:val="Compact"/>
              <w:numPr>
                <w:ilvl w:val="0"/>
                <w:numId w:val="1001"/>
              </w:numPr>
            </w:pPr>
            <w:hyperlink r:id="rId16">
              <w:r>
                <w:rPr>
                  <w:rStyle w:val="Hyperlink"/>
                </w:rPr>
                <w:t xml:space="preserve">Open Module 2 RevealJS Slides</w:t>
              </w:r>
            </w:hyperlink>
          </w:p>
          <w:p>
            <w:pPr>
              <w:pStyle w:val="Compact"/>
              <w:numPr>
                <w:ilvl w:val="0"/>
                <w:numId w:val="1001"/>
              </w:numPr>
            </w:pPr>
            <w:hyperlink r:id="rId17">
              <w:r>
                <w:rPr>
                  <w:rStyle w:val="Hyperlink"/>
                </w:rPr>
                <w:t xml:space="preserve">Open Module 3 RevealJS Slides</w:t>
              </w:r>
            </w:hyperlink>
          </w:p>
          <w:p>
            <w:pPr>
              <w:pStyle w:val="Compact"/>
              <w:numPr>
                <w:ilvl w:val="0"/>
                <w:numId w:val="1001"/>
              </w:numPr>
            </w:pPr>
            <w:hyperlink r:id="rId18">
              <w:r>
                <w:rPr>
                  <w:rStyle w:val="Hyperlink"/>
                </w:rPr>
                <w:t xml:space="preserve">Open Module 4 RevealJS Slides</w:t>
              </w:r>
            </w:hyperlink>
          </w:p>
          <w:p>
            <w:pPr>
              <w:pStyle w:val="Compact"/>
              <w:numPr>
                <w:ilvl w:val="0"/>
                <w:numId w:val="1001"/>
              </w:numPr>
            </w:pPr>
            <w:hyperlink r:id="rId19">
              <w:r>
                <w:rPr>
                  <w:rStyle w:val="Hyperlink"/>
                </w:rPr>
                <w:t xml:space="preserve">Open Module 5 RevealJS Slides</w:t>
              </w:r>
            </w:hyperlink>
          </w:p>
          <w:p>
            <w:pPr>
              <w:pStyle w:val="Compact"/>
              <w:numPr>
                <w:ilvl w:val="0"/>
                <w:numId w:val="1001"/>
              </w:numPr>
            </w:pPr>
            <w:hyperlink r:id="rId20">
              <w:r>
                <w:rPr>
                  <w:rStyle w:val="Hyperlink"/>
                </w:rPr>
                <w:t xml:space="preserve">Open Module 6 RevealJS Slides</w:t>
              </w:r>
            </w:hyperlink>
          </w:p>
          <w:p>
            <w:pPr>
              <w:pStyle w:val="Compact"/>
              <w:numPr>
                <w:ilvl w:val="0"/>
                <w:numId w:val="1001"/>
              </w:numPr>
            </w:pPr>
            <w:hyperlink r:id="rId21">
              <w:r>
                <w:rPr>
                  <w:rStyle w:val="Hyperlink"/>
                </w:rPr>
                <w:t xml:space="preserve">Open Module 7 RevealJS Slides</w:t>
              </w:r>
            </w:hyperlink>
          </w:p>
          <w:p/>
        </w:tc>
      </w:tr>
    </w:tbl>
    <w:bookmarkEnd w:id="22"/>
    <w:bookmarkEnd w:id="23"/>
    <w:bookmarkStart w:id="25" w:name="introduction"/>
    <w:p>
      <w:pPr>
        <w:pStyle w:val="Heading1"/>
      </w:pPr>
      <w:r>
        <w:t xml:space="preserve">Introduction</w:t>
      </w:r>
    </w:p>
    <w:p>
      <w:pPr>
        <w:pStyle w:val="FirstParagraph"/>
      </w:pPr>
      <w:r>
        <w:t xml:space="preserve">This is a Quarto book created from the</w:t>
      </w:r>
      <w:r>
        <w:t xml:space="preserve"> </w:t>
      </w:r>
      <w:hyperlink r:id="rId24">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instructors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5"/>
    <w:bookmarkStart w:id="43" w:name="Xe1adfe0dbe0fd7da8caab0dded5a990a311f7c3"/>
    <w:p>
      <w:pPr>
        <w:pStyle w:val="Heading1"/>
      </w:pPr>
      <w:r>
        <w:t xml:space="preserve">Module 0: Getting Started and Data Management</w:t>
      </w:r>
    </w:p>
    <w:bookmarkStart w:id="33" w:name="X854485e3e75ebd41e9a51cfdeb9c6827d1373c6"/>
    <w:p>
      <w:pPr>
        <w:pStyle w:val="Heading2"/>
      </w:pPr>
      <w:r>
        <w:t xml:space="preserve">Module 0.1 – Lab Materials and Equipment Overview</w:t>
      </w:r>
    </w:p>
    <w:p>
      <w:pPr>
        <w:pStyle w:val="FirstParagraph"/>
      </w:pPr>
      <w:r>
        <w:t xml:space="preserve">This document lists the materials and equipment required for implementing the Myco-Ed program.</w:t>
      </w:r>
    </w:p>
    <w:bookmarkStart w:id="26" w:name="module-1--fungal-sampling-and-culturing"/>
    <w:p>
      <w:pPr>
        <w:pStyle w:val="Heading3"/>
      </w:pPr>
      <w:r>
        <w:t xml:space="preserve">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 (for example, Difco Bacto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26"/>
    <w:bookmarkStart w:id="27" w:name="module-2--fungal-isolation"/>
    <w:p>
      <w:pPr>
        <w:pStyle w:val="Heading3"/>
      </w:pPr>
      <w:r>
        <w:t xml:space="preserve">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7"/>
    <w:bookmarkStart w:id="28" w:name="module-3---phenotypic-assays"/>
    <w:p>
      <w:pPr>
        <w:pStyle w:val="Heading3"/>
      </w:pPr>
      <w:r>
        <w:t xml:space="preserve">Module 3 - Phenotypic Assays</w:t>
      </w:r>
    </w:p>
    <w:p>
      <w:pPr>
        <w:pStyle w:val="FirstParagraph"/>
      </w:pPr>
      <w:r>
        <w:t xml:space="preserve">Materials and equipment will vary based on the phenotypic assay choice.</w:t>
      </w:r>
    </w:p>
    <w:bookmarkEnd w:id="28"/>
    <w:bookmarkStart w:id="29" w:name="X94acea746056b92fde885b64e05b4671bb267e6"/>
    <w:p>
      <w:pPr>
        <w:pStyle w:val="Heading3"/>
      </w:pPr>
      <w:r>
        <w:t xml:space="preserve">Module 4 – DNA Sequencing and Species Identification</w:t>
      </w:r>
    </w:p>
    <w:p>
      <w:pPr>
        <w:pStyle w:val="Compact"/>
        <w:numPr>
          <w:ilvl w:val="0"/>
          <w:numId w:val="1005"/>
        </w:numPr>
      </w:pPr>
      <w:r>
        <w:t xml:space="preserve">Gloves</w:t>
      </w:r>
    </w:p>
    <w:p>
      <w:pPr>
        <w:pStyle w:val="Compact"/>
        <w:numPr>
          <w:ilvl w:val="0"/>
          <w:numId w:val="1005"/>
        </w:numPr>
      </w:pPr>
      <w:r>
        <w:t xml:space="preserve">Sharpie</w:t>
      </w:r>
    </w:p>
    <w:p>
      <w:pPr>
        <w:pStyle w:val="Compact"/>
        <w:numPr>
          <w:ilvl w:val="0"/>
          <w:numId w:val="1005"/>
        </w:numPr>
      </w:pPr>
      <w:r>
        <w:t xml:space="preserve">Thermal cycler</w:t>
      </w:r>
    </w:p>
    <w:p>
      <w:pPr>
        <w:pStyle w:val="Compact"/>
        <w:numPr>
          <w:ilvl w:val="0"/>
          <w:numId w:val="1005"/>
        </w:numPr>
      </w:pPr>
      <w:r>
        <w:t xml:space="preserve">Vortex</w:t>
      </w:r>
    </w:p>
    <w:p>
      <w:pPr>
        <w:pStyle w:val="Compact"/>
        <w:numPr>
          <w:ilvl w:val="0"/>
          <w:numId w:val="1005"/>
        </w:numPr>
      </w:pPr>
      <w:r>
        <w:t xml:space="preserve">Centrifuge for PCR and microfuge tubes</w:t>
      </w:r>
    </w:p>
    <w:p>
      <w:pPr>
        <w:pStyle w:val="Compact"/>
        <w:numPr>
          <w:ilvl w:val="0"/>
          <w:numId w:val="1005"/>
        </w:numPr>
      </w:pPr>
      <w:r>
        <w:t xml:space="preserve">Heat block/thermomixer for 1.5-2.0 ml microfuge tubes</w:t>
      </w:r>
    </w:p>
    <w:p>
      <w:pPr>
        <w:pStyle w:val="Compact"/>
        <w:numPr>
          <w:ilvl w:val="0"/>
          <w:numId w:val="1005"/>
        </w:numPr>
      </w:pPr>
      <w:r>
        <w:t xml:space="preserve">1.5mL microcentrifuge tubes (Eppendorf DNA LoBind)</w:t>
      </w:r>
    </w:p>
    <w:p>
      <w:pPr>
        <w:pStyle w:val="Compact"/>
        <w:numPr>
          <w:ilvl w:val="0"/>
          <w:numId w:val="1005"/>
        </w:numPr>
      </w:pPr>
      <w:r>
        <w:t xml:space="preserve">0.2 mL PCR tubes</w:t>
      </w:r>
    </w:p>
    <w:p>
      <w:pPr>
        <w:pStyle w:val="Compact"/>
        <w:numPr>
          <w:ilvl w:val="0"/>
          <w:numId w:val="1005"/>
        </w:numPr>
      </w:pPr>
      <w:r>
        <w:t xml:space="preserve">Microfuge and PCR tube racks</w:t>
      </w:r>
    </w:p>
    <w:p>
      <w:pPr>
        <w:pStyle w:val="Compact"/>
        <w:numPr>
          <w:ilvl w:val="0"/>
          <w:numId w:val="1005"/>
        </w:numPr>
      </w:pPr>
      <w:r>
        <w:t xml:space="preserve">Labeling tape</w:t>
      </w:r>
    </w:p>
    <w:p>
      <w:pPr>
        <w:pStyle w:val="Compact"/>
        <w:numPr>
          <w:ilvl w:val="0"/>
          <w:numId w:val="1005"/>
        </w:numPr>
      </w:pPr>
      <w:r>
        <w:t xml:space="preserve">Monarch® Spin gDNA Extraction Kit (New England BioLabs,T3010S)</w:t>
      </w:r>
    </w:p>
    <w:p>
      <w:pPr>
        <w:pStyle w:val="Compact"/>
        <w:numPr>
          <w:ilvl w:val="0"/>
          <w:numId w:val="1005"/>
        </w:numPr>
      </w:pPr>
      <w:r>
        <w:t xml:space="preserve">MetaPolyzyme, DNA free (Millipore Sigma, MAC4LDF-5X1VL)</w:t>
      </w:r>
    </w:p>
    <w:p>
      <w:pPr>
        <w:pStyle w:val="Compact"/>
        <w:numPr>
          <w:ilvl w:val="0"/>
          <w:numId w:val="1005"/>
        </w:numPr>
      </w:pPr>
      <w:r>
        <w:t xml:space="preserve">TE Buffer</w:t>
      </w:r>
    </w:p>
    <w:p>
      <w:pPr>
        <w:pStyle w:val="Compact"/>
        <w:numPr>
          <w:ilvl w:val="0"/>
          <w:numId w:val="1005"/>
        </w:numPr>
      </w:pPr>
      <w:r>
        <w:t xml:space="preserve">CTAB solution (100 ml, Promega, MC1411)</w:t>
      </w:r>
    </w:p>
    <w:p>
      <w:pPr>
        <w:pStyle w:val="Compact"/>
        <w:numPr>
          <w:ilvl w:val="0"/>
          <w:numId w:val="1005"/>
        </w:numPr>
      </w:pPr>
      <w:r>
        <w:t xml:space="preserve">Parafilm</w:t>
      </w:r>
    </w:p>
    <w:p>
      <w:pPr>
        <w:pStyle w:val="Compact"/>
        <w:numPr>
          <w:ilvl w:val="0"/>
          <w:numId w:val="1005"/>
        </w:numPr>
      </w:pPr>
      <w:r>
        <w:t xml:space="preserve">70% ETOH</w:t>
      </w:r>
    </w:p>
    <w:p>
      <w:pPr>
        <w:pStyle w:val="Compact"/>
        <w:numPr>
          <w:ilvl w:val="0"/>
          <w:numId w:val="1005"/>
        </w:numPr>
      </w:pPr>
      <w:r>
        <w:t xml:space="preserve">1-10, 20-200, and 100-1000 µL micropipettors</w:t>
      </w:r>
    </w:p>
    <w:p>
      <w:pPr>
        <w:pStyle w:val="Compact"/>
        <w:numPr>
          <w:ilvl w:val="0"/>
          <w:numId w:val="1005"/>
        </w:numPr>
      </w:pPr>
      <w:r>
        <w:t xml:space="preserve">1-10, 20-200, and 100-1000 µL micropipette tips (preferably filtered)</w:t>
      </w:r>
    </w:p>
    <w:p>
      <w:pPr>
        <w:pStyle w:val="Compact"/>
        <w:numPr>
          <w:ilvl w:val="0"/>
          <w:numId w:val="1005"/>
        </w:numPr>
      </w:pPr>
      <w:r>
        <w:t xml:space="preserve">Kimwipes</w:t>
      </w:r>
    </w:p>
    <w:p>
      <w:pPr>
        <w:pStyle w:val="Compact"/>
        <w:numPr>
          <w:ilvl w:val="0"/>
          <w:numId w:val="1005"/>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006"/>
        </w:numPr>
      </w:pPr>
      <w:r>
        <w:t xml:space="preserve">ITS1f: 5’-CTTGGTCATTTAGAGGAAGTAA-3’</w:t>
      </w:r>
    </w:p>
    <w:p>
      <w:pPr>
        <w:pStyle w:val="Compact"/>
        <w:numPr>
          <w:ilvl w:val="1"/>
          <w:numId w:val="1006"/>
        </w:numPr>
      </w:pPr>
      <w:r>
        <w:t xml:space="preserve">ITS4: 5’-TCCTCCGCTTATTGATATGC</w:t>
      </w:r>
    </w:p>
    <w:p>
      <w:pPr>
        <w:pStyle w:val="Compact"/>
        <w:numPr>
          <w:ilvl w:val="1"/>
          <w:numId w:val="1006"/>
        </w:numPr>
      </w:pPr>
      <w:r>
        <w:t xml:space="preserve">5.8SR: 5’-CGCTGCGTTCTTCATCG-3’</w:t>
      </w:r>
    </w:p>
    <w:p>
      <w:pPr>
        <w:pStyle w:val="Compact"/>
        <w:numPr>
          <w:ilvl w:val="1"/>
          <w:numId w:val="1006"/>
        </w:numPr>
      </w:pPr>
      <w:r>
        <w:t xml:space="preserve">fITS7: 5’-GTGARTCATCGAATCTTTG-3’</w:t>
      </w:r>
    </w:p>
    <w:p>
      <w:pPr>
        <w:pStyle w:val="Compact"/>
        <w:numPr>
          <w:ilvl w:val="0"/>
          <w:numId w:val="1005"/>
        </w:numPr>
      </w:pPr>
      <w:r>
        <w:t xml:space="preserve">Q5® Hot Start High-Fidelity 2X Master Mix - 100 reactions(New England BioLabs, M0494S)</w:t>
      </w:r>
    </w:p>
    <w:p>
      <w:pPr>
        <w:pStyle w:val="Compact"/>
        <w:numPr>
          <w:ilvl w:val="0"/>
          <w:numId w:val="1005"/>
        </w:numPr>
      </w:pPr>
      <w:r>
        <w:t xml:space="preserve">PCR water (New England BioLabs, B1500S)</w:t>
      </w:r>
    </w:p>
    <w:p>
      <w:pPr>
        <w:pStyle w:val="Compact"/>
        <w:numPr>
          <w:ilvl w:val="0"/>
          <w:numId w:val="1005"/>
        </w:numPr>
      </w:pPr>
      <w:r>
        <w:t xml:space="preserve">Exo-CIP Rapid PCR Cleanup Kit - 100 reactions (New England BioLabs, E1050S)</w:t>
      </w:r>
    </w:p>
    <w:p>
      <w:pPr>
        <w:pStyle w:val="Compact"/>
        <w:numPr>
          <w:ilvl w:val="0"/>
          <w:numId w:val="1005"/>
        </w:numPr>
      </w:pPr>
      <w:r>
        <w:t xml:space="preserve">E-Gel system with 1.2% agarose gels (ThermoFisher, G4010010) or similar gel electrophoresis system</w:t>
      </w:r>
    </w:p>
    <w:p>
      <w:pPr>
        <w:pStyle w:val="Compact"/>
        <w:numPr>
          <w:ilvl w:val="0"/>
          <w:numId w:val="1005"/>
        </w:numPr>
      </w:pPr>
      <w:r>
        <w:t xml:space="preserve">E-Gel™ Sizing DNA Ladder (ThermoFisher, 10488100)</w:t>
      </w:r>
    </w:p>
    <w:p>
      <w:pPr>
        <w:pStyle w:val="Compact"/>
        <w:numPr>
          <w:ilvl w:val="0"/>
          <w:numId w:val="1005"/>
        </w:numPr>
      </w:pPr>
      <w:r>
        <w:t xml:space="preserve">DNA quantification system (for example, Qubit Fluorometer with dsDNA HS Assay Kit, ThermoFisher, Q32851)</w:t>
      </w:r>
    </w:p>
    <w:p>
      <w:pPr>
        <w:pStyle w:val="Compact"/>
        <w:numPr>
          <w:ilvl w:val="0"/>
          <w:numId w:val="1005"/>
        </w:numPr>
      </w:pPr>
      <w:r>
        <w:t xml:space="preserve">Access to Sanger sequencing services (for example, Genewiz, Eurofins, Eton, or similar provider).</w:t>
      </w:r>
    </w:p>
    <w:p>
      <w:pPr>
        <w:pStyle w:val="Compact"/>
        <w:numPr>
          <w:ilvl w:val="0"/>
          <w:numId w:val="1005"/>
        </w:numPr>
      </w:pPr>
      <w:r>
        <w:t xml:space="preserve">Oxford Nanopore Technologies (ONT) Rapid Barcoding Kit v14 (Oxford Nanopore Technologies), SQK-RBK114.24 or similar kit for long-read sequencing (optional)</w:t>
      </w:r>
    </w:p>
    <w:p>
      <w:pPr>
        <w:pStyle w:val="Compact"/>
        <w:numPr>
          <w:ilvl w:val="0"/>
          <w:numId w:val="1005"/>
        </w:numPr>
      </w:pPr>
      <w:r>
        <w:t xml:space="preserve">MinION sequencing device</w:t>
      </w:r>
    </w:p>
    <w:p>
      <w:pPr>
        <w:pStyle w:val="Compact"/>
        <w:numPr>
          <w:ilvl w:val="0"/>
          <w:numId w:val="1005"/>
        </w:numPr>
      </w:pPr>
      <w:r>
        <w:t xml:space="preserve">MinION flow cells (R10.4.1 or similar, Oxford Nanopore Technologies, FLO-MIN114)</w:t>
      </w:r>
    </w:p>
    <w:p>
      <w:pPr>
        <w:pStyle w:val="Compact"/>
        <w:numPr>
          <w:ilvl w:val="0"/>
          <w:numId w:val="1005"/>
        </w:numPr>
      </w:pPr>
      <w:r>
        <w:t xml:space="preserve">Ultrapure BSA 50mg/ml (ThermoFisher, AM2616) for long-read sequencing</w:t>
      </w:r>
    </w:p>
    <w:p>
      <w:pPr>
        <w:pStyle w:val="Compact"/>
        <w:numPr>
          <w:ilvl w:val="0"/>
          <w:numId w:val="1005"/>
        </w:numPr>
      </w:pPr>
      <w:r>
        <w:t xml:space="preserve">1.5mL microcentrifuge tubes (Eppendorf DNA LoBind) for long-read sequencing</w:t>
      </w:r>
    </w:p>
    <w:p>
      <w:pPr>
        <w:pStyle w:val="Compact"/>
        <w:numPr>
          <w:ilvl w:val="0"/>
          <w:numId w:val="1005"/>
        </w:numPr>
      </w:pPr>
      <w:r>
        <w:t xml:space="preserve">0.2 mL PCR tubes for long-read sequencing</w:t>
      </w:r>
    </w:p>
    <w:p>
      <w:pPr>
        <w:pStyle w:val="Compact"/>
        <w:numPr>
          <w:ilvl w:val="0"/>
          <w:numId w:val="1005"/>
        </w:numPr>
      </w:pPr>
      <w:r>
        <w:t xml:space="preserve">Magnetic rack for 1.5ml microcentrifuge tubes (for example, ThermoFisher DynaMag-2, 12321D) for long-read sequencing</w:t>
      </w:r>
    </w:p>
    <w:p>
      <w:pPr>
        <w:pStyle w:val="Compact"/>
        <w:numPr>
          <w:ilvl w:val="0"/>
          <w:numId w:val="1005"/>
        </w:numPr>
      </w:pPr>
      <w:r>
        <w:t xml:space="preserve">Nuclease-free water and 100% ethanol to prepare 80&amp; ethanol for long-read sequencing</w:t>
      </w:r>
    </w:p>
    <w:p>
      <w:pPr>
        <w:pStyle w:val="FirstParagraph"/>
      </w:pPr>
      <w:r>
        <w:t xml:space="preserve">This list may vary depending on your preferred extraction, amplification, and sequencing protocols.</w:t>
      </w:r>
    </w:p>
    <w:bookmarkEnd w:id="29"/>
    <w:bookmarkStart w:id="30" w:name="Xcfdc0ee93a5d518abd386287143069d9246eecd"/>
    <w:p>
      <w:pPr>
        <w:pStyle w:val="Heading3"/>
      </w:pPr>
      <w:r>
        <w:t xml:space="preserve">Module 5 - Tissue Preparation for Genome Sequencing</w:t>
      </w:r>
    </w:p>
    <w:p>
      <w:pPr>
        <w:pStyle w:val="Compact"/>
        <w:numPr>
          <w:ilvl w:val="0"/>
          <w:numId w:val="1007"/>
        </w:numPr>
      </w:pPr>
      <w:r>
        <w:t xml:space="preserve">Cellophane discs, induvidually rinsed and autoclaved in gauze</w:t>
      </w:r>
    </w:p>
    <w:p>
      <w:pPr>
        <w:pStyle w:val="Compact"/>
        <w:numPr>
          <w:ilvl w:val="0"/>
          <w:numId w:val="1007"/>
        </w:numPr>
      </w:pPr>
      <w:r>
        <w:t xml:space="preserve">60x15mm Petri Dishes</w:t>
      </w:r>
    </w:p>
    <w:p>
      <w:pPr>
        <w:pStyle w:val="Compact"/>
        <w:numPr>
          <w:ilvl w:val="0"/>
          <w:numId w:val="1007"/>
        </w:numPr>
      </w:pPr>
      <w:r>
        <w:t xml:space="preserve">Potato Dextrose Agar (PDA)</w:t>
      </w:r>
    </w:p>
    <w:p>
      <w:pPr>
        <w:pStyle w:val="Compact"/>
        <w:numPr>
          <w:ilvl w:val="0"/>
          <w:numId w:val="1007"/>
        </w:numPr>
      </w:pPr>
      <w:r>
        <w:t xml:space="preserve">Silica beads</w:t>
      </w:r>
    </w:p>
    <w:p>
      <w:pPr>
        <w:pStyle w:val="Compact"/>
        <w:numPr>
          <w:ilvl w:val="0"/>
          <w:numId w:val="1007"/>
        </w:numPr>
      </w:pPr>
      <w:r>
        <w:t xml:space="preserve">Gloves</w:t>
      </w:r>
    </w:p>
    <w:p>
      <w:pPr>
        <w:pStyle w:val="Compact"/>
        <w:numPr>
          <w:ilvl w:val="0"/>
          <w:numId w:val="1007"/>
        </w:numPr>
      </w:pPr>
      <w:r>
        <w:t xml:space="preserve">Incubator</w:t>
      </w:r>
    </w:p>
    <w:p>
      <w:pPr>
        <w:pStyle w:val="Compact"/>
        <w:numPr>
          <w:ilvl w:val="0"/>
          <w:numId w:val="1007"/>
        </w:numPr>
      </w:pPr>
      <w:r>
        <w:t xml:space="preserve">Balance</w:t>
      </w:r>
    </w:p>
    <w:p>
      <w:pPr>
        <w:pStyle w:val="Compact"/>
        <w:numPr>
          <w:ilvl w:val="0"/>
          <w:numId w:val="1007"/>
        </w:numPr>
      </w:pPr>
      <w:r>
        <w:t xml:space="preserve">Forceps</w:t>
      </w:r>
    </w:p>
    <w:p>
      <w:pPr>
        <w:pStyle w:val="Compact"/>
        <w:numPr>
          <w:ilvl w:val="0"/>
          <w:numId w:val="1007"/>
        </w:numPr>
      </w:pPr>
      <w:r>
        <w:t xml:space="preserve">Scalpel</w:t>
      </w:r>
    </w:p>
    <w:p>
      <w:pPr>
        <w:pStyle w:val="Compact"/>
        <w:numPr>
          <w:ilvl w:val="0"/>
          <w:numId w:val="1007"/>
        </w:numPr>
      </w:pPr>
      <w:r>
        <w:t xml:space="preserve">Small jar with lid or plates with lids</w:t>
      </w:r>
    </w:p>
    <w:p>
      <w:pPr>
        <w:pStyle w:val="Compact"/>
        <w:numPr>
          <w:ilvl w:val="0"/>
          <w:numId w:val="1007"/>
        </w:numPr>
      </w:pPr>
      <w:r>
        <w:t xml:space="preserve">Pure fungal culture</w:t>
      </w:r>
    </w:p>
    <w:bookmarkEnd w:id="30"/>
    <w:bookmarkStart w:id="31" w:name="module-6-sample-submission"/>
    <w:p>
      <w:pPr>
        <w:pStyle w:val="Heading3"/>
      </w:pPr>
      <w:r>
        <w:t xml:space="preserve">Module 6 – Sample Submission</w:t>
      </w:r>
    </w:p>
    <w:p>
      <w:pPr>
        <w:pStyle w:val="Compact"/>
        <w:numPr>
          <w:ilvl w:val="0"/>
          <w:numId w:val="1008"/>
        </w:numPr>
      </w:pPr>
      <w:r>
        <w:t xml:space="preserve">Shipping samples</w:t>
      </w:r>
    </w:p>
    <w:p>
      <w:pPr>
        <w:pStyle w:val="Compact"/>
        <w:numPr>
          <w:ilvl w:val="0"/>
          <w:numId w:val="1008"/>
        </w:numPr>
      </w:pPr>
      <w:r>
        <w:t xml:space="preserve">Sample form printout</w:t>
      </w:r>
    </w:p>
    <w:bookmarkEnd w:id="31"/>
    <w:bookmarkStart w:id="32" w:name="module-7-genomic-analyses"/>
    <w:p>
      <w:pPr>
        <w:pStyle w:val="Heading3"/>
      </w:pPr>
      <w:r>
        <w:t xml:space="preserve">Module 7 – Genomic Analyses</w:t>
      </w:r>
    </w:p>
    <w:p>
      <w:pPr>
        <w:pStyle w:val="Compact"/>
        <w:numPr>
          <w:ilvl w:val="0"/>
          <w:numId w:val="1009"/>
        </w:numPr>
      </w:pPr>
      <w:r>
        <w:t xml:space="preserve">Access to Mycocosm</w:t>
      </w:r>
    </w:p>
    <w:p>
      <w:pPr>
        <w:pStyle w:val="Compact"/>
        <w:numPr>
          <w:ilvl w:val="0"/>
          <w:numId w:val="1009"/>
        </w:numPr>
      </w:pPr>
      <w:r>
        <w:t xml:space="preserve">Computer with internet access</w:t>
      </w:r>
    </w:p>
    <w:bookmarkEnd w:id="32"/>
    <w:bookmarkEnd w:id="33"/>
    <w:bookmarkStart w:id="38"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6" w:name="Xbe7dd89d850e9accf36a8a51cd2d2bfb9177b29"/>
    <w:p>
      <w:pPr>
        <w:pStyle w:val="Heading3"/>
      </w:pPr>
      <w:r>
        <w:t xml:space="preserve">Make a MycoEd Traditional Project [Instructor Instructions]</w:t>
      </w:r>
    </w:p>
    <w:p>
      <w:pPr>
        <w:pStyle w:val="Compact"/>
        <w:numPr>
          <w:ilvl w:val="0"/>
          <w:numId w:val="1010"/>
        </w:numPr>
      </w:pPr>
      <w:r>
        <w:t xml:space="preserve">Log into iNaturalist.</w:t>
      </w:r>
    </w:p>
    <w:p>
      <w:pPr>
        <w:pStyle w:val="Compact"/>
        <w:numPr>
          <w:ilvl w:val="0"/>
          <w:numId w:val="1010"/>
        </w:numPr>
      </w:pPr>
      <w:r>
        <w:t xml:space="preserve">Go to Projects.</w:t>
      </w:r>
    </w:p>
    <w:p>
      <w:pPr>
        <w:pStyle w:val="Compact"/>
        <w:numPr>
          <w:ilvl w:val="0"/>
          <w:numId w:val="1010"/>
        </w:numPr>
      </w:pPr>
      <w:r>
        <w:t xml:space="preserve">This will take you to Your Projects.</w:t>
      </w:r>
    </w:p>
    <w:p>
      <w:pPr>
        <w:pStyle w:val="Compact"/>
        <w:numPr>
          <w:ilvl w:val="0"/>
          <w:numId w:val="1010"/>
        </w:numPr>
      </w:pPr>
      <w:r>
        <w:t xml:space="preserve">On the bottom right of the page, select Start a Project.</w:t>
      </w:r>
    </w:p>
    <w:p>
      <w:pPr>
        <w:pStyle w:val="Compact"/>
        <w:numPr>
          <w:ilvl w:val="0"/>
          <w:numId w:val="1010"/>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11"/>
        </w:numPr>
      </w:pPr>
      <w:r>
        <w:t xml:space="preserve">Complete the following criteria indicated in the lettered parts of the figure below:</w:t>
      </w:r>
    </w:p>
    <w:p>
      <w:pPr>
        <w:pStyle w:val="Compact"/>
        <w:numPr>
          <w:ilvl w:val="1"/>
          <w:numId w:val="1012"/>
        </w:numPr>
      </w:pPr>
      <w:r>
        <w:t xml:space="preserve">Add Title. Include Institution, term or semester, and year.</w:t>
      </w:r>
    </w:p>
    <w:p>
      <w:pPr>
        <w:pStyle w:val="Compact"/>
        <w:numPr>
          <w:ilvl w:val="1"/>
          <w:numId w:val="1012"/>
        </w:numPr>
      </w:pPr>
      <w:r>
        <w:t xml:space="preserve">Make this Invite Only. You will add your students to this project.</w:t>
      </w:r>
    </w:p>
    <w:p>
      <w:pPr>
        <w:pStyle w:val="Compact"/>
        <w:numPr>
          <w:ilvl w:val="1"/>
          <w:numId w:val="1012"/>
        </w:numPr>
      </w:pPr>
      <w:r>
        <w:t xml:space="preserve">Add images or logos as you see fit. This step is useful if you manage multiple projects.</w:t>
      </w:r>
    </w:p>
    <w:p>
      <w:pPr>
        <w:pStyle w:val="Compact"/>
        <w:numPr>
          <w:ilvl w:val="0"/>
          <w:numId w:val="1011"/>
        </w:numPr>
      </w:pPr>
      <w:r>
        <w:t xml:space="preserve">Other fields to consider:</w:t>
      </w:r>
    </w:p>
    <w:p>
      <w:pPr>
        <w:pStyle w:val="Compact"/>
        <w:numPr>
          <w:ilvl w:val="1"/>
          <w:numId w:val="1013"/>
        </w:numPr>
      </w:pPr>
      <w:r>
        <w:t xml:space="preserve">Location: You may choose to limit the locations of your observations. If your project is set to invite only, this is likely unnecessary.</w:t>
      </w:r>
    </w:p>
    <w:p>
      <w:pPr>
        <w:pStyle w:val="Compact"/>
        <w:numPr>
          <w:ilvl w:val="1"/>
          <w:numId w:val="1013"/>
        </w:numPr>
      </w:pPr>
      <w:r>
        <w:t xml:space="preserve">Observation Fields: Here you can link the fungal endophytes back to the host plants. In the future, we may have further instructions for data to add here.</w:t>
      </w:r>
    </w:p>
    <w:p>
      <w:pPr>
        <w:pStyle w:val="Compact"/>
        <w:numPr>
          <w:ilvl w:val="0"/>
          <w:numId w:val="1011"/>
        </w:numPr>
      </w:pPr>
      <w:r>
        <w:t xml:space="preserve">Complete the project by selecting the Create button.</w:t>
      </w:r>
    </w:p>
    <w:p>
      <w:pPr>
        <w:pStyle w:val="Compact"/>
        <w:numPr>
          <w:ilvl w:val="0"/>
          <w:numId w:val="1011"/>
        </w:numPr>
      </w:pPr>
      <w:r>
        <w:t xml:space="preserve">You may add your MycoEd concierges to your project if you wish (Andrew_wilson, ahonan).</w:t>
      </w:r>
    </w:p>
    <w:p>
      <w:pPr>
        <w:pStyle w:val="Compact"/>
        <w:numPr>
          <w:ilvl w:val="0"/>
          <w:numId w:val="1011"/>
        </w:numPr>
      </w:pPr>
      <w:r>
        <w:t xml:space="preserve">Email Andrew Wilson (andrew.wilson@BotanicGardens.org) to be added to the MycoEd Fungal Genomics Education Project.</w:t>
      </w:r>
    </w:p>
    <w:p>
      <w:pPr>
        <w:pStyle w:val="Compact"/>
        <w:numPr>
          <w:ilvl w:val="0"/>
          <w:numId w:val="1011"/>
        </w:numPr>
      </w:pPr>
      <w:r>
        <w:t xml:space="preserve">Add your project name to the text highlighted in yellow in copies of the following documents:</w:t>
      </w:r>
    </w:p>
    <w:p>
      <w:pPr>
        <w:pStyle w:val="Compact"/>
        <w:numPr>
          <w:ilvl w:val="1"/>
          <w:numId w:val="1014"/>
        </w:numPr>
      </w:pPr>
      <w:r>
        <w:t xml:space="preserve">Module 1 – Using iNaturalist</w:t>
      </w:r>
    </w:p>
    <w:p>
      <w:pPr>
        <w:pStyle w:val="Compact"/>
        <w:numPr>
          <w:ilvl w:val="1"/>
          <w:numId w:val="1014"/>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6"/>
    <w:bookmarkStart w:id="37"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5"/>
        </w:numPr>
      </w:pPr>
      <w:r>
        <w:t xml:space="preserve">Open your Myco-Ed project.</w:t>
      </w:r>
    </w:p>
    <w:p>
      <w:pPr>
        <w:pStyle w:val="Compact"/>
        <w:numPr>
          <w:ilvl w:val="0"/>
          <w:numId w:val="1015"/>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5"/>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5"/>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6"/>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7"/>
    <w:bookmarkEnd w:id="38"/>
    <w:bookmarkStart w:id="42" w:name="module-0.3-inaturalist-checklist"/>
    <w:p>
      <w:pPr>
        <w:pStyle w:val="Heading2"/>
      </w:pPr>
      <w:r>
        <w:t xml:space="preserve">Module 0.3 – iNaturalist Checklist</w:t>
      </w:r>
    </w:p>
    <w:bookmarkStart w:id="41"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9" w:name="for-instructors"/>
    <w:p>
      <w:pPr>
        <w:pStyle w:val="Heading4"/>
      </w:pPr>
      <w:r>
        <w:t xml:space="preserve">For Instructors</w:t>
      </w:r>
    </w:p>
    <w:p>
      <w:pPr>
        <w:pStyle w:val="Compact"/>
        <w:numPr>
          <w:ilvl w:val="0"/>
          <w:numId w:val="1017"/>
        </w:numPr>
      </w:pPr>
      <w:r>
        <w:t xml:space="preserve">Create an iNaturalist Account. (Module 0.2)</w:t>
      </w:r>
    </w:p>
    <w:p>
      <w:pPr>
        <w:pStyle w:val="Compact"/>
        <w:numPr>
          <w:ilvl w:val="0"/>
          <w:numId w:val="1018"/>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9"/>
        </w:numPr>
      </w:pPr>
      <w:r>
        <w:t xml:space="preserve">Tell your students the name of the iNaturalist Project, and request their iNaturalist user IDs.</w:t>
      </w:r>
    </w:p>
    <w:p>
      <w:pPr>
        <w:pStyle w:val="Compact"/>
        <w:numPr>
          <w:ilvl w:val="0"/>
          <w:numId w:val="1020"/>
        </w:numPr>
      </w:pPr>
      <w:r>
        <w:t xml:space="preserve">Add the students to the course project once they’ve completed Module 1.2. (Module 0.2)</w:t>
      </w:r>
    </w:p>
    <w:p>
      <w:pPr>
        <w:pStyle w:val="Compact"/>
        <w:numPr>
          <w:ilvl w:val="0"/>
          <w:numId w:val="1021"/>
        </w:numPr>
      </w:pPr>
      <w:r>
        <w:t xml:space="preserve">Instruct students on iNaturalist data management obligations for course credit (at the instructor’s discretion).</w:t>
      </w:r>
    </w:p>
    <w:bookmarkEnd w:id="39"/>
    <w:bookmarkStart w:id="40"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22"/>
        </w:numPr>
      </w:pPr>
      <w:r>
        <w:t xml:space="preserve">Create an iNaturalist Account.</w:t>
      </w:r>
    </w:p>
    <w:p>
      <w:pPr>
        <w:pStyle w:val="Compact"/>
        <w:numPr>
          <w:ilvl w:val="0"/>
          <w:numId w:val="1023"/>
        </w:numPr>
      </w:pPr>
      <w:r>
        <w:t xml:space="preserve">Get the iNaturalist App for your phone</w:t>
      </w:r>
    </w:p>
    <w:p>
      <w:pPr>
        <w:pStyle w:val="Compact"/>
        <w:numPr>
          <w:ilvl w:val="0"/>
          <w:numId w:val="1024"/>
        </w:numPr>
      </w:pPr>
      <w:r>
        <w:t xml:space="preserve">Give your instructor your iNaturalist User Name.</w:t>
      </w:r>
    </w:p>
    <w:p>
      <w:pPr>
        <w:pStyle w:val="Compact"/>
        <w:numPr>
          <w:ilvl w:val="0"/>
          <w:numId w:val="1025"/>
        </w:numPr>
      </w:pPr>
      <w:r>
        <w:t xml:space="preserve">Update your real name under your account settings.</w:t>
      </w:r>
    </w:p>
    <w:p>
      <w:pPr>
        <w:pStyle w:val="Compact"/>
        <w:numPr>
          <w:ilvl w:val="0"/>
          <w:numId w:val="1026"/>
        </w:numPr>
      </w:pPr>
      <w:r>
        <w:t xml:space="preserve">Watch some videos and tutorials.</w:t>
      </w:r>
    </w:p>
    <w:p>
      <w:pPr>
        <w:pStyle w:val="Compact"/>
        <w:numPr>
          <w:ilvl w:val="0"/>
          <w:numId w:val="1027"/>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8"/>
        </w:numPr>
      </w:pPr>
      <w:r>
        <w:t xml:space="preserve">Take multiple images of the plant host (or habitat photos of the environment) and include at least one image with a unique field number. (e.g., MycoEd_004)</w:t>
      </w:r>
    </w:p>
    <w:p>
      <w:pPr>
        <w:pStyle w:val="Compact"/>
        <w:numPr>
          <w:ilvl w:val="0"/>
          <w:numId w:val="1029"/>
        </w:numPr>
      </w:pPr>
      <w:r>
        <w:t xml:space="preserve">Add the observation to your course project.</w:t>
      </w:r>
    </w:p>
    <w:p>
      <w:pPr>
        <w:pStyle w:val="Compact"/>
        <w:numPr>
          <w:ilvl w:val="0"/>
          <w:numId w:val="1030"/>
        </w:numPr>
      </w:pPr>
      <w:r>
        <w:t xml:space="preserve">Save and upload the observation to the cloud once you’re connected to wifi.</w:t>
      </w:r>
    </w:p>
    <w:p>
      <w:pPr>
        <w:pStyle w:val="Compact"/>
        <w:numPr>
          <w:ilvl w:val="0"/>
          <w:numId w:val="1031"/>
        </w:numPr>
      </w:pPr>
      <w:r>
        <w:t xml:space="preserve">Add Observation Field for MycoEd ID.</w:t>
      </w:r>
    </w:p>
    <w:p>
      <w:pPr>
        <w:pStyle w:val="Compact"/>
        <w:numPr>
          <w:ilvl w:val="0"/>
          <w:numId w:val="1032"/>
        </w:numPr>
      </w:pPr>
      <w:r>
        <w:t xml:space="preserve">Add Observation Field for DNA Barcode ITS once you have DNA sequence data.</w:t>
      </w:r>
    </w:p>
    <w:p>
      <w:pPr>
        <w:pStyle w:val="Compact"/>
        <w:numPr>
          <w:ilvl w:val="0"/>
          <w:numId w:val="1033"/>
        </w:numPr>
      </w:pPr>
      <w:r>
        <w:t xml:space="preserve">Update the name of fungal isolates using DNA sequence BLAST results.</w:t>
      </w:r>
    </w:p>
    <w:p>
      <w:pPr>
        <w:pStyle w:val="Compact"/>
        <w:numPr>
          <w:ilvl w:val="0"/>
          <w:numId w:val="1034"/>
        </w:numPr>
      </w:pPr>
      <w:r>
        <w:t xml:space="preserve">Add Observation Field for Host Observation for fungal isolates linking to the original host on iNaturalist.</w:t>
      </w:r>
    </w:p>
    <w:bookmarkEnd w:id="40"/>
    <w:bookmarkEnd w:id="41"/>
    <w:bookmarkEnd w:id="42"/>
    <w:bookmarkEnd w:id="43"/>
    <w:bookmarkStart w:id="66" w:name="module-1-fungal-sampling"/>
    <w:p>
      <w:pPr>
        <w:pStyle w:val="Heading1"/>
      </w:pPr>
      <w:r>
        <w:t xml:space="preserve">Module 1: Fungal Sampling</w:t>
      </w:r>
    </w:p>
    <w:bookmarkStart w:id="48" w:name="module-1.1-lab-prep-overview"/>
    <w:p>
      <w:pPr>
        <w:pStyle w:val="Heading2"/>
      </w:pPr>
      <w:r>
        <w:t xml:space="preserve">Module 1.1 – Lab Prep Overview</w:t>
      </w:r>
    </w:p>
    <w:bookmarkStart w:id="47" w:name="X77a2a5cde368cdc7e0265278fa1fc26eefd1a5c"/>
    <w:p>
      <w:pPr>
        <w:pStyle w:val="Heading3"/>
      </w:pPr>
      <w:r>
        <w:t xml:space="preserve">Instructor Laboratory Preparation Instructions</w:t>
      </w:r>
    </w:p>
    <w:p>
      <w:pPr>
        <w:pStyle w:val="FirstParagraph"/>
      </w:pPr>
      <w:r>
        <w:rPr>
          <w:b/>
          <w:bCs/>
        </w:rPr>
        <w:t xml:space="preserve">Materials:</w:t>
      </w:r>
      <w:r>
        <w:t xml:space="preserve"> </w:t>
      </w:r>
      <w:r>
        <w:t xml:space="preserve">- [ ] Cellophane discs (rinsed and individually wrapped before autoclaving)</w:t>
      </w:r>
      <w:r>
        <w:t xml:space="preserve"> </w:t>
      </w:r>
      <w:r>
        <w:t xml:space="preserve">- [ ] 100x15mm Petri dishes</w:t>
      </w:r>
      <w:r>
        <w:t xml:space="preserve"> </w:t>
      </w:r>
      <w:r>
        <w:t xml:space="preserve">- [ ] 60x15mm Petri dishes</w:t>
      </w:r>
      <w:r>
        <w:t xml:space="preserve"> </w:t>
      </w:r>
      <w:r>
        <w:t xml:space="preserve">- [ ] Bacteriological agar</w:t>
      </w:r>
      <w:r>
        <w:t xml:space="preserve"> </w:t>
      </w:r>
      <w:r>
        <w:t xml:space="preserve">- [ ] Forceps</w:t>
      </w:r>
      <w:r>
        <w:t xml:space="preserve"> </w:t>
      </w:r>
      <w:r>
        <w:t xml:space="preserve">- [ ] Scalpels or metal hole punch</w:t>
      </w:r>
    </w:p>
    <w:p>
      <w:pPr>
        <w:pStyle w:val="BodyText"/>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7"/>
    <w:bookmarkEnd w:id="48"/>
    <w:bookmarkStart w:id="55" w:name="module-1.2-metadata-directions"/>
    <w:p>
      <w:pPr>
        <w:pStyle w:val="Heading2"/>
      </w:pPr>
      <w:r>
        <w:t xml:space="preserve">Module 1.2 – Metadata Directions</w:t>
      </w:r>
    </w:p>
    <w:bookmarkStart w:id="49"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9"/>
    <w:bookmarkStart w:id="50" w:name="inaturalist-plant-observation"/>
    <w:p>
      <w:pPr>
        <w:pStyle w:val="Heading3"/>
      </w:pPr>
      <w:r>
        <w:t xml:space="preserve">iNaturalist plant observation:</w:t>
      </w:r>
    </w:p>
    <w:p>
      <w:pPr>
        <w:pStyle w:val="FirstParagraph"/>
      </w:pPr>
      <w:r>
        <w:t xml:space="preserve">[NC State Myco Ed on iNaturalist] (https://www.inaturalist.org/projects/nc-state-myco-ed)</w:t>
      </w:r>
      <w:r>
        <w:t xml:space="preserve"> </w:t>
      </w:r>
      <w:r>
        <w:t xml:space="preserve">https://www.inaturalist.org/projects/nc-state-myco-ed</w:t>
      </w:r>
    </w:p>
    <w:bookmarkEnd w:id="50"/>
    <w:bookmarkStart w:id="51"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51"/>
    <w:bookmarkStart w:id="52"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52"/>
    <w:bookmarkStart w:id="53"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3"/>
    <w:bookmarkStart w:id="54"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4"/>
    <w:bookmarkEnd w:id="55"/>
    <w:bookmarkStart w:id="62" w:name="Xb4fb397bd02a3abfe006792dec75e7bd20d5dfd"/>
    <w:p>
      <w:pPr>
        <w:pStyle w:val="Heading2"/>
      </w:pPr>
      <w:r>
        <w:t xml:space="preserve">Module 1.3 - Fungal Sampling and Culturing</w:t>
      </w:r>
    </w:p>
    <w:bookmarkStart w:id="56"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6"/>
    <w:bookmarkStart w:id="5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7"/>
    <w:bookmarkStart w:id="58" w:name="learning-goals"/>
    <w:p>
      <w:pPr>
        <w:pStyle w:val="Heading3"/>
      </w:pPr>
      <w:r>
        <w:t xml:space="preserve">Learning Goals</w:t>
      </w:r>
    </w:p>
    <w:p>
      <w:pPr>
        <w:pStyle w:val="Compact"/>
        <w:numPr>
          <w:ilvl w:val="0"/>
          <w:numId w:val="1035"/>
        </w:numPr>
      </w:pPr>
      <w:r>
        <w:t xml:space="preserve">Documentation using iNaturalist</w:t>
      </w:r>
    </w:p>
    <w:p>
      <w:pPr>
        <w:pStyle w:val="Compact"/>
        <w:numPr>
          <w:ilvl w:val="0"/>
          <w:numId w:val="1035"/>
        </w:numPr>
      </w:pPr>
      <w:r>
        <w:t xml:space="preserve">Practice sterile technique</w:t>
      </w:r>
    </w:p>
    <w:p>
      <w:pPr>
        <w:pStyle w:val="Compact"/>
        <w:numPr>
          <w:ilvl w:val="0"/>
          <w:numId w:val="1035"/>
        </w:numPr>
      </w:pPr>
      <w:r>
        <w:t xml:space="preserve">Culture and isolate fungi</w:t>
      </w:r>
    </w:p>
    <w:p>
      <w:pPr>
        <w:pStyle w:val="Compact"/>
        <w:numPr>
          <w:ilvl w:val="0"/>
          <w:numId w:val="1035"/>
        </w:numPr>
      </w:pPr>
      <w:r>
        <w:t xml:space="preserve">Investigate fungal endophytes</w:t>
      </w:r>
    </w:p>
    <w:p>
      <w:pPr>
        <w:pStyle w:val="Compact"/>
        <w:numPr>
          <w:ilvl w:val="0"/>
          <w:numId w:val="1035"/>
        </w:numPr>
      </w:pPr>
      <w:r>
        <w:t xml:space="preserve">Characterize morphology of fungal cultures</w:t>
      </w:r>
    </w:p>
    <w:bookmarkEnd w:id="58"/>
    <w:bookmarkStart w:id="59" w:name="lab-supplies"/>
    <w:p>
      <w:pPr>
        <w:pStyle w:val="Heading3"/>
      </w:pPr>
      <w:r>
        <w:t xml:space="preserve">Lab Supplies</w:t>
      </w:r>
    </w:p>
    <w:p>
      <w:pPr>
        <w:pStyle w:val="Compact"/>
        <w:numPr>
          <w:ilvl w:val="0"/>
          <w:numId w:val="1036"/>
        </w:numPr>
      </w:pPr>
      <w:r>
        <w:t xml:space="preserve">3 large water agar Petri plates - these are for initial isolation</w:t>
      </w:r>
    </w:p>
    <w:p>
      <w:pPr>
        <w:pStyle w:val="Compact"/>
        <w:numPr>
          <w:ilvl w:val="0"/>
          <w:numId w:val="1037"/>
        </w:numPr>
      </w:pPr>
      <w:r>
        <w:t xml:space="preserve">Sharpie</w:t>
      </w:r>
    </w:p>
    <w:p>
      <w:pPr>
        <w:pStyle w:val="Compact"/>
        <w:numPr>
          <w:ilvl w:val="0"/>
          <w:numId w:val="1038"/>
        </w:numPr>
      </w:pPr>
      <w:r>
        <w:t xml:space="preserve">Parafilm</w:t>
      </w:r>
    </w:p>
    <w:p>
      <w:pPr>
        <w:pStyle w:val="Compact"/>
        <w:numPr>
          <w:ilvl w:val="0"/>
          <w:numId w:val="1039"/>
        </w:numPr>
      </w:pPr>
      <w:r>
        <w:t xml:space="preserve">Paper towels</w:t>
      </w:r>
    </w:p>
    <w:p>
      <w:pPr>
        <w:pStyle w:val="Compact"/>
        <w:numPr>
          <w:ilvl w:val="0"/>
          <w:numId w:val="1040"/>
        </w:numPr>
      </w:pPr>
      <w:r>
        <w:t xml:space="preserve">Gloves</w:t>
      </w:r>
    </w:p>
    <w:p>
      <w:pPr>
        <w:pStyle w:val="Compact"/>
        <w:numPr>
          <w:ilvl w:val="0"/>
          <w:numId w:val="1041"/>
        </w:numPr>
      </w:pPr>
      <w:r>
        <w:t xml:space="preserve">Bleach</w:t>
      </w:r>
    </w:p>
    <w:p>
      <w:pPr>
        <w:pStyle w:val="Compact"/>
        <w:numPr>
          <w:ilvl w:val="0"/>
          <w:numId w:val="1042"/>
        </w:numPr>
      </w:pPr>
      <w:r>
        <w:t xml:space="preserve">Ethanol</w:t>
      </w:r>
    </w:p>
    <w:p>
      <w:pPr>
        <w:pStyle w:val="Compact"/>
        <w:numPr>
          <w:ilvl w:val="0"/>
          <w:numId w:val="1043"/>
        </w:numPr>
      </w:pPr>
      <w:r>
        <w:t xml:space="preserve">Scalpel</w:t>
      </w:r>
    </w:p>
    <w:p>
      <w:pPr>
        <w:pStyle w:val="Compact"/>
        <w:numPr>
          <w:ilvl w:val="0"/>
          <w:numId w:val="1044"/>
        </w:numPr>
      </w:pPr>
      <w:r>
        <w:t xml:space="preserve">Metal hole punch</w:t>
      </w:r>
    </w:p>
    <w:p>
      <w:pPr>
        <w:pStyle w:val="Compact"/>
        <w:numPr>
          <w:ilvl w:val="0"/>
          <w:numId w:val="1045"/>
        </w:numPr>
      </w:pPr>
      <w:r>
        <w:t xml:space="preserve">Forceps</w:t>
      </w:r>
    </w:p>
    <w:bookmarkEnd w:id="59"/>
    <w:bookmarkStart w:id="61" w:name="instructions"/>
    <w:p>
      <w:pPr>
        <w:pStyle w:val="Heading3"/>
      </w:pPr>
      <w:r>
        <w:t xml:space="preserve">Instructions</w:t>
      </w:r>
    </w:p>
    <w:bookmarkStart w:id="6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4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46"/>
        </w:numPr>
      </w:pPr>
      <w:r>
        <w:t xml:space="preserve">Sterilize tools (scalpel or hole punch and forceps)</w:t>
      </w:r>
    </w:p>
    <w:p>
      <w:pPr>
        <w:pStyle w:val="Compact"/>
        <w:numPr>
          <w:ilvl w:val="1"/>
          <w:numId w:val="1047"/>
        </w:numPr>
      </w:pPr>
      <w:r>
        <w:t xml:space="preserve">Heat your tool using a flame (candle, alcohol lamp, torch, or something similar).</w:t>
      </w:r>
    </w:p>
    <w:p>
      <w:pPr>
        <w:pStyle w:val="Compact"/>
        <w:numPr>
          <w:ilvl w:val="1"/>
          <w:numId w:val="1047"/>
        </w:numPr>
      </w:pPr>
      <w:r>
        <w:t xml:space="preserve">Let cool – you can dip the tool (scalpel or hole punch) into the bleach solution to cool.</w:t>
      </w:r>
    </w:p>
    <w:p>
      <w:pPr>
        <w:pStyle w:val="Compact"/>
        <w:numPr>
          <w:ilvl w:val="0"/>
          <w:numId w:val="1046"/>
        </w:numPr>
      </w:pPr>
      <w:r>
        <w:t xml:space="preserve">Cut leaf tissues. You may take as many cuttings from each leaf as desired. Be sure to label cuttings appropriately as described above. Cuttings should be ~1 cm.</w:t>
      </w:r>
    </w:p>
    <w:p>
      <w:pPr>
        <w:pStyle w:val="Compact"/>
        <w:numPr>
          <w:ilvl w:val="0"/>
          <w:numId w:val="1046"/>
        </w:numPr>
      </w:pPr>
      <w:r>
        <w:t xml:space="preserve">Surface sterilize leaf tissue. Using sterilized forceps (heat and cool as above), immerse each cutting in 10% bleach solution for 10 seconds.</w:t>
      </w:r>
    </w:p>
    <w:p>
      <w:pPr>
        <w:pStyle w:val="Compact"/>
        <w:numPr>
          <w:ilvl w:val="1"/>
          <w:numId w:val="104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48"/>
        </w:numPr>
      </w:pPr>
      <w:r>
        <w:t xml:space="preserve">Mix 1ml (1/4 teaspoon) household bleach with 500 ml (2 cups) sterilized water.</w:t>
      </w:r>
    </w:p>
    <w:p>
      <w:pPr>
        <w:pStyle w:val="Compact"/>
        <w:numPr>
          <w:ilvl w:val="0"/>
          <w:numId w:val="1046"/>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46"/>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4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46"/>
        </w:numPr>
      </w:pPr>
      <w:r>
        <w:t xml:space="preserve">Incubate at room temperature in the dark and examine for growth each day.</w:t>
      </w:r>
    </w:p>
    <w:bookmarkEnd w:id="60"/>
    <w:bookmarkEnd w:id="61"/>
    <w:bookmarkEnd w:id="62"/>
    <w:bookmarkStart w:id="65" w:name="module-1.4-using-inaturalist"/>
    <w:p>
      <w:pPr>
        <w:pStyle w:val="Heading2"/>
      </w:pPr>
      <w:r>
        <w:t xml:space="preserve">Module 1.4 – Using iNaturalist</w:t>
      </w:r>
    </w:p>
    <w:bookmarkStart w:id="63"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&lt;video https://youtu.be/EgZw37NjxkA &gt;}}</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63"/>
    <w:bookmarkStart w:id="64"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9"/>
        </w:numPr>
      </w:pPr>
      <w:r>
        <w:t xml:space="preserve">Open your iNaturalist Application.</w:t>
      </w:r>
    </w:p>
    <w:p>
      <w:pPr>
        <w:pStyle w:val="Compact"/>
        <w:numPr>
          <w:ilvl w:val="1"/>
          <w:numId w:val="1050"/>
        </w:numPr>
      </w:pPr>
      <w:r>
        <w:t xml:space="preserve">Alternatively, take images on your phone and upload them to iNaturalist.</w:t>
      </w:r>
    </w:p>
    <w:p>
      <w:pPr>
        <w:pStyle w:val="Compact"/>
        <w:numPr>
          <w:ilvl w:val="0"/>
          <w:numId w:val="1049"/>
        </w:numPr>
      </w:pPr>
      <w:r>
        <w:t xml:space="preserve">Make an observation of the fungal isolate by taking a picture of it.</w:t>
      </w:r>
    </w:p>
    <w:p>
      <w:pPr>
        <w:pStyle w:val="Compact"/>
        <w:numPr>
          <w:ilvl w:val="1"/>
          <w:numId w:val="1051"/>
        </w:numPr>
      </w:pPr>
      <w:r>
        <w:t xml:space="preserve">Take pictures from the top and bottom, including the label.</w:t>
      </w:r>
    </w:p>
    <w:p>
      <w:pPr>
        <w:pStyle w:val="Compact"/>
        <w:numPr>
          <w:ilvl w:val="0"/>
          <w:numId w:val="1049"/>
        </w:numPr>
      </w:pPr>
      <w:r>
        <w:t xml:space="preserve">Before saving the observation, add it to your course project using the app.</w:t>
      </w:r>
    </w:p>
    <w:p>
      <w:pPr>
        <w:pStyle w:val="Compact"/>
        <w:numPr>
          <w:ilvl w:val="1"/>
          <w:numId w:val="1052"/>
        </w:numPr>
      </w:pPr>
      <w:r>
        <w:t xml:space="preserve">Follow the instructions detailed above.</w:t>
      </w:r>
    </w:p>
    <w:p>
      <w:pPr>
        <w:pStyle w:val="Compact"/>
        <w:numPr>
          <w:ilvl w:val="0"/>
          <w:numId w:val="1049"/>
        </w:numPr>
      </w:pPr>
      <w:r>
        <w:t xml:space="preserve">Click Done to save your observation.</w:t>
      </w:r>
    </w:p>
    <w:p>
      <w:pPr>
        <w:pStyle w:val="Compact"/>
        <w:numPr>
          <w:ilvl w:val="0"/>
          <w:numId w:val="1049"/>
        </w:numPr>
      </w:pPr>
      <w:r>
        <w:t xml:space="preserve">Manually upload your observation. This will appear green on your phone until it is uploaded.</w:t>
      </w:r>
    </w:p>
    <w:p>
      <w:pPr>
        <w:pStyle w:val="Compact"/>
        <w:numPr>
          <w:ilvl w:val="0"/>
          <w:numId w:val="1049"/>
        </w:numPr>
      </w:pPr>
      <w:r>
        <w:t xml:space="preserve">Double-check your observation online.</w:t>
      </w:r>
    </w:p>
    <w:p>
      <w:pPr>
        <w:pStyle w:val="Compact"/>
        <w:numPr>
          <w:ilvl w:val="1"/>
          <w:numId w:val="1053"/>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4"/>
    <w:bookmarkEnd w:id="65"/>
    <w:bookmarkEnd w:id="66"/>
    <w:bookmarkStart w:id="84" w:name="module-2-fungal-isolation"/>
    <w:p>
      <w:pPr>
        <w:pStyle w:val="Heading1"/>
      </w:pPr>
      <w:r>
        <w:t xml:space="preserve">Module 2: Fungal Isolation</w:t>
      </w:r>
    </w:p>
    <w:bookmarkStart w:id="75" w:name="module-2.1-lab-prep-overview"/>
    <w:p>
      <w:pPr>
        <w:pStyle w:val="Heading2"/>
      </w:pPr>
      <w:r>
        <w:t xml:space="preserve">Module 2.1 – Lab Prep Overview</w:t>
      </w:r>
    </w:p>
    <w:bookmarkStart w:id="74"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74"/>
    <w:bookmarkEnd w:id="75"/>
    <w:bookmarkStart w:id="83" w:name="module-2.2---fungal-isolation"/>
    <w:p>
      <w:pPr>
        <w:pStyle w:val="Heading2"/>
      </w:pPr>
      <w:r>
        <w:t xml:space="preserve">Module 2.2 - Fungal Isolation</w:t>
      </w:r>
    </w:p>
    <w:bookmarkStart w:id="76"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76"/>
    <w:bookmarkStart w:id="77"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7"/>
    <w:bookmarkStart w:id="78" w:name="learning-goals-1"/>
    <w:p>
      <w:pPr>
        <w:pStyle w:val="Heading3"/>
      </w:pPr>
      <w:r>
        <w:t xml:space="preserve">Learning Goals</w:t>
      </w:r>
    </w:p>
    <w:p>
      <w:pPr>
        <w:pStyle w:val="Compact"/>
        <w:numPr>
          <w:ilvl w:val="0"/>
          <w:numId w:val="1054"/>
        </w:numPr>
      </w:pPr>
      <w:r>
        <w:t xml:space="preserve">Practice sterile technique</w:t>
      </w:r>
    </w:p>
    <w:p>
      <w:pPr>
        <w:pStyle w:val="Compact"/>
        <w:numPr>
          <w:ilvl w:val="0"/>
          <w:numId w:val="1054"/>
        </w:numPr>
      </w:pPr>
      <w:r>
        <w:t xml:space="preserve">Culture and isolate fungi</w:t>
      </w:r>
    </w:p>
    <w:p>
      <w:pPr>
        <w:pStyle w:val="Compact"/>
        <w:numPr>
          <w:ilvl w:val="0"/>
          <w:numId w:val="1054"/>
        </w:numPr>
      </w:pPr>
      <w:r>
        <w:t xml:space="preserve">Investigate fungal endophytes</w:t>
      </w:r>
    </w:p>
    <w:p>
      <w:pPr>
        <w:pStyle w:val="Compact"/>
        <w:numPr>
          <w:ilvl w:val="0"/>
          <w:numId w:val="1054"/>
        </w:numPr>
      </w:pPr>
      <w:r>
        <w:t xml:space="preserve">Characterize morphology of fungal cultures</w:t>
      </w:r>
    </w:p>
    <w:p>
      <w:pPr>
        <w:pStyle w:val="Compact"/>
        <w:numPr>
          <w:ilvl w:val="0"/>
          <w:numId w:val="1054"/>
        </w:numPr>
      </w:pPr>
      <w:r>
        <w:t xml:space="preserve">Create data spreadsheets</w:t>
      </w:r>
    </w:p>
    <w:p>
      <w:pPr>
        <w:pStyle w:val="Compact"/>
        <w:numPr>
          <w:ilvl w:val="0"/>
          <w:numId w:val="1054"/>
        </w:numPr>
      </w:pPr>
      <w:r>
        <w:t xml:space="preserve">Isolate fungi for molecular extraction and analysis</w:t>
      </w:r>
    </w:p>
    <w:p>
      <w:pPr>
        <w:pStyle w:val="Compact"/>
        <w:numPr>
          <w:ilvl w:val="0"/>
          <w:numId w:val="1054"/>
        </w:numPr>
      </w:pPr>
      <w:r>
        <w:t xml:space="preserve">Create Growth Curves</w:t>
      </w:r>
    </w:p>
    <w:bookmarkEnd w:id="78"/>
    <w:bookmarkStart w:id="79" w:name="student-lab-supplies"/>
    <w:p>
      <w:pPr>
        <w:pStyle w:val="Heading3"/>
      </w:pPr>
      <w:r>
        <w:t xml:space="preserve">Student Lab Supplies</w:t>
      </w:r>
    </w:p>
    <w:p>
      <w:pPr>
        <w:pStyle w:val="Compact"/>
        <w:numPr>
          <w:ilvl w:val="0"/>
          <w:numId w:val="1055"/>
        </w:numPr>
      </w:pPr>
      <w:r>
        <w:t xml:space="preserve">Fungal Endophyte Sample Plates</w:t>
      </w:r>
    </w:p>
    <w:p>
      <w:pPr>
        <w:pStyle w:val="Compact"/>
        <w:numPr>
          <w:ilvl w:val="0"/>
          <w:numId w:val="1055"/>
        </w:numPr>
      </w:pPr>
      <w:r>
        <w:t xml:space="preserve">PDA Plates (60x15mm)</w:t>
      </w:r>
    </w:p>
    <w:p>
      <w:pPr>
        <w:pStyle w:val="Compact"/>
        <w:numPr>
          <w:ilvl w:val="0"/>
          <w:numId w:val="1055"/>
        </w:numPr>
      </w:pPr>
      <w:r>
        <w:t xml:space="preserve">70% ethanol</w:t>
      </w:r>
    </w:p>
    <w:p>
      <w:pPr>
        <w:pStyle w:val="Compact"/>
        <w:numPr>
          <w:ilvl w:val="0"/>
          <w:numId w:val="1055"/>
        </w:numPr>
      </w:pPr>
      <w:r>
        <w:t xml:space="preserve">Kimwipes and Paper Towels</w:t>
      </w:r>
    </w:p>
    <w:p>
      <w:pPr>
        <w:pStyle w:val="Compact"/>
        <w:numPr>
          <w:ilvl w:val="0"/>
          <w:numId w:val="1055"/>
        </w:numPr>
      </w:pPr>
      <w:r>
        <w:t xml:space="preserve">Parafilm</w:t>
      </w:r>
    </w:p>
    <w:p>
      <w:pPr>
        <w:pStyle w:val="Compact"/>
        <w:numPr>
          <w:ilvl w:val="0"/>
          <w:numId w:val="1055"/>
        </w:numPr>
      </w:pPr>
      <w:r>
        <w:t xml:space="preserve">Fine Tip Sharpie</w:t>
      </w:r>
    </w:p>
    <w:p>
      <w:pPr>
        <w:pStyle w:val="Compact"/>
        <w:numPr>
          <w:ilvl w:val="0"/>
          <w:numId w:val="1055"/>
        </w:numPr>
      </w:pPr>
      <w:r>
        <w:t xml:space="preserve">Flame Source for Sterilization (alcohol lamp or Bunsen burner)</w:t>
      </w:r>
    </w:p>
    <w:p>
      <w:pPr>
        <w:pStyle w:val="Compact"/>
        <w:numPr>
          <w:ilvl w:val="0"/>
          <w:numId w:val="1055"/>
        </w:numPr>
      </w:pPr>
      <w:r>
        <w:t xml:space="preserve">Scalpel</w:t>
      </w:r>
    </w:p>
    <w:p>
      <w:pPr>
        <w:pStyle w:val="Compact"/>
        <w:numPr>
          <w:ilvl w:val="0"/>
          <w:numId w:val="1055"/>
        </w:numPr>
      </w:pPr>
      <w:r>
        <w:t xml:space="preserve">Ruler</w:t>
      </w:r>
    </w:p>
    <w:p>
      <w:pPr>
        <w:pStyle w:val="Compact"/>
        <w:numPr>
          <w:ilvl w:val="0"/>
          <w:numId w:val="1055"/>
        </w:numPr>
      </w:pPr>
      <w:r>
        <w:t xml:space="preserve">Forceps</w:t>
      </w:r>
    </w:p>
    <w:bookmarkEnd w:id="79"/>
    <w:bookmarkStart w:id="82" w:name="instructions-1"/>
    <w:p>
      <w:pPr>
        <w:pStyle w:val="Heading3"/>
      </w:pPr>
      <w:r>
        <w:t xml:space="preserve">Instructions</w:t>
      </w:r>
    </w:p>
    <w:bookmarkStart w:id="8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5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5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56"/>
        </w:numPr>
      </w:pPr>
      <w:r>
        <w:t xml:space="preserve">Use a stefilized scalpel.</w:t>
      </w:r>
    </w:p>
    <w:p>
      <w:pPr>
        <w:pStyle w:val="Compact"/>
        <w:numPr>
          <w:ilvl w:val="0"/>
          <w:numId w:val="105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57"/>
        </w:numPr>
      </w:pPr>
      <w:r>
        <w:t xml:space="preserve">Work quickly and cleanly and consider your technique to prevent contamination. Remove Parafilm from the water agar plate.</w:t>
      </w:r>
    </w:p>
    <w:p>
      <w:pPr>
        <w:pStyle w:val="Compact"/>
        <w:numPr>
          <w:ilvl w:val="1"/>
          <w:numId w:val="1057"/>
        </w:numPr>
      </w:pPr>
      <w:r>
        <w:t xml:space="preserve">Tilt or lift the lid of the water agar petri dish as little as possible, try to keep the lid covering or hovering over the plate to prevent airborne contaminants.</w:t>
      </w:r>
    </w:p>
    <w:p>
      <w:pPr>
        <w:pStyle w:val="Compact"/>
        <w:numPr>
          <w:ilvl w:val="1"/>
          <w:numId w:val="1057"/>
        </w:numPr>
      </w:pPr>
      <w:r>
        <w:t xml:space="preserve">Using a sterile scalpel remove the chunk of agar from the target fungal isolate.</w:t>
      </w:r>
    </w:p>
    <w:p>
      <w:pPr>
        <w:pStyle w:val="Compact"/>
        <w:numPr>
          <w:ilvl w:val="1"/>
          <w:numId w:val="1057"/>
        </w:numPr>
      </w:pPr>
      <w:r>
        <w:t xml:space="preserve">Replace the lid of the water agar.</w:t>
      </w:r>
    </w:p>
    <w:p>
      <w:pPr>
        <w:pStyle w:val="Compact"/>
        <w:numPr>
          <w:ilvl w:val="1"/>
          <w:numId w:val="105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57"/>
        </w:numPr>
      </w:pPr>
      <w:r>
        <w:t xml:space="preserve">Close the lid of the PDA petri dish lid as quickly as possible. Seal with parafilm.</w:t>
      </w:r>
    </w:p>
    <w:bookmarkEnd w:id="80"/>
    <w:bookmarkStart w:id="81" w:name="part-ii-measuring-growth-rates"/>
    <w:p>
      <w:pPr>
        <w:pStyle w:val="Heading4"/>
      </w:pPr>
      <w:r>
        <w:t xml:space="preserve">Part II – Measuring Growth Rates</w:t>
      </w:r>
    </w:p>
    <w:p>
      <w:pPr>
        <w:pStyle w:val="Compact"/>
        <w:numPr>
          <w:ilvl w:val="0"/>
          <w:numId w:val="1058"/>
        </w:numPr>
      </w:pPr>
      <w:r>
        <w:t xml:space="preserve">Design a data sheet to record growth.</w:t>
      </w:r>
    </w:p>
    <w:p>
      <w:pPr>
        <w:pStyle w:val="Compact"/>
        <w:numPr>
          <w:ilvl w:val="0"/>
          <w:numId w:val="1058"/>
        </w:numPr>
      </w:pPr>
      <w:r>
        <w:t xml:space="preserve">On the bottom of the plate, trace the edge of your fungal culture using a fine-tip sharpie (Figures 3 and 4).</w:t>
      </w:r>
    </w:p>
    <w:p>
      <w:pPr>
        <w:pStyle w:val="Compact"/>
        <w:numPr>
          <w:ilvl w:val="0"/>
          <w:numId w:val="1058"/>
        </w:numPr>
      </w:pPr>
      <w:r>
        <w:t xml:space="preserve">Measure, in mm, new growth at each of the eight edges along the lines (Figures 3 and 4)</w:t>
      </w:r>
    </w:p>
    <w:p>
      <w:pPr>
        <w:pStyle w:val="Compact"/>
        <w:numPr>
          <w:ilvl w:val="0"/>
          <w:numId w:val="105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59"/>
        </w:numPr>
      </w:pPr>
      <w:r>
        <w:t xml:space="preserve">Continue to measure average growth in mm 7 days from plating (Figure 4).</w:t>
      </w:r>
    </w:p>
    <w:p>
      <w:pPr>
        <w:pStyle w:val="Compact"/>
        <w:numPr>
          <w:ilvl w:val="0"/>
          <w:numId w:val="1059"/>
        </w:numPr>
      </w:pPr>
      <w:r>
        <w:t xml:space="preserve">Calculate the average growth rate (distance/time).</w:t>
      </w:r>
    </w:p>
    <w:p>
      <w:pPr>
        <w:pStyle w:val="Compact"/>
        <w:numPr>
          <w:ilvl w:val="0"/>
          <w:numId w:val="1059"/>
        </w:numPr>
      </w:pPr>
      <w:r>
        <w:t xml:space="preserve">Plot a graph of your fungal isolate(s) growth rate.</w:t>
      </w:r>
    </w:p>
    <w:p>
      <w:pPr>
        <w:pStyle w:val="Compact"/>
        <w:numPr>
          <w:ilvl w:val="0"/>
          <w:numId w:val="1059"/>
        </w:numPr>
      </w:pPr>
      <w:r>
        <w:t xml:space="preserve">Submit images and your data sheet and a graph of growth rates in your lab blog post for this project. Please take images to add to your blog post.</w:t>
      </w:r>
    </w:p>
    <w:bookmarkEnd w:id="81"/>
    <w:bookmarkEnd w:id="82"/>
    <w:bookmarkEnd w:id="83"/>
    <w:bookmarkEnd w:id="84"/>
    <w:bookmarkStart w:id="92" w:name="module-3-phenotypic-assays"/>
    <w:p>
      <w:pPr>
        <w:pStyle w:val="Heading1"/>
      </w:pPr>
      <w:r>
        <w:t xml:space="preserve">Module 3: Phenotypic Assays</w:t>
      </w:r>
    </w:p>
    <w:bookmarkStart w:id="86" w:name="module-3.1-phenotypic-assays"/>
    <w:p>
      <w:pPr>
        <w:pStyle w:val="Heading2"/>
      </w:pPr>
      <w:r>
        <w:t xml:space="preserve">Module 3.1 – Phenotypic Assays</w:t>
      </w:r>
    </w:p>
    <w:bookmarkStart w:id="8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5"/>
    <w:bookmarkEnd w:id="86"/>
    <w:bookmarkStart w:id="91" w:name="module-3.2-phenotypic-assays"/>
    <w:p>
      <w:pPr>
        <w:pStyle w:val="Heading2"/>
      </w:pPr>
      <w:r>
        <w:t xml:space="preserve">Module 3.2 – Phenotypic Assays</w:t>
      </w:r>
    </w:p>
    <w:bookmarkStart w:id="8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7"/>
    <w:bookmarkStart w:id="8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8"/>
    <w:bookmarkStart w:id="8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9"/>
    <w:bookmarkStart w:id="9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0"/>
    <w:bookmarkEnd w:id="91"/>
    <w:bookmarkEnd w:id="92"/>
    <w:bookmarkStart w:id="117" w:name="module-4-dna-sequencing"/>
    <w:p>
      <w:pPr>
        <w:pStyle w:val="Heading1"/>
      </w:pPr>
      <w:r>
        <w:t xml:space="preserve">Module 4: DNA Sequencing</w:t>
      </w:r>
    </w:p>
    <w:bookmarkStart w:id="94" w:name="X1f9141d941555e98bd81ab73b3543cfd3247ac1"/>
    <w:p>
      <w:pPr>
        <w:pStyle w:val="Heading2"/>
      </w:pPr>
      <w:r>
        <w:t xml:space="preserve">Module 4.1 – DNA Sequencing and Species Identification Instructor Resources</w:t>
      </w:r>
    </w:p>
    <w:bookmarkStart w:id="93"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3"/>
    <w:bookmarkEnd w:id="94"/>
    <w:bookmarkStart w:id="116" w:name="X84ab9f30f319591ed283388a48344a8ca0af377"/>
    <w:p>
      <w:pPr>
        <w:pStyle w:val="Heading2"/>
      </w:pPr>
      <w:r>
        <w:t xml:space="preserve">Module 4.2 – DNA Sequencing and Species Identification</w:t>
      </w:r>
    </w:p>
    <w:bookmarkStart w:id="95"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5"/>
    <w:bookmarkStart w:id="96" w:name="learning-goals-2"/>
    <w:p>
      <w:pPr>
        <w:pStyle w:val="Heading3"/>
      </w:pPr>
      <w:r>
        <w:t xml:space="preserve">Learning Goals</w:t>
      </w:r>
    </w:p>
    <w:p>
      <w:pPr>
        <w:pStyle w:val="Compact"/>
        <w:numPr>
          <w:ilvl w:val="0"/>
          <w:numId w:val="1060"/>
        </w:numPr>
      </w:pPr>
      <w:r>
        <w:t xml:space="preserve">Practice extracting fungal DNA</w:t>
      </w:r>
    </w:p>
    <w:p>
      <w:pPr>
        <w:pStyle w:val="Compact"/>
        <w:numPr>
          <w:ilvl w:val="0"/>
          <w:numId w:val="1060"/>
        </w:numPr>
      </w:pPr>
      <w:r>
        <w:t xml:space="preserve">Successfully PCR amplify fungal ITS</w:t>
      </w:r>
    </w:p>
    <w:p>
      <w:pPr>
        <w:pStyle w:val="Compact"/>
        <w:numPr>
          <w:ilvl w:val="0"/>
          <w:numId w:val="1060"/>
        </w:numPr>
      </w:pPr>
      <w:r>
        <w:t xml:space="preserve">Learn to BLAST ITS sequence to identify fungal isolates</w:t>
      </w:r>
    </w:p>
    <w:bookmarkEnd w:id="96"/>
    <w:bookmarkStart w:id="100" w:name="part-i-dna-extraction"/>
    <w:p>
      <w:pPr>
        <w:pStyle w:val="Heading3"/>
      </w:pPr>
      <w:r>
        <w:t xml:space="preserve">Part I: DNA Extraction</w:t>
      </w:r>
    </w:p>
    <w:bookmarkStart w:id="97"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7"/>
    <w:bookmarkStart w:id="98" w:name="materials"/>
    <w:p>
      <w:pPr>
        <w:pStyle w:val="Heading4"/>
      </w:pPr>
      <w:r>
        <w:t xml:space="preserve">Materials:</w:t>
      </w:r>
    </w:p>
    <w:p>
      <w:pPr>
        <w:pStyle w:val="Compact"/>
        <w:numPr>
          <w:ilvl w:val="0"/>
          <w:numId w:val="1061"/>
        </w:numPr>
      </w:pPr>
      <w:r>
        <w:t xml:space="preserve">Fungal isolates</w:t>
      </w:r>
    </w:p>
    <w:p>
      <w:pPr>
        <w:pStyle w:val="Compact"/>
        <w:numPr>
          <w:ilvl w:val="0"/>
          <w:numId w:val="1061"/>
        </w:numPr>
      </w:pPr>
      <w:r>
        <w:t xml:space="preserve">0.2 mL PCR tubes</w:t>
      </w:r>
    </w:p>
    <w:p>
      <w:pPr>
        <w:pStyle w:val="Compact"/>
        <w:numPr>
          <w:ilvl w:val="0"/>
          <w:numId w:val="1061"/>
        </w:numPr>
      </w:pPr>
      <w:r>
        <w:t xml:space="preserve">P20 micropipette with tips</w:t>
      </w:r>
    </w:p>
    <w:p>
      <w:pPr>
        <w:pStyle w:val="Compact"/>
        <w:numPr>
          <w:ilvl w:val="0"/>
          <w:numId w:val="1061"/>
        </w:numPr>
      </w:pPr>
      <w:r>
        <w:t xml:space="preserve">DNA extraction solution (ES)</w:t>
      </w:r>
    </w:p>
    <w:p>
      <w:pPr>
        <w:pStyle w:val="Compact"/>
        <w:numPr>
          <w:ilvl w:val="0"/>
          <w:numId w:val="1061"/>
        </w:numPr>
      </w:pPr>
      <w:r>
        <w:t xml:space="preserve">DNA dilution solution (DS)</w:t>
      </w:r>
    </w:p>
    <w:p>
      <w:pPr>
        <w:pStyle w:val="Compact"/>
        <w:numPr>
          <w:ilvl w:val="0"/>
          <w:numId w:val="1061"/>
        </w:numPr>
      </w:pPr>
      <w:r>
        <w:t xml:space="preserve">Ethanol jar</w:t>
      </w:r>
    </w:p>
    <w:p>
      <w:pPr>
        <w:pStyle w:val="Compact"/>
        <w:numPr>
          <w:ilvl w:val="0"/>
          <w:numId w:val="1061"/>
        </w:numPr>
      </w:pPr>
      <w:r>
        <w:t xml:space="preserve">Loop, pick, and forceps</w:t>
      </w:r>
    </w:p>
    <w:bookmarkEnd w:id="98"/>
    <w:bookmarkStart w:id="99" w:name="procedures"/>
    <w:p>
      <w:pPr>
        <w:pStyle w:val="Heading4"/>
      </w:pPr>
      <w:r>
        <w:t xml:space="preserve">Procedures:</w:t>
      </w:r>
    </w:p>
    <w:p>
      <w:pPr>
        <w:pStyle w:val="Compact"/>
        <w:numPr>
          <w:ilvl w:val="0"/>
          <w:numId w:val="1062"/>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2"/>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2"/>
        </w:numPr>
      </w:pPr>
      <w:r>
        <w:t xml:space="preserve">Close the snap-caps and incubate at 65 °C for 10 minutes followed by 95 °C for 10 minutes.</w:t>
      </w:r>
    </w:p>
    <w:p>
      <w:pPr>
        <w:pStyle w:val="Compact"/>
        <w:numPr>
          <w:ilvl w:val="0"/>
          <w:numId w:val="1062"/>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9"/>
    <w:bookmarkEnd w:id="100"/>
    <w:bookmarkStart w:id="105" w:name="part-ii-polymerase-chain-reaction-pcr"/>
    <w:p>
      <w:pPr>
        <w:pStyle w:val="Heading3"/>
      </w:pPr>
      <w:r>
        <w:t xml:space="preserve">Part II: Polymerase Chain Reaction (PCR)</w:t>
      </w:r>
    </w:p>
    <w:bookmarkStart w:id="101"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1"/>
    <w:bookmarkStart w:id="102" w:name="materials-1"/>
    <w:p>
      <w:pPr>
        <w:pStyle w:val="Heading4"/>
      </w:pPr>
      <w:r>
        <w:t xml:space="preserve">Materials:</w:t>
      </w:r>
    </w:p>
    <w:p>
      <w:pPr>
        <w:pStyle w:val="Compact"/>
        <w:numPr>
          <w:ilvl w:val="0"/>
          <w:numId w:val="1063"/>
        </w:numPr>
      </w:pPr>
      <w:r>
        <w:t xml:space="preserve">DNA extractions with DS</w:t>
      </w:r>
    </w:p>
    <w:p>
      <w:pPr>
        <w:pStyle w:val="Compact"/>
        <w:numPr>
          <w:ilvl w:val="0"/>
          <w:numId w:val="1063"/>
        </w:numPr>
      </w:pPr>
      <w:r>
        <w:t xml:space="preserve">Control DNA sample</w:t>
      </w:r>
    </w:p>
    <w:p>
      <w:pPr>
        <w:pStyle w:val="Compact"/>
        <w:numPr>
          <w:ilvl w:val="0"/>
          <w:numId w:val="1063"/>
        </w:numPr>
      </w:pPr>
      <w:r>
        <w:t xml:space="preserve">0.2 mL PCR tubes</w:t>
      </w:r>
    </w:p>
    <w:p>
      <w:pPr>
        <w:pStyle w:val="Compact"/>
        <w:numPr>
          <w:ilvl w:val="0"/>
          <w:numId w:val="1063"/>
        </w:numPr>
      </w:pPr>
      <w:r>
        <w:t xml:space="preserve">P10 micropipette with tips</w:t>
      </w:r>
    </w:p>
    <w:p>
      <w:pPr>
        <w:pStyle w:val="Compact"/>
        <w:numPr>
          <w:ilvl w:val="0"/>
          <w:numId w:val="1063"/>
        </w:numPr>
      </w:pPr>
      <w:r>
        <w:t xml:space="preserve">P20 micropipette with tips</w:t>
      </w:r>
    </w:p>
    <w:p>
      <w:pPr>
        <w:pStyle w:val="Compact"/>
        <w:numPr>
          <w:ilvl w:val="0"/>
          <w:numId w:val="1063"/>
        </w:numPr>
      </w:pPr>
      <w:r>
        <w:t xml:space="preserve">P200 micropipette with tips</w:t>
      </w:r>
    </w:p>
    <w:p>
      <w:pPr>
        <w:pStyle w:val="Compact"/>
        <w:numPr>
          <w:ilvl w:val="0"/>
          <w:numId w:val="1063"/>
        </w:numPr>
      </w:pPr>
      <w:r>
        <w:t xml:space="preserve">P1000 micropipette with tips</w:t>
      </w:r>
    </w:p>
    <w:p>
      <w:pPr>
        <w:pStyle w:val="Compact"/>
        <w:numPr>
          <w:ilvl w:val="0"/>
          <w:numId w:val="1063"/>
        </w:numPr>
      </w:pPr>
      <w:r>
        <w:t xml:space="preserve">Master mix containing buffer (MgCl2, dNTPs, primers, polymerase enzyme)</w:t>
      </w:r>
    </w:p>
    <w:p>
      <w:pPr>
        <w:pStyle w:val="Compact"/>
        <w:numPr>
          <w:ilvl w:val="0"/>
          <w:numId w:val="1063"/>
        </w:numPr>
      </w:pPr>
      <w:r>
        <w:t xml:space="preserve">PCR tube centrifuge</w:t>
      </w:r>
    </w:p>
    <w:p>
      <w:pPr>
        <w:pStyle w:val="Compact"/>
        <w:numPr>
          <w:ilvl w:val="0"/>
          <w:numId w:val="1063"/>
        </w:numPr>
      </w:pPr>
      <w:r>
        <w:t xml:space="preserve">Thermal cycler</w:t>
      </w:r>
    </w:p>
    <w:bookmarkEnd w:id="102"/>
    <w:bookmarkStart w:id="103"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3"/>
    <w:bookmarkStart w:id="104" w:name="X7a9437114b66a535474c7c1f8d36e2e2fb635f1"/>
    <w:p>
      <w:pPr>
        <w:pStyle w:val="Heading4"/>
      </w:pPr>
      <w:r>
        <w:t xml:space="preserve">PCR Troubleshooting after Gel Electrophoresis</w:t>
      </w:r>
    </w:p>
    <w:p>
      <w:pPr>
        <w:pStyle w:val="Compact"/>
        <w:numPr>
          <w:ilvl w:val="0"/>
          <w:numId w:val="1064"/>
        </w:numPr>
      </w:pPr>
      <w:r>
        <w:t xml:space="preserve">No amplification on any samples: check primers, polymerase, and other reagents.</w:t>
      </w:r>
    </w:p>
    <w:p>
      <w:pPr>
        <w:pStyle w:val="Compact"/>
        <w:numPr>
          <w:ilvl w:val="0"/>
          <w:numId w:val="1064"/>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4"/>
        </w:numPr>
      </w:pPr>
      <w:r>
        <w:t xml:space="preserve">Weak or multiple bands, smear: Mispriming from the incorrect program. Check primer concentration: an imbalance of primers can lead to multiple bands.</w:t>
      </w:r>
    </w:p>
    <w:bookmarkEnd w:id="104"/>
    <w:bookmarkEnd w:id="105"/>
    <w:bookmarkStart w:id="110"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6"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06"/>
    <w:bookmarkStart w:id="107" w:name="materials-needed"/>
    <w:p>
      <w:pPr>
        <w:pStyle w:val="Heading4"/>
      </w:pPr>
      <w:r>
        <w:t xml:space="preserve">Materials needed:</w:t>
      </w:r>
    </w:p>
    <w:p>
      <w:pPr>
        <w:pStyle w:val="Compact"/>
        <w:numPr>
          <w:ilvl w:val="0"/>
          <w:numId w:val="1065"/>
        </w:numPr>
      </w:pPr>
      <w:r>
        <w:t xml:space="preserve">Agarose</w:t>
      </w:r>
    </w:p>
    <w:p>
      <w:pPr>
        <w:pStyle w:val="Compact"/>
        <w:numPr>
          <w:ilvl w:val="0"/>
          <w:numId w:val="1065"/>
        </w:numPr>
      </w:pPr>
      <w:r>
        <w:t xml:space="preserve">1X TAE (or TE, TBE, or SB) buffer to make gels and running buffer</w:t>
      </w:r>
      <w:r>
        <w:t xml:space="preserve"> </w:t>
      </w:r>
      <w:r>
        <w:t xml:space="preserve">Note: Use the same buffer for making and running the gel</w:t>
      </w:r>
    </w:p>
    <w:p>
      <w:pPr>
        <w:pStyle w:val="Compact"/>
        <w:numPr>
          <w:ilvl w:val="0"/>
          <w:numId w:val="1065"/>
        </w:numPr>
      </w:pPr>
      <w:r>
        <w:t xml:space="preserve">SYBR Safe to visualize DNA</w:t>
      </w:r>
    </w:p>
    <w:p>
      <w:pPr>
        <w:pStyle w:val="Compact"/>
        <w:numPr>
          <w:ilvl w:val="0"/>
          <w:numId w:val="1065"/>
        </w:numPr>
      </w:pPr>
      <w:r>
        <w:t xml:space="preserve">250 mL Erlenmeyer Flask</w:t>
      </w:r>
    </w:p>
    <w:p>
      <w:pPr>
        <w:pStyle w:val="Compact"/>
        <w:numPr>
          <w:ilvl w:val="0"/>
          <w:numId w:val="1065"/>
        </w:numPr>
      </w:pPr>
      <w:r>
        <w:t xml:space="preserve">P20 micropipette with tips</w:t>
      </w:r>
    </w:p>
    <w:p>
      <w:pPr>
        <w:pStyle w:val="Compact"/>
        <w:numPr>
          <w:ilvl w:val="0"/>
          <w:numId w:val="1065"/>
        </w:numPr>
      </w:pPr>
      <w:r>
        <w:t xml:space="preserve">PCR products</w:t>
      </w:r>
    </w:p>
    <w:p>
      <w:pPr>
        <w:pStyle w:val="Compact"/>
        <w:numPr>
          <w:ilvl w:val="0"/>
          <w:numId w:val="1065"/>
        </w:numPr>
      </w:pPr>
      <w:r>
        <w:t xml:space="preserve">100 bp Ladder</w:t>
      </w:r>
    </w:p>
    <w:p>
      <w:pPr>
        <w:pStyle w:val="Compact"/>
        <w:numPr>
          <w:ilvl w:val="0"/>
          <w:numId w:val="1065"/>
        </w:numPr>
      </w:pPr>
      <w:r>
        <w:t xml:space="preserve">Digital Balance</w:t>
      </w:r>
    </w:p>
    <w:p>
      <w:pPr>
        <w:pStyle w:val="Compact"/>
        <w:numPr>
          <w:ilvl w:val="0"/>
          <w:numId w:val="1065"/>
        </w:numPr>
      </w:pPr>
      <w:r>
        <w:t xml:space="preserve">Weigh Boats</w:t>
      </w:r>
    </w:p>
    <w:p>
      <w:pPr>
        <w:pStyle w:val="Compact"/>
        <w:numPr>
          <w:ilvl w:val="0"/>
          <w:numId w:val="1065"/>
        </w:numPr>
      </w:pPr>
      <w:r>
        <w:t xml:space="preserve">Gel rigs</w:t>
      </w:r>
    </w:p>
    <w:p>
      <w:pPr>
        <w:pStyle w:val="Compact"/>
        <w:numPr>
          <w:ilvl w:val="0"/>
          <w:numId w:val="1065"/>
        </w:numPr>
      </w:pPr>
      <w:r>
        <w:t xml:space="preserve">Gel comb</w:t>
      </w:r>
    </w:p>
    <w:p>
      <w:pPr>
        <w:pStyle w:val="Compact"/>
        <w:numPr>
          <w:ilvl w:val="0"/>
          <w:numId w:val="1065"/>
        </w:numPr>
      </w:pPr>
      <w:r>
        <w:t xml:space="preserve">Power source</w:t>
      </w:r>
    </w:p>
    <w:bookmarkEnd w:id="107"/>
    <w:bookmarkStart w:id="108" w:name="X27e3611931edb00682f71c58d3e85dfeecf25c4"/>
    <w:p>
      <w:pPr>
        <w:pStyle w:val="Heading4"/>
      </w:pPr>
      <w:r>
        <w:t xml:space="preserve">Gel Preparation Protocol (Prep gel at least 20 minutes prior to use)</w:t>
      </w:r>
    </w:p>
    <w:p>
      <w:pPr>
        <w:pStyle w:val="Compact"/>
        <w:numPr>
          <w:ilvl w:val="0"/>
          <w:numId w:val="1066"/>
        </w:numPr>
      </w:pPr>
      <w:r>
        <w:t xml:space="preserve">Measure 100 mL of 1x TE buffer in an Erlenmeyer flask.</w:t>
      </w:r>
    </w:p>
    <w:p>
      <w:pPr>
        <w:pStyle w:val="Compact"/>
        <w:numPr>
          <w:ilvl w:val="0"/>
          <w:numId w:val="1066"/>
        </w:numPr>
      </w:pPr>
      <w:r>
        <w:t xml:space="preserve">Add 1 gram of agarose to the buffer.</w:t>
      </w:r>
    </w:p>
    <w:p>
      <w:pPr>
        <w:pStyle w:val="Compact"/>
        <w:numPr>
          <w:ilvl w:val="0"/>
          <w:numId w:val="1066"/>
        </w:numPr>
      </w:pPr>
      <w:r>
        <w:t xml:space="preserve">Microwave for 30-second intervals.</w:t>
      </w:r>
    </w:p>
    <w:p>
      <w:pPr>
        <w:pStyle w:val="Compact"/>
        <w:numPr>
          <w:ilvl w:val="0"/>
          <w:numId w:val="1066"/>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66"/>
        </w:numPr>
      </w:pPr>
      <w:r>
        <w:t xml:space="preserve">Once all the agarose is melted, let sit on the counter until it cools enough to handle. Don’t let it cool too long as it will solidify.</w:t>
      </w:r>
    </w:p>
    <w:p>
      <w:pPr>
        <w:pStyle w:val="Compact"/>
        <w:numPr>
          <w:ilvl w:val="0"/>
          <w:numId w:val="1066"/>
        </w:numPr>
      </w:pPr>
      <w:r>
        <w:t xml:space="preserve">Set up the agarose mold and add a comb.</w:t>
      </w:r>
    </w:p>
    <w:p>
      <w:pPr>
        <w:pStyle w:val="Compact"/>
        <w:numPr>
          <w:ilvl w:val="0"/>
          <w:numId w:val="1066"/>
        </w:numPr>
      </w:pPr>
      <w:r>
        <w:t xml:space="preserve">Once the agarose has cooled to the touch. Pour into the mold. Make sure the agarose is approximately 1/3 to 1/2 way up the combs.</w:t>
      </w:r>
    </w:p>
    <w:p>
      <w:pPr>
        <w:pStyle w:val="Compact"/>
        <w:numPr>
          <w:ilvl w:val="0"/>
          <w:numId w:val="1066"/>
        </w:numPr>
      </w:pPr>
      <w:r>
        <w:t xml:space="preserve">If bubbles are present, use a micropipette tip to draw them to the sides of the gel.</w:t>
      </w:r>
    </w:p>
    <w:p>
      <w:pPr>
        <w:pStyle w:val="Compact"/>
        <w:numPr>
          <w:ilvl w:val="0"/>
          <w:numId w:val="1066"/>
        </w:numPr>
      </w:pPr>
      <w:r>
        <w:t xml:space="preserve">Allow approximately 20 minutes for the gel to solidify and become somewhat translucent.</w:t>
      </w:r>
    </w:p>
    <w:p>
      <w:pPr>
        <w:pStyle w:val="Compact"/>
        <w:numPr>
          <w:ilvl w:val="0"/>
          <w:numId w:val="1066"/>
        </w:numPr>
      </w:pPr>
      <w:r>
        <w:t xml:space="preserve">Gently remove the comb.</w:t>
      </w:r>
    </w:p>
    <w:p>
      <w:pPr>
        <w:pStyle w:val="Compact"/>
        <w:numPr>
          <w:ilvl w:val="0"/>
          <w:numId w:val="1066"/>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66"/>
        </w:numPr>
      </w:pPr>
      <w:r>
        <w:t xml:space="preserve">Gels can be wrapped in saran wrap and stored for approximately 1 week.</w:t>
      </w:r>
    </w:p>
    <w:bookmarkEnd w:id="108"/>
    <w:bookmarkStart w:id="109" w:name="gel-loading"/>
    <w:p>
      <w:pPr>
        <w:pStyle w:val="Heading4"/>
      </w:pPr>
      <w:r>
        <w:t xml:space="preserve">Gel Loading:</w:t>
      </w:r>
    </w:p>
    <w:p>
      <w:pPr>
        <w:pStyle w:val="Compact"/>
        <w:numPr>
          <w:ilvl w:val="0"/>
          <w:numId w:val="1067"/>
        </w:numPr>
      </w:pPr>
      <w:r>
        <w:t xml:space="preserve">Fill the gel rig with 1X TAE (or equivalent) buffer until it covers the surface of the gel.</w:t>
      </w:r>
    </w:p>
    <w:p>
      <w:pPr>
        <w:pStyle w:val="Compact"/>
        <w:numPr>
          <w:ilvl w:val="0"/>
          <w:numId w:val="1067"/>
        </w:numPr>
      </w:pPr>
      <w:r>
        <w:t xml:space="preserve">Make a map of your samples in your gel.</w:t>
      </w:r>
    </w:p>
    <w:p>
      <w:pPr>
        <w:pStyle w:val="Compact"/>
        <w:numPr>
          <w:ilvl w:val="0"/>
          <w:numId w:val="1067"/>
        </w:numPr>
      </w:pPr>
      <w:r>
        <w:t xml:space="preserve">Load Gel</w:t>
      </w:r>
    </w:p>
    <w:p>
      <w:pPr>
        <w:pStyle w:val="Compact"/>
        <w:numPr>
          <w:ilvl w:val="1"/>
          <w:numId w:val="1068"/>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68"/>
        </w:numPr>
      </w:pPr>
      <w:r>
        <w:t xml:space="preserve">PCR product with loading dye: Draw up 5 μL of PCR product using micropipette.</w:t>
      </w:r>
    </w:p>
    <w:p>
      <w:pPr>
        <w:pStyle w:val="Compact"/>
        <w:numPr>
          <w:ilvl w:val="0"/>
          <w:numId w:val="1067"/>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67"/>
        </w:numPr>
      </w:pPr>
      <w:r>
        <w:t xml:space="preserve">Be sure to reserve one well per row for a standardized DNA ladder.</w:t>
      </w:r>
    </w:p>
    <w:p>
      <w:pPr>
        <w:pStyle w:val="Compact"/>
        <w:numPr>
          <w:ilvl w:val="0"/>
          <w:numId w:val="1067"/>
        </w:numPr>
      </w:pPr>
      <w:r>
        <w:t xml:space="preserve">Run at 300 volts for about 15 minutes</w:t>
      </w:r>
    </w:p>
    <w:p>
      <w:pPr>
        <w:pStyle w:val="Compact"/>
        <w:numPr>
          <w:ilvl w:val="1"/>
          <w:numId w:val="1069"/>
        </w:numPr>
      </w:pPr>
      <w:r>
        <w:t xml:space="preserve">Keep an eye on the migration of your PCR product across the gel to ensure it doesn’t run off the other end of the gel.</w:t>
      </w:r>
    </w:p>
    <w:p>
      <w:pPr>
        <w:pStyle w:val="Compact"/>
        <w:numPr>
          <w:ilvl w:val="0"/>
          <w:numId w:val="1067"/>
        </w:numPr>
      </w:pPr>
      <w:r>
        <w:t xml:space="preserve">Visualize with UV light.</w:t>
      </w:r>
    </w:p>
    <w:bookmarkEnd w:id="109"/>
    <w:bookmarkEnd w:id="110"/>
    <w:bookmarkStart w:id="111"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1"/>
    <w:bookmarkStart w:id="112"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2"/>
    <w:bookmarkStart w:id="114" w:name="X119230681215c553508703bd9b858aabc863314"/>
    <w:p>
      <w:pPr>
        <w:pStyle w:val="Heading3"/>
      </w:pPr>
      <w:r>
        <w:t xml:space="preserve">Part VI: Identifying Species using DNA Barcode</w:t>
      </w:r>
    </w:p>
    <w:bookmarkStart w:id="113"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70"/>
        </w:numPr>
      </w:pPr>
      <w:r>
        <w:t xml:space="preserve">Go to NCBI: https://www.ncbi.nlm.nih.gov/.</w:t>
      </w:r>
    </w:p>
    <w:p>
      <w:pPr>
        <w:pStyle w:val="Compact"/>
        <w:numPr>
          <w:ilvl w:val="0"/>
          <w:numId w:val="1070"/>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71"/>
        </w:numPr>
      </w:pPr>
      <w:r>
        <w:t xml:space="preserve">BLAST = Basic Local Alignment Search Tool</w:t>
      </w:r>
    </w:p>
    <w:p>
      <w:pPr>
        <w:pStyle w:val="Compact"/>
        <w:numPr>
          <w:ilvl w:val="0"/>
          <w:numId w:val="1070"/>
        </w:numPr>
      </w:pPr>
      <w:r>
        <w:t xml:space="preserve">Click on the Nucleotide BLAST image.</w:t>
      </w:r>
    </w:p>
    <w:p>
      <w:pPr>
        <w:pStyle w:val="Compact"/>
        <w:numPr>
          <w:ilvl w:val="1"/>
          <w:numId w:val="1072"/>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70"/>
        </w:numPr>
      </w:pPr>
      <w:r>
        <w:t xml:space="preserve">Paste your sequence data into the big space under</w:t>
      </w:r>
      <w:r>
        <w:t xml:space="preserve"> </w:t>
      </w:r>
      <w:r>
        <w:t xml:space="preserve">“Enter Query Sequence”</w:t>
      </w:r>
      <w:r>
        <w:t xml:space="preserve">.</w:t>
      </w:r>
    </w:p>
    <w:p>
      <w:pPr>
        <w:pStyle w:val="Compact"/>
        <w:numPr>
          <w:ilvl w:val="1"/>
          <w:numId w:val="1073"/>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70"/>
        </w:numPr>
      </w:pPr>
      <w:r>
        <w:t xml:space="preserve">Under Choose Search Set you can keep it under</w:t>
      </w:r>
      <w:r>
        <w:t xml:space="preserve"> </w:t>
      </w:r>
      <w:r>
        <w:t xml:space="preserve">“Standard databases (nr etc.)”</w:t>
      </w:r>
      <w:r>
        <w:t xml:space="preserve">.</w:t>
      </w:r>
    </w:p>
    <w:p>
      <w:pPr>
        <w:pStyle w:val="Compact"/>
        <w:numPr>
          <w:ilvl w:val="1"/>
          <w:numId w:val="1074"/>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70"/>
        </w:numPr>
      </w:pPr>
      <w:r>
        <w:t xml:space="preserve">Select the</w:t>
      </w:r>
      <w:r>
        <w:t xml:space="preserve"> </w:t>
      </w:r>
      <w:r>
        <w:t xml:space="preserve">“BLAST”</w:t>
      </w:r>
      <w:r>
        <w:t xml:space="preserve"> </w:t>
      </w:r>
      <w:r>
        <w:t xml:space="preserve">button at the end.</w:t>
      </w:r>
    </w:p>
    <w:p>
      <w:pPr>
        <w:pStyle w:val="Compact"/>
        <w:numPr>
          <w:ilvl w:val="1"/>
          <w:numId w:val="1075"/>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5"/>
        </w:numPr>
      </w:pPr>
      <w:r>
        <w:t xml:space="preserve">Percent Identity = What percent of your sequence (query sequence) is identical to the matched sequence.</w:t>
      </w:r>
    </w:p>
    <w:p>
      <w:pPr>
        <w:pStyle w:val="Compact"/>
        <w:numPr>
          <w:ilvl w:val="1"/>
          <w:numId w:val="1075"/>
        </w:numPr>
      </w:pPr>
      <w:r>
        <w:t xml:space="preserve">Query Cover = How much of the query sequence covers the matched sequence.</w:t>
      </w:r>
    </w:p>
    <w:p>
      <w:pPr>
        <w:pStyle w:val="Compact"/>
        <w:numPr>
          <w:ilvl w:val="1"/>
          <w:numId w:val="1075"/>
        </w:numPr>
      </w:pPr>
      <w:r>
        <w:t xml:space="preserve">E value = The probability that this match occurred by chance in the provided database.</w:t>
      </w:r>
    </w:p>
    <w:p>
      <w:pPr>
        <w:pStyle w:val="Compact"/>
        <w:numPr>
          <w:ilvl w:val="0"/>
          <w:numId w:val="1070"/>
        </w:numPr>
      </w:pPr>
      <w:r>
        <w:t xml:space="preserve">Review the results.</w:t>
      </w:r>
    </w:p>
    <w:p>
      <w:pPr>
        <w:pStyle w:val="Compact"/>
        <w:numPr>
          <w:ilvl w:val="1"/>
          <w:numId w:val="1076"/>
        </w:numPr>
      </w:pPr>
      <w:r>
        <w:t xml:space="preserve">What is the</w:t>
      </w:r>
      <w:r>
        <w:t xml:space="preserve"> </w:t>
      </w:r>
      <w:r>
        <w:t xml:space="preserve">“top hit”</w:t>
      </w:r>
      <w:r>
        <w:t xml:space="preserve">?</w:t>
      </w:r>
    </w:p>
    <w:p>
      <w:pPr>
        <w:pStyle w:val="Compact"/>
        <w:numPr>
          <w:ilvl w:val="1"/>
          <w:numId w:val="1076"/>
        </w:numPr>
      </w:pPr>
      <w:r>
        <w:t xml:space="preserve">How much support is provided for this hit given the current database used?</w:t>
      </w:r>
    </w:p>
    <w:p>
      <w:pPr>
        <w:pStyle w:val="Compact"/>
        <w:numPr>
          <w:ilvl w:val="1"/>
          <w:numId w:val="1076"/>
        </w:numPr>
      </w:pPr>
      <w:r>
        <w:t xml:space="preserve">What is the taxonomic ID of this result? What kind of fungi are these?</w:t>
      </w:r>
    </w:p>
    <w:p>
      <w:pPr>
        <w:pStyle w:val="Compact"/>
        <w:numPr>
          <w:ilvl w:val="1"/>
          <w:numId w:val="1076"/>
        </w:numPr>
      </w:pPr>
      <w:r>
        <w:t xml:space="preserve">You may google the names and search under Wikipedia to get a better understanding of these organisms and what is known.</w:t>
      </w:r>
    </w:p>
    <w:bookmarkEnd w:id="113"/>
    <w:bookmarkEnd w:id="114"/>
    <w:bookmarkStart w:id="115"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15"/>
    <w:bookmarkEnd w:id="116"/>
    <w:bookmarkEnd w:id="117"/>
    <w:bookmarkStart w:id="128" w:name="module-5-tissue-preparation"/>
    <w:p>
      <w:pPr>
        <w:pStyle w:val="Heading1"/>
      </w:pPr>
      <w:r>
        <w:t xml:space="preserve">Module 5: Tissue Preparation</w:t>
      </w:r>
    </w:p>
    <w:bookmarkStart w:id="119" w:name="X0d17ba572a281133a22d073b368b9fbe73454ca"/>
    <w:p>
      <w:pPr>
        <w:pStyle w:val="Heading2"/>
      </w:pPr>
      <w:r>
        <w:t xml:space="preserve">Module 5.1 – Tissue Preparation for Genome Sequencing</w:t>
      </w:r>
    </w:p>
    <w:bookmarkStart w:id="118"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8"/>
    <w:bookmarkEnd w:id="119"/>
    <w:bookmarkStart w:id="127" w:name="Xc8205bcafd44c2f0f2777871d0b670e5430cb18"/>
    <w:p>
      <w:pPr>
        <w:pStyle w:val="Heading2"/>
      </w:pPr>
      <w:r>
        <w:t xml:space="preserve">Module 5.2 – Tissue Preparation for Genome Sequencing</w:t>
      </w:r>
    </w:p>
    <w:bookmarkStart w:id="120"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20"/>
    <w:bookmarkStart w:id="121"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1"/>
    <w:bookmarkStart w:id="122" w:name="sub-culturing-on-cellophane"/>
    <w:p>
      <w:pPr>
        <w:pStyle w:val="Heading3"/>
      </w:pPr>
      <w:r>
        <w:t xml:space="preserve">Sub-Culturing on Cellophane</w:t>
      </w:r>
    </w:p>
    <w:p>
      <w:pPr>
        <w:pStyle w:val="Compact"/>
        <w:numPr>
          <w:ilvl w:val="0"/>
          <w:numId w:val="1077"/>
        </w:numPr>
      </w:pPr>
      <w:r>
        <w:t xml:space="preserve">Clean your workspace as described previously. Work under flames or in a laminar flow hood if available.</w:t>
      </w:r>
    </w:p>
    <w:p>
      <w:pPr>
        <w:pStyle w:val="Compact"/>
        <w:numPr>
          <w:ilvl w:val="0"/>
          <w:numId w:val="1077"/>
        </w:numPr>
      </w:pPr>
      <w:r>
        <w:t xml:space="preserve">Label your Cellophane lined Petri Dish appropriately.</w:t>
      </w:r>
    </w:p>
    <w:p>
      <w:pPr>
        <w:pStyle w:val="Compact"/>
        <w:numPr>
          <w:ilvl w:val="0"/>
          <w:numId w:val="1077"/>
        </w:numPr>
      </w:pPr>
      <w:r>
        <w:t xml:space="preserve">Sterilize implements (forceps and scalpel).</w:t>
      </w:r>
    </w:p>
    <w:p>
      <w:pPr>
        <w:pStyle w:val="Compact"/>
        <w:numPr>
          <w:ilvl w:val="0"/>
          <w:numId w:val="1077"/>
        </w:numPr>
      </w:pPr>
      <w:r>
        <w:t xml:space="preserve">Scrape mycelia from PDA plates that you have been growing. Be sure to avoid transferring any media as much as possible.</w:t>
      </w:r>
    </w:p>
    <w:p>
      <w:pPr>
        <w:pStyle w:val="Compact"/>
        <w:numPr>
          <w:ilvl w:val="1"/>
          <w:numId w:val="1078"/>
        </w:numPr>
      </w:pPr>
      <w:r>
        <w:t xml:space="preserve">Leaving the assay plate on the bench space, remove the parafilm of the inoculation plate and slightly crack open the lid using your non-dominant hand.</w:t>
      </w:r>
    </w:p>
    <w:p>
      <w:pPr>
        <w:pStyle w:val="Compact"/>
        <w:numPr>
          <w:ilvl w:val="1"/>
          <w:numId w:val="1078"/>
        </w:numPr>
      </w:pPr>
      <w:r>
        <w:t xml:space="preserve">Insert your forceps into the crack of the Petri dish and attempt to sample some mycelium.</w:t>
      </w:r>
    </w:p>
    <w:p>
      <w:pPr>
        <w:pStyle w:val="Compact"/>
        <w:numPr>
          <w:ilvl w:val="2"/>
          <w:numId w:val="1079"/>
        </w:numPr>
      </w:pPr>
      <w:r>
        <w:t xml:space="preserve">If you are unable to remove mycelia with your forceps, use your scalpel to remove mycelia with the least amount of agar possible.</w:t>
      </w:r>
    </w:p>
    <w:p>
      <w:pPr>
        <w:pStyle w:val="Compact"/>
        <w:numPr>
          <w:ilvl w:val="0"/>
          <w:numId w:val="1077"/>
        </w:numPr>
      </w:pPr>
      <w:r>
        <w:t xml:space="preserve">Transfer the mycelia to a Petri dish with cellophane.</w:t>
      </w:r>
    </w:p>
    <w:p>
      <w:pPr>
        <w:pStyle w:val="Compact"/>
        <w:numPr>
          <w:ilvl w:val="1"/>
          <w:numId w:val="1080"/>
        </w:numPr>
      </w:pPr>
      <w:r>
        <w:t xml:space="preserve">Carefully remove the chunk of agar. Replace the lid. Slide the sample plate away. Slide a cellophane plate towards you.</w:t>
      </w:r>
    </w:p>
    <w:p>
      <w:pPr>
        <w:pStyle w:val="Compact"/>
        <w:numPr>
          <w:ilvl w:val="1"/>
          <w:numId w:val="1080"/>
        </w:numPr>
      </w:pPr>
      <w:r>
        <w:t xml:space="preserve">Crack open the cellophane plate using your non-dominant hand, and carefully insert the forceps with the agar and mycelium.</w:t>
      </w:r>
    </w:p>
    <w:p>
      <w:pPr>
        <w:pStyle w:val="Compact"/>
        <w:numPr>
          <w:ilvl w:val="1"/>
          <w:numId w:val="1080"/>
        </w:numPr>
      </w:pPr>
      <w:r>
        <w:t xml:space="preserve">To deposit the agar onto the PDA agar, submerge the forceps into the agar on the plate. This should force the agar and mycelium from your forceps, onto the PDA agar.</w:t>
      </w:r>
    </w:p>
    <w:p>
      <w:pPr>
        <w:pStyle w:val="Compact"/>
        <w:numPr>
          <w:ilvl w:val="1"/>
          <w:numId w:val="1080"/>
        </w:numPr>
      </w:pPr>
      <w:r>
        <w:t xml:space="preserve">Pull your forceps straight out to leave the agar and mycelium on the plate.</w:t>
      </w:r>
    </w:p>
    <w:p>
      <w:pPr>
        <w:pStyle w:val="Compact"/>
        <w:numPr>
          <w:ilvl w:val="1"/>
          <w:numId w:val="1080"/>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77"/>
        </w:numPr>
      </w:pPr>
      <w:r>
        <w:t xml:space="preserve">Seal Petri dish with parafilm.</w:t>
      </w:r>
    </w:p>
    <w:p>
      <w:pPr>
        <w:pStyle w:val="Compact"/>
        <w:numPr>
          <w:ilvl w:val="0"/>
          <w:numId w:val="1077"/>
        </w:numPr>
      </w:pPr>
      <w:r>
        <w:t xml:space="preserve">Allow fungi to fill the cellophane.</w:t>
      </w:r>
    </w:p>
    <w:p>
      <w:pPr>
        <w:pStyle w:val="Compact"/>
        <w:numPr>
          <w:ilvl w:val="0"/>
          <w:numId w:val="1077"/>
        </w:numPr>
      </w:pPr>
      <w:r>
        <w:t xml:space="preserve">Repeat this process with all fungal isolates that will be sent for genome sequencing.</w:t>
      </w:r>
    </w:p>
    <w:bookmarkEnd w:id="122"/>
    <w:bookmarkStart w:id="123"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3"/>
    <w:bookmarkStart w:id="124" w:name="student-lab-supplies-1"/>
    <w:p>
      <w:pPr>
        <w:pStyle w:val="Heading3"/>
      </w:pPr>
      <w:r>
        <w:t xml:space="preserve">Student Lab Supplies</w:t>
      </w:r>
    </w:p>
    <w:p>
      <w:pPr>
        <w:pStyle w:val="Compact"/>
        <w:numPr>
          <w:ilvl w:val="0"/>
          <w:numId w:val="1081"/>
        </w:numPr>
      </w:pPr>
      <w:r>
        <w:t xml:space="preserve">1.5 ml Eppendorf tubes</w:t>
      </w:r>
    </w:p>
    <w:p>
      <w:pPr>
        <w:pStyle w:val="Compact"/>
        <w:numPr>
          <w:ilvl w:val="0"/>
          <w:numId w:val="1081"/>
        </w:numPr>
      </w:pPr>
      <w:r>
        <w:t xml:space="preserve">Sharpie</w:t>
      </w:r>
    </w:p>
    <w:p>
      <w:pPr>
        <w:pStyle w:val="Compact"/>
        <w:numPr>
          <w:ilvl w:val="0"/>
          <w:numId w:val="1081"/>
        </w:numPr>
      </w:pPr>
      <w:r>
        <w:t xml:space="preserve">Scalpel</w:t>
      </w:r>
    </w:p>
    <w:p>
      <w:pPr>
        <w:pStyle w:val="Compact"/>
        <w:numPr>
          <w:ilvl w:val="0"/>
          <w:numId w:val="1081"/>
        </w:numPr>
      </w:pPr>
      <w:r>
        <w:t xml:space="preserve">Forceps</w:t>
      </w:r>
    </w:p>
    <w:p>
      <w:pPr>
        <w:pStyle w:val="Compact"/>
        <w:numPr>
          <w:ilvl w:val="0"/>
          <w:numId w:val="1081"/>
        </w:numPr>
      </w:pPr>
      <w:r>
        <w:t xml:space="preserve">Silica</w:t>
      </w:r>
    </w:p>
    <w:p>
      <w:pPr>
        <w:pStyle w:val="Compact"/>
        <w:numPr>
          <w:ilvl w:val="0"/>
          <w:numId w:val="1081"/>
        </w:numPr>
      </w:pPr>
      <w:r>
        <w:t xml:space="preserve">Probe</w:t>
      </w:r>
    </w:p>
    <w:bookmarkEnd w:id="124"/>
    <w:bookmarkStart w:id="125"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5"/>
    <w:bookmarkStart w:id="126" w:name="instructions-2"/>
    <w:p>
      <w:pPr>
        <w:pStyle w:val="Heading3"/>
      </w:pPr>
      <w:r>
        <w:t xml:space="preserve">Instructions</w:t>
      </w:r>
    </w:p>
    <w:p>
      <w:pPr>
        <w:pStyle w:val="Compact"/>
        <w:numPr>
          <w:ilvl w:val="0"/>
          <w:numId w:val="1082"/>
        </w:numPr>
      </w:pPr>
      <w:r>
        <w:t xml:space="preserve">You will be harvesting fungal tissue from the cellophane PDA petri dishes.</w:t>
      </w:r>
    </w:p>
    <w:p>
      <w:pPr>
        <w:pStyle w:val="Compact"/>
        <w:numPr>
          <w:ilvl w:val="0"/>
          <w:numId w:val="1082"/>
        </w:numPr>
      </w:pPr>
      <w:r>
        <w:t xml:space="preserve">Use a laminar flow hood or set up flames to create a sterile environment. Clean your sterile area.</w:t>
      </w:r>
    </w:p>
    <w:p>
      <w:pPr>
        <w:pStyle w:val="Compact"/>
        <w:numPr>
          <w:ilvl w:val="0"/>
          <w:numId w:val="1082"/>
        </w:numPr>
      </w:pPr>
      <w:r>
        <w:t xml:space="preserve">Light your flame source. Dip your harvesting implement(s) (scalpel, forceps, and/or probe) into alcohol. Flame your implements and let it cool.</w:t>
      </w:r>
    </w:p>
    <w:p>
      <w:pPr>
        <w:pStyle w:val="Compact"/>
        <w:numPr>
          <w:ilvl w:val="0"/>
          <w:numId w:val="1082"/>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2"/>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2"/>
        </w:numPr>
      </w:pPr>
      <w:r>
        <w:t xml:space="preserve">Seal silica-filled jar with the lid. Allow the tissue to dry for 5-10 days.</w:t>
      </w:r>
    </w:p>
    <w:p>
      <w:pPr>
        <w:pStyle w:val="Compact"/>
        <w:numPr>
          <w:ilvl w:val="0"/>
          <w:numId w:val="1082"/>
        </w:numPr>
      </w:pPr>
      <w:r>
        <w:t xml:space="preserve">Once the tissue is dry, remove the Eppendorf tubes from the silica jar and close the lids.</w:t>
      </w:r>
    </w:p>
    <w:p>
      <w:pPr>
        <w:pStyle w:val="Compact"/>
        <w:numPr>
          <w:ilvl w:val="0"/>
          <w:numId w:val="1082"/>
        </w:numPr>
      </w:pPr>
      <w:r>
        <w:t xml:space="preserve">Proceed to the Sample submission module.</w:t>
      </w:r>
    </w:p>
    <w:bookmarkEnd w:id="126"/>
    <w:bookmarkEnd w:id="127"/>
    <w:bookmarkEnd w:id="128"/>
    <w:bookmarkStart w:id="135" w:name="module-6-sample-submission-1"/>
    <w:p>
      <w:pPr>
        <w:pStyle w:val="Heading1"/>
      </w:pPr>
      <w:r>
        <w:t xml:space="preserve">Module 6: Sample Submission</w:t>
      </w:r>
    </w:p>
    <w:bookmarkStart w:id="134" w:name="module-6.1-myco-ed-sample-submission-sop"/>
    <w:p>
      <w:pPr>
        <w:pStyle w:val="Heading2"/>
      </w:pPr>
      <w:r>
        <w:t xml:space="preserve">Module 6.1 – Myco-Ed Sample Submission SOP</w:t>
      </w:r>
    </w:p>
    <w:bookmarkStart w:id="129" w:name="overview-2"/>
    <w:p>
      <w:pPr>
        <w:pStyle w:val="Heading3"/>
      </w:pPr>
      <w:r>
        <w:t xml:space="preserve">Overview</w:t>
      </w:r>
    </w:p>
    <w:p>
      <w:pPr>
        <w:pStyle w:val="FirstParagraph"/>
      </w:pPr>
      <w:r>
        <w:t xml:space="preserve">Use this document to submit fungal samples to Arizona Genomics Institute (AGI) for DNA extraction.</w:t>
      </w:r>
    </w:p>
    <w:bookmarkEnd w:id="129"/>
    <w:bookmarkStart w:id="130" w:name="definitions"/>
    <w:p>
      <w:pPr>
        <w:pStyle w:val="Heading3"/>
      </w:pPr>
      <w:r>
        <w:t xml:space="preserve">Definitions</w:t>
      </w:r>
    </w:p>
    <w:p>
      <w:pPr>
        <w:pStyle w:val="Compact"/>
        <w:numPr>
          <w:ilvl w:val="0"/>
          <w:numId w:val="1083"/>
        </w:numPr>
      </w:pPr>
      <w:r>
        <w:t xml:space="preserve">JGI = Joint Genomics Institute</w:t>
      </w:r>
    </w:p>
    <w:p>
      <w:pPr>
        <w:pStyle w:val="Compact"/>
        <w:numPr>
          <w:ilvl w:val="0"/>
          <w:numId w:val="1083"/>
        </w:numPr>
      </w:pPr>
      <w:r>
        <w:t xml:space="preserve">AGI = Arizona Genome Institute</w:t>
      </w:r>
    </w:p>
    <w:bookmarkEnd w:id="130"/>
    <w:bookmarkStart w:id="131" w:name="associated-documents"/>
    <w:p>
      <w:pPr>
        <w:pStyle w:val="Heading3"/>
      </w:pPr>
      <w:r>
        <w:t xml:space="preserve">Associated Documents</w:t>
      </w:r>
    </w:p>
    <w:p>
      <w:pPr>
        <w:pStyle w:val="FirstParagraph"/>
      </w:pPr>
      <w:r>
        <w:t xml:space="preserve">MycoEd Metadata Form</w:t>
      </w:r>
    </w:p>
    <w:bookmarkEnd w:id="131"/>
    <w:bookmarkStart w:id="132" w:name="process-steps"/>
    <w:p>
      <w:pPr>
        <w:pStyle w:val="Heading3"/>
      </w:pPr>
      <w:r>
        <w:t xml:space="preserve">Process Steps</w:t>
      </w:r>
    </w:p>
    <w:p>
      <w:pPr>
        <w:pStyle w:val="Compact"/>
        <w:numPr>
          <w:ilvl w:val="0"/>
          <w:numId w:val="1084"/>
        </w:numPr>
      </w:pPr>
      <w:r>
        <w:t xml:space="preserve">Create a JGI Single Sign on Account</w:t>
      </w:r>
    </w:p>
    <w:p>
      <w:pPr>
        <w:pStyle w:val="Compact"/>
        <w:numPr>
          <w:ilvl w:val="0"/>
          <w:numId w:val="1084"/>
        </w:numPr>
      </w:pPr>
      <w:r>
        <w:t xml:space="preserve">Email photos of the live tissue you intend to send AGI before collection to JTALAG@email.arizona.edu and kwbarry@lbl.gov.</w:t>
      </w:r>
    </w:p>
    <w:p>
      <w:pPr>
        <w:pStyle w:val="Compact"/>
        <w:numPr>
          <w:ilvl w:val="0"/>
          <w:numId w:val="1084"/>
        </w:numPr>
      </w:pPr>
      <w:r>
        <w:t xml:space="preserve">Make a copy of the MycoEd Metadata Form</w:t>
      </w:r>
    </w:p>
    <w:p>
      <w:pPr>
        <w:pStyle w:val="Compact"/>
        <w:numPr>
          <w:ilvl w:val="1"/>
          <w:numId w:val="1085"/>
        </w:numPr>
      </w:pPr>
      <w:r>
        <w:t xml:space="preserve">Click on MycoEd Metadata Form link</w:t>
      </w:r>
    </w:p>
    <w:p>
      <w:pPr>
        <w:pStyle w:val="Compact"/>
        <w:numPr>
          <w:ilvl w:val="1"/>
          <w:numId w:val="1085"/>
        </w:numPr>
      </w:pPr>
      <w:r>
        <w:t xml:space="preserve">Under file, select Make a Copy</w:t>
      </w:r>
    </w:p>
    <w:p>
      <w:pPr>
        <w:pStyle w:val="Compact"/>
        <w:numPr>
          <w:ilvl w:val="1"/>
          <w:numId w:val="1085"/>
        </w:numPr>
      </w:pPr>
      <w:r>
        <w:t xml:space="preserve">Rename your new copy [University][Instructor Last Name][MycoEd Metadata][Date]</w:t>
      </w:r>
    </w:p>
    <w:p>
      <w:pPr>
        <w:pStyle w:val="Compact"/>
        <w:numPr>
          <w:ilvl w:val="0"/>
          <w:numId w:val="1084"/>
        </w:numPr>
      </w:pPr>
      <w:r>
        <w:t xml:space="preserve">Fill out your copy of the MycoEd Metadata Form</w:t>
      </w:r>
    </w:p>
    <w:p>
      <w:pPr>
        <w:pStyle w:val="Compact"/>
        <w:numPr>
          <w:ilvl w:val="1"/>
          <w:numId w:val="1086"/>
        </w:numPr>
      </w:pPr>
      <w:r>
        <w:t xml:space="preserve">Professor is the instructor for the class and their email address</w:t>
      </w:r>
    </w:p>
    <w:p>
      <w:pPr>
        <w:pStyle w:val="Compact"/>
        <w:numPr>
          <w:ilvl w:val="1"/>
          <w:numId w:val="1086"/>
        </w:numPr>
      </w:pPr>
      <w:r>
        <w:t xml:space="preserve">Name of the University/Institution is your University/Institution</w:t>
      </w:r>
    </w:p>
    <w:p>
      <w:pPr>
        <w:pStyle w:val="Compact"/>
        <w:numPr>
          <w:ilvl w:val="1"/>
          <w:numId w:val="1086"/>
        </w:numPr>
      </w:pPr>
      <w:r>
        <w:t xml:space="preserve">Date submitted/shipped is the date you ship the samples to AGI</w:t>
      </w:r>
    </w:p>
    <w:p>
      <w:pPr>
        <w:pStyle w:val="Compact"/>
        <w:numPr>
          <w:ilvl w:val="1"/>
          <w:numId w:val="1086"/>
        </w:numPr>
      </w:pPr>
      <w:r>
        <w:t xml:space="preserve">JGI proposal name &amp; number is DS 509937 (already provided)</w:t>
      </w:r>
    </w:p>
    <w:p>
      <w:pPr>
        <w:pStyle w:val="Compact"/>
        <w:numPr>
          <w:ilvl w:val="0"/>
          <w:numId w:val="1084"/>
        </w:numPr>
      </w:pPr>
      <w:r>
        <w:t xml:space="preserve">Fill out Sample Table</w:t>
      </w:r>
    </w:p>
    <w:p>
      <w:pPr>
        <w:pStyle w:val="Compact"/>
        <w:numPr>
          <w:ilvl w:val="1"/>
          <w:numId w:val="1087"/>
        </w:numPr>
      </w:pPr>
      <w:r>
        <w:t xml:space="preserve">Enter requested metadata into the table</w:t>
      </w:r>
    </w:p>
    <w:p>
      <w:pPr>
        <w:pStyle w:val="Compact"/>
        <w:numPr>
          <w:ilvl w:val="1"/>
          <w:numId w:val="1087"/>
        </w:numPr>
      </w:pPr>
      <w:r>
        <w:t xml:space="preserve">Use one row per sample/tube</w:t>
      </w:r>
    </w:p>
    <w:p>
      <w:pPr>
        <w:pStyle w:val="Compact"/>
        <w:numPr>
          <w:ilvl w:val="1"/>
          <w:numId w:val="1087"/>
        </w:numPr>
      </w:pPr>
      <w:r>
        <w:t xml:space="preserve">Insert additional rows if needed</w:t>
      </w:r>
    </w:p>
    <w:p>
      <w:pPr>
        <w:pStyle w:val="Compact"/>
        <w:numPr>
          <w:ilvl w:val="1"/>
          <w:numId w:val="1087"/>
        </w:numPr>
      </w:pPr>
      <w:r>
        <w:t xml:space="preserve">Columns with gray field headers, B and D, will be filled out by JGI</w:t>
      </w:r>
    </w:p>
    <w:p>
      <w:pPr>
        <w:pStyle w:val="Compact"/>
        <w:numPr>
          <w:ilvl w:val="1"/>
          <w:numId w:val="1087"/>
        </w:numPr>
      </w:pPr>
      <w:r>
        <w:t xml:space="preserve">For Column C, Sample Name - please use below convention for naming: [University][Plant][Plant tissue] Metagenome [Sample ID]</w:t>
      </w:r>
    </w:p>
    <w:p>
      <w:pPr>
        <w:pStyle w:val="Compact"/>
        <w:numPr>
          <w:ilvl w:val="1"/>
          <w:numId w:val="1087"/>
        </w:numPr>
      </w:pPr>
      <w:r>
        <w:t xml:space="preserve">Column G is only needed if you are sending more than 22 samples</w:t>
      </w:r>
    </w:p>
    <w:p>
      <w:pPr>
        <w:pStyle w:val="Compact"/>
        <w:numPr>
          <w:ilvl w:val="1"/>
          <w:numId w:val="1087"/>
        </w:numPr>
      </w:pPr>
      <w:r>
        <w:t xml:space="preserve">Student is the full name of student that collected the sample and their email address</w:t>
      </w:r>
    </w:p>
    <w:p>
      <w:pPr>
        <w:pStyle w:val="Compact"/>
        <w:numPr>
          <w:ilvl w:val="1"/>
          <w:numId w:val="1087"/>
        </w:numPr>
      </w:pPr>
      <w:r>
        <w:t xml:space="preserve">Columns with Yellow Header, X-AF, will be filled out by AGI after DNA extraction</w:t>
      </w:r>
    </w:p>
    <w:p>
      <w:pPr>
        <w:pStyle w:val="Compact"/>
        <w:numPr>
          <w:ilvl w:val="0"/>
          <w:numId w:val="1084"/>
        </w:numPr>
      </w:pPr>
      <w:r>
        <w:t xml:space="preserve">Email form to AGI &amp; JGI</w:t>
      </w:r>
    </w:p>
    <w:p>
      <w:pPr>
        <w:pStyle w:val="Compact"/>
        <w:numPr>
          <w:ilvl w:val="1"/>
          <w:numId w:val="1088"/>
        </w:numPr>
      </w:pPr>
      <w:r>
        <w:t xml:space="preserve">Once all required metadata is provided, download a copy to excel</w:t>
      </w:r>
    </w:p>
    <w:p>
      <w:pPr>
        <w:pStyle w:val="Compact"/>
        <w:numPr>
          <w:ilvl w:val="1"/>
          <w:numId w:val="1088"/>
        </w:numPr>
      </w:pPr>
      <w:r>
        <w:t xml:space="preserve">Email a copy to Jayson at (jtalag@ag.arizona.edu ) and Kerrie (kwbarry@lbl.gov).</w:t>
      </w:r>
    </w:p>
    <w:p>
      <w:pPr>
        <w:pStyle w:val="Compact"/>
        <w:numPr>
          <w:ilvl w:val="1"/>
          <w:numId w:val="1088"/>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88"/>
        </w:numPr>
      </w:pPr>
      <w:r>
        <w:t xml:space="preserve">Include in your email your name, your college/university, the exact name of your samples (column D) that are ready to ship to AGI (and the rows in this sheet).</w:t>
      </w:r>
    </w:p>
    <w:p>
      <w:pPr>
        <w:pStyle w:val="Compact"/>
        <w:numPr>
          <w:ilvl w:val="1"/>
          <w:numId w:val="1088"/>
        </w:numPr>
      </w:pPr>
      <w:r>
        <w:t xml:space="preserve">Wait for approval/confirmation from AGI &amp; JGI.</w:t>
      </w:r>
    </w:p>
    <w:p>
      <w:pPr>
        <w:pStyle w:val="Compact"/>
        <w:numPr>
          <w:ilvl w:val="2"/>
          <w:numId w:val="1089"/>
        </w:numPr>
      </w:pPr>
      <w:r>
        <w:t xml:space="preserve">If needed make requested changed and email updated copy</w:t>
      </w:r>
    </w:p>
    <w:p>
      <w:pPr>
        <w:pStyle w:val="Compact"/>
        <w:numPr>
          <w:ilvl w:val="0"/>
          <w:numId w:val="1084"/>
        </w:numPr>
      </w:pPr>
      <w:r>
        <w:t xml:space="preserve">Prepare samples for shipment</w:t>
      </w:r>
    </w:p>
    <w:p>
      <w:pPr>
        <w:pStyle w:val="Compact"/>
        <w:numPr>
          <w:ilvl w:val="1"/>
          <w:numId w:val="1090"/>
        </w:numPr>
      </w:pPr>
    </w:p>
    <w:p>
      <w:pPr>
        <w:pStyle w:val="Compact"/>
        <w:numPr>
          <w:ilvl w:val="2"/>
          <w:numId w:val="1091"/>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90"/>
        </w:numPr>
      </w:pPr>
      <w:r>
        <w:t xml:space="preserve">Email FEDEX tracking # when your shipment is picked up.</w:t>
      </w:r>
    </w:p>
    <w:p>
      <w:pPr>
        <w:pStyle w:val="Compact"/>
        <w:numPr>
          <w:ilvl w:val="1"/>
          <w:numId w:val="1090"/>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2"/>
    <w:bookmarkStart w:id="133"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33"/>
    <w:bookmarkEnd w:id="134"/>
    <w:bookmarkEnd w:id="135"/>
    <w:bookmarkStart w:id="153" w:name="module-7-genomic-analyses-1"/>
    <w:p>
      <w:pPr>
        <w:pStyle w:val="Heading1"/>
      </w:pPr>
      <w:r>
        <w:t xml:space="preserve">Module 7: Genomic Analyses</w:t>
      </w:r>
    </w:p>
    <w:bookmarkStart w:id="143" w:name="X46999d4e04aaa0bd6e7f1cf0936f3283e50c93c"/>
    <w:p>
      <w:pPr>
        <w:pStyle w:val="Heading2"/>
      </w:pPr>
      <w:r>
        <w:t xml:space="preserve">Module 7.1 – Sexual Reproduction in Ascomycota Genomic Analysis</w:t>
      </w:r>
    </w:p>
    <w:bookmarkStart w:id="136"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6"/>
    <w:bookmarkStart w:id="137" w:name="references"/>
    <w:p>
      <w:pPr>
        <w:pStyle w:val="Heading3"/>
      </w:pPr>
      <w:r>
        <w:t xml:space="preserve">References:</w:t>
      </w:r>
    </w:p>
    <w:p>
      <w:pPr>
        <w:pStyle w:val="Compact"/>
        <w:numPr>
          <w:ilvl w:val="0"/>
          <w:numId w:val="1092"/>
        </w:numPr>
      </w:pPr>
      <w:r>
        <w:t xml:space="preserve">Casselton, L.A., Olesnicky, N.S., 1998. Molecular Genetics of Mating Recognition in Basidiomycete Fungi. Microbiol Mol Biol Rev., 62(1): 55–70. doi: 10.1128/mmbr.62.1.55-70.1998</w:t>
      </w:r>
    </w:p>
    <w:p>
      <w:pPr>
        <w:pStyle w:val="Compact"/>
        <w:numPr>
          <w:ilvl w:val="0"/>
          <w:numId w:val="1092"/>
        </w:numPr>
      </w:pPr>
      <w:r>
        <w:t xml:space="preserve">Cambareri, E.B., Singer, M.J., Selker, E.U., 1991. Recurrence of repeat-induced point mutation (RIP) in Neurospora crassa. Genetics, 127(4):699-710. doi: 10.1093/genetics/127.4.699.</w:t>
      </w:r>
    </w:p>
    <w:p>
      <w:pPr>
        <w:pStyle w:val="Compact"/>
        <w:numPr>
          <w:ilvl w:val="0"/>
          <w:numId w:val="1092"/>
        </w:numPr>
      </w:pPr>
      <w:r>
        <w:t xml:space="preserve">Metzenberg, R.L., Glass, N.L., 1990. Mating type and mating strategies in Neurospora. Bioessays. 1990 Feb;12(2):53-9. doi: 10.1002/bies.950120202.</w:t>
      </w:r>
    </w:p>
    <w:bookmarkEnd w:id="137"/>
    <w:bookmarkStart w:id="142" w:name="finding-mat-a"/>
    <w:p>
      <w:pPr>
        <w:pStyle w:val="Heading3"/>
      </w:pPr>
      <w:r>
        <w:t xml:space="preserve">Finding mat A</w:t>
      </w:r>
    </w:p>
    <w:bookmarkStart w:id="138"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3"/>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3"/>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3"/>
        </w:numPr>
      </w:pPr>
      <w:r>
        <w:t xml:space="preserve">Let’s find the location of this gene in the genome! Go to the Neucr2 MycoCosm portal (https://mycocosm.jgi.doe.gov/Neucr2) and search for it using the BLAST tool.</w:t>
      </w:r>
    </w:p>
    <w:p>
      <w:pPr>
        <w:pStyle w:val="Compact"/>
        <w:numPr>
          <w:ilvl w:val="0"/>
          <w:numId w:val="1093"/>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3"/>
        </w:numPr>
      </w:pPr>
      <w:r>
        <w:t xml:space="preserve">You should see two hits, each shown in a separate row.</w:t>
      </w:r>
    </w:p>
    <w:p>
      <w:pPr>
        <w:pStyle w:val="Compact"/>
        <w:numPr>
          <w:ilvl w:val="1"/>
          <w:numId w:val="1094"/>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4"/>
        </w:numPr>
      </w:pPr>
      <w:r>
        <w:t xml:space="preserve">The second column shows an alignment of that sequence against your query, which is helpful for seeing how well hits cover your query sequence.</w:t>
      </w:r>
    </w:p>
    <w:p>
      <w:pPr>
        <w:pStyle w:val="Compact"/>
        <w:numPr>
          <w:ilvl w:val="1"/>
          <w:numId w:val="1094"/>
        </w:numPr>
      </w:pPr>
      <w:r>
        <w:t xml:space="preserve">The score and EValue columns are also useful when assessing hit quality. Higher scores are better, and conversely, lower e-values are better.</w:t>
      </w:r>
    </w:p>
    <w:p>
      <w:pPr>
        <w:pStyle w:val="Compact"/>
        <w:numPr>
          <w:ilvl w:val="0"/>
          <w:numId w:val="1093"/>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3"/>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3"/>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3"/>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3"/>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3"/>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3"/>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3"/>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3"/>
        </w:numPr>
      </w:pPr>
      <w:r>
        <w:t xml:space="preserve">Using the information on the protein page, can you find mat A-2 and mat-A3?</w:t>
      </w:r>
    </w:p>
    <w:p>
      <w:pPr>
        <w:pStyle w:val="Compact"/>
        <w:numPr>
          <w:ilvl w:val="0"/>
          <w:numId w:val="1093"/>
        </w:numPr>
      </w:pPr>
      <w:r>
        <w:t xml:space="preserve">At the mating type locus, do you notice anything interesting when exploring the read depth coverage plots (pink tracks) from related Neurospora genomes?</w:t>
      </w:r>
    </w:p>
    <w:p>
      <w:pPr>
        <w:pStyle w:val="Compact"/>
        <w:numPr>
          <w:ilvl w:val="0"/>
          <w:numId w:val="1093"/>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8"/>
    <w:bookmarkStart w:id="139"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5"/>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5"/>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5"/>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5"/>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5"/>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5"/>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9"/>
    <w:bookmarkStart w:id="140"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96"/>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96"/>
        </w:numPr>
      </w:pPr>
      <w:r>
        <w:t xml:space="preserve">Let’s find it on the mat a genome portal you found earlier for N. tetrasperma strain FGSC 2509, (https://mycocosm.jgi.doe.gov/Neute_mat_a1).</w:t>
      </w:r>
    </w:p>
    <w:p>
      <w:pPr>
        <w:pStyle w:val="Compact"/>
        <w:numPr>
          <w:ilvl w:val="0"/>
          <w:numId w:val="1096"/>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96"/>
        </w:numPr>
      </w:pPr>
      <w:r>
        <w:t xml:space="preserve">The best hit is to N. tetrasperma protein ID 124723, can you explain why?</w:t>
      </w:r>
    </w:p>
    <w:p>
      <w:pPr>
        <w:pStyle w:val="Compact"/>
        <w:numPr>
          <w:ilvl w:val="0"/>
          <w:numId w:val="1096"/>
        </w:numPr>
      </w:pPr>
      <w:r>
        <w:t xml:space="preserve">Let’s revisit the Neucr2 mcl clustering page and search for this, again by typing portalID.proteinID (e.g. Neute_mat_a1.124723) in the search field.</w:t>
      </w:r>
    </w:p>
    <w:p>
      <w:pPr>
        <w:pStyle w:val="Compact"/>
        <w:numPr>
          <w:ilvl w:val="0"/>
          <w:numId w:val="1096"/>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96"/>
        </w:numPr>
      </w:pPr>
      <w:r>
        <w:t xml:space="preserve">It looks like our mat a gene is found in a region that is not present in any of the others, which are all the opposite mating type (mat A)!</w:t>
      </w:r>
    </w:p>
    <w:p>
      <w:pPr>
        <w:pStyle w:val="Compact"/>
        <w:numPr>
          <w:ilvl w:val="0"/>
          <w:numId w:val="1096"/>
        </w:numPr>
      </w:pPr>
      <w:r>
        <w:t xml:space="preserve">With this information, we can say that all our current evidence supports our hypothesis that fungal mating types are driven by presence/absence of specific genes, mat a and A in particular!</w:t>
      </w:r>
    </w:p>
    <w:bookmarkEnd w:id="140"/>
    <w:bookmarkStart w:id="141"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97"/>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97"/>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97"/>
        </w:numPr>
      </w:pPr>
      <w:r>
        <w:t xml:space="preserve">Go through the same exercise to search mcl clusters. Do you see a similar pattern to what we observed in N. crassa?</w:t>
      </w:r>
    </w:p>
    <w:p>
      <w:pPr>
        <w:pStyle w:val="Compact"/>
        <w:numPr>
          <w:ilvl w:val="0"/>
          <w:numId w:val="1097"/>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97"/>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97"/>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97"/>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97"/>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1"/>
    <w:bookmarkEnd w:id="142"/>
    <w:bookmarkEnd w:id="143"/>
    <w:bookmarkStart w:id="152" w:name="Xe7b646958662d93788a5fac43551e0623449021"/>
    <w:p>
      <w:pPr>
        <w:pStyle w:val="Heading2"/>
      </w:pPr>
      <w:r>
        <w:t xml:space="preserve">Module 7.2 – Fungal Natural Product Production Genomic Analysis</w:t>
      </w:r>
    </w:p>
    <w:bookmarkStart w:id="144"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4"/>
    <w:bookmarkStart w:id="145" w:name="references-1"/>
    <w:p>
      <w:pPr>
        <w:pStyle w:val="Heading3"/>
      </w:pPr>
      <w:r>
        <w:t xml:space="preserve">References</w:t>
      </w:r>
    </w:p>
    <w:p>
      <w:pPr>
        <w:pStyle w:val="Compact"/>
        <w:numPr>
          <w:ilvl w:val="0"/>
          <w:numId w:val="1098"/>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98"/>
        </w:numPr>
      </w:pPr>
      <w:r>
        <w:t xml:space="preserve">Seenivasan, A., Subhagar, S., Aravindan, R., Viruthagiri, T., 2008. Microbial Production and Biomedical Applications of Lovastatin. Indian J Pharm Sci. 2008, doi: 10.4103/0250-474X.49087</w:t>
      </w:r>
    </w:p>
    <w:p>
      <w:pPr>
        <w:pStyle w:val="Compact"/>
        <w:numPr>
          <w:ilvl w:val="0"/>
          <w:numId w:val="1098"/>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98"/>
        </w:numPr>
      </w:pPr>
      <w:r>
        <w:t xml:space="preserve">Strieker, M., Tanovic, A., Marahiel, M.A., 2010. Nonribosomal peptide synthetases: structures and dynamics. Current Opinion in Structural Biology 2010, 20:234–240</w:t>
      </w:r>
    </w:p>
    <w:p>
      <w:pPr>
        <w:pStyle w:val="Compact"/>
        <w:numPr>
          <w:ilvl w:val="0"/>
          <w:numId w:val="1098"/>
        </w:numPr>
      </w:pPr>
      <w:r>
        <w:t xml:space="preserve">Keller, N., 2019. Fungal secondary metabolism: regulation, function and drug discovery. Nature Reviews Microbiology, 17(3): 167–180. doi: 10.1038/s41579-018-0121-1</w:t>
      </w:r>
    </w:p>
    <w:bookmarkEnd w:id="145"/>
    <w:bookmarkStart w:id="148" w:name="X31643484012ee51f67fd2def9a4608ddd3c7490"/>
    <w:p>
      <w:pPr>
        <w:pStyle w:val="Heading3"/>
      </w:pPr>
      <w:r>
        <w:t xml:space="preserve">Finding the Penicillin Biosynthetic Gene Cluster</w:t>
      </w:r>
    </w:p>
    <w:bookmarkStart w:id="146" w:name="X27e5a65183f9483aec43514a5289c555b8e099a"/>
    <w:p>
      <w:pPr>
        <w:pStyle w:val="Heading4"/>
      </w:pPr>
      <w:r>
        <w:t xml:space="preserve">Locate the known cluster in P. chrysogenum</w:t>
      </w:r>
    </w:p>
    <w:p>
      <w:pPr>
        <w:pStyle w:val="Compact"/>
        <w:numPr>
          <w:ilvl w:val="0"/>
          <w:numId w:val="1099"/>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99"/>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99"/>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99"/>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99"/>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99"/>
        </w:numPr>
      </w:pPr>
      <w:r>
        <w:t xml:space="preserve">You should see a single hit! Click on the coordinates to view this region of the genome.</w:t>
      </w:r>
    </w:p>
    <w:p>
      <w:pPr>
        <w:pStyle w:val="Compact"/>
        <w:numPr>
          <w:ilvl w:val="0"/>
          <w:numId w:val="1099"/>
        </w:numPr>
      </w:pPr>
      <w:r>
        <w:t xml:space="preserve">Of course, we are searching for DNA that is mostly found in between these penicillin-related genes. Click -10x to get a bigger view of this locus.</w:t>
      </w:r>
    </w:p>
    <w:p>
      <w:pPr>
        <w:pStyle w:val="Compact"/>
        <w:numPr>
          <w:ilvl w:val="0"/>
          <w:numId w:val="1099"/>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99"/>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99"/>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6"/>
    <w:bookmarkStart w:id="147" w:name="X3367d9de4d4452f0e4500f817aabeb87e960cf9"/>
    <w:p>
      <w:pPr>
        <w:pStyle w:val="Heading4"/>
      </w:pPr>
      <w:r>
        <w:t xml:space="preserve">Find candidate Penicillin BGCs in related fungi</w:t>
      </w:r>
    </w:p>
    <w:p>
      <w:pPr>
        <w:pStyle w:val="Compact"/>
        <w:numPr>
          <w:ilvl w:val="0"/>
          <w:numId w:val="1100"/>
        </w:numPr>
      </w:pPr>
      <w:r>
        <w:t xml:space="preserve">With our NRPS bait in hand, let’s try to fish out similar genes in related fungi! But before we do, do you have any hypotheses about how often it will be found?</w:t>
      </w:r>
    </w:p>
    <w:p>
      <w:pPr>
        <w:pStyle w:val="Compact"/>
        <w:numPr>
          <w:ilvl w:val="0"/>
          <w:numId w:val="1100"/>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00"/>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00"/>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00"/>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00"/>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00"/>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00"/>
        </w:numPr>
      </w:pPr>
      <w:r>
        <w:t xml:space="preserve">Can you find where hit quality begins to drop off? You can see by just looking at the top 10 that quality drops off really fast!</w:t>
      </w:r>
    </w:p>
    <w:p>
      <w:pPr>
        <w:pStyle w:val="Compact"/>
        <w:numPr>
          <w:ilvl w:val="0"/>
          <w:numId w:val="1100"/>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00"/>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00"/>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00"/>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00"/>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00"/>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00"/>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00"/>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00"/>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00"/>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00"/>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00"/>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7"/>
    <w:bookmarkEnd w:id="148"/>
    <w:bookmarkStart w:id="151" w:name="characterize-myco-ed-bgcs"/>
    <w:p>
      <w:pPr>
        <w:pStyle w:val="Heading3"/>
      </w:pPr>
      <w:r>
        <w:t xml:space="preserve">Characterize Myco-Ed BGCs</w:t>
      </w:r>
    </w:p>
    <w:bookmarkStart w:id="149"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01"/>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01"/>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01"/>
        </w:numPr>
      </w:pPr>
      <w:r>
        <w:t xml:space="preserve">Let’s set a goal to describe the distribution of fungal BGC backbone genes, following the same workflow you just did for penicillin.</w:t>
      </w:r>
    </w:p>
    <w:p>
      <w:pPr>
        <w:pStyle w:val="Compact"/>
        <w:numPr>
          <w:ilvl w:val="0"/>
          <w:numId w:val="1101"/>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01"/>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01"/>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01"/>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01"/>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01"/>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01"/>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9"/>
    <w:bookmarkStart w:id="150" w:name="annotate-them"/>
    <w:p>
      <w:pPr>
        <w:pStyle w:val="Heading4"/>
      </w:pPr>
      <w:r>
        <w:t xml:space="preserve">Annotate them!</w:t>
      </w:r>
    </w:p>
    <w:p>
      <w:pPr>
        <w:pStyle w:val="Compact"/>
        <w:numPr>
          <w:ilvl w:val="0"/>
          <w:numId w:val="1102"/>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2"/>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2"/>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0"/>
    <w:bookmarkEnd w:id="151"/>
    <w:bookmarkEnd w:id="152"/>
    <w:bookmarkEnd w:id="153"/>
    <w:bookmarkStart w:id="155" w:name="summary"/>
    <w:p>
      <w:pPr>
        <w:pStyle w:val="Heading1"/>
      </w:pPr>
      <w:r>
        <w:t xml:space="preserve">1.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4">
        <w:r>
          <w:rPr>
            <w:rStyle w:val="Hyperlink"/>
          </w:rPr>
          <w:t xml:space="preserve">BSC495-HWC GitHub organization</w:t>
        </w:r>
      </w:hyperlink>
      <w:r>
        <w:t xml:space="preserve">.</w:t>
      </w:r>
    </w:p>
    <w:bookmarkEnd w:id="155"/>
    <w:bookmarkStart w:id="158" w:name="carlos-c.-goller"/>
    <w:p>
      <w:pPr>
        <w:pStyle w:val="Heading1"/>
      </w:pPr>
      <w:r>
        <w:t xml:space="preserve">2.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6" w:name="education"/>
    <w:p>
      <w:pPr>
        <w:pStyle w:val="Heading2"/>
      </w:pPr>
      <w:r>
        <w:t xml:space="preserve">2.1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6"/>
    <w:bookmarkStart w:id="157" w:name="experience"/>
    <w:p>
      <w:pPr>
        <w:pStyle w:val="Heading2"/>
      </w:pPr>
      <w:r>
        <w:t xml:space="preserve">2.2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7"/>
    <w:bookmarkEnd w:id="158"/>
    <w:bookmarkStart w:id="161" w:name="references-2"/>
    <w:p>
      <w:pPr>
        <w:pStyle w:val="Heading1"/>
      </w:pPr>
      <w:r>
        <w:t xml:space="preserve">References</w:t>
      </w:r>
    </w:p>
    <w:bookmarkStart w:id="160" w:name="refs"/>
    <w:bookmarkStart w:id="159"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59"/>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1" Target="media/rId11.png" /><Relationship Type="http://schemas.openxmlformats.org/officeDocument/2006/relationships/image" Id="rId44" Target="media/rId44.png" /><Relationship Type="http://schemas.openxmlformats.org/officeDocument/2006/relationships/hyperlink" Id="rId24" Target="https://dx.doi.org/10.17504/protocols.io.rm7vzqd5xvx1/v1" TargetMode="External" /><Relationship Type="http://schemas.openxmlformats.org/officeDocument/2006/relationships/hyperlink" Id="rId154"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4" Target="https://dx.doi.org/10.17504/protocols.io.rm7vzqd5xvx1/v1" TargetMode="External" /><Relationship Type="http://schemas.openxmlformats.org/officeDocument/2006/relationships/hyperlink" Id="rId154"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2026-05-18T01:15:23Z</dcterms:created>
  <dcterms:modified xsi:type="dcterms:W3CDTF">2026-05-18T01:15:23Z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