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12.png" ContentType="image/png"/>
  <Override PartName="/word/media/rId38.png" ContentType="image/png"/>
  <Override PartName="/word/media/rId103.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1" w:name="module-2-fungal-isolation"/>
    <w:p>
      <w:pPr>
        <w:pStyle w:val="Heading1"/>
      </w:pPr>
      <w:r>
        <w:t xml:space="preserve">Module 2: Fungal Isolation</w:t>
      </w:r>
    </w:p>
    <w:bookmarkStart w:id="98" w:name="module-2.1-lab-prep-overview"/>
    <w:p>
      <w:pPr>
        <w:pStyle w:val="Heading2"/>
      </w:pPr>
      <w:r>
        <w:t xml:space="preserve">Module 2.1 – Lab Prep Overview</w:t>
      </w:r>
    </w:p>
    <w:bookmarkStart w:id="97" w:name="X607910f6b5d5ec784b2986740c973a9a0beb010"/>
    <w:p>
      <w:pPr>
        <w:pStyle w:val="Heading3"/>
      </w:pPr>
      <w:r>
        <w:t xml:space="preserve">Instructor Laboratory Preparation Instructions</w:t>
      </w:r>
    </w:p>
    <w:bookmarkStart w:id="96"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Agar, Bacteriological</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warning.png" id="9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important.png" id="95"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6"/>
    <w:bookmarkEnd w:id="97"/>
    <w:bookmarkEnd w:id="98"/>
    <w:bookmarkStart w:id="110" w:name="module-2.2---fungal-isolation"/>
    <w:p>
      <w:pPr>
        <w:pStyle w:val="Heading2"/>
      </w:pPr>
      <w:r>
        <w:t xml:space="preserve">Module 2.2 - Fungal Isolation</w:t>
      </w:r>
    </w:p>
    <w:bookmarkStart w:id="99"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99"/>
    <w:bookmarkStart w:id="100"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0"/>
    <w:bookmarkStart w:id="101"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1"/>
    <w:bookmarkStart w:id="109" w:name="instructions-1"/>
    <w:p>
      <w:pPr>
        <w:pStyle w:val="Heading3"/>
      </w:pPr>
      <w:r>
        <w:t xml:space="preserve">Instructions</w:t>
      </w:r>
    </w:p>
    <w:bookmarkStart w:id="102"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2"/>
    <w:bookmarkStart w:id="107"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6" w:name="fig-fungalhyphae"/>
          <w:p>
            <w:pPr>
              <w:pStyle w:val="Compact"/>
              <w:jc w:val="center"/>
            </w:pPr>
            <w:r>
              <w:drawing>
                <wp:inline>
                  <wp:extent cx="5334000" cy="3733799"/>
                  <wp:effectExtent b="0" l="0" r="0" t="0"/>
                  <wp:docPr descr="" title="" id="104" name="Picture"/>
                  <a:graphic>
                    <a:graphicData uri="http://schemas.openxmlformats.org/drawingml/2006/picture">
                      <pic:pic>
                        <pic:nvPicPr>
                          <pic:cNvPr descr="images/FungalHyphae.png" id="105" name="Picture"/>
                          <pic:cNvPicPr>
                            <a:picLocks noChangeArrowheads="1" noChangeAspect="1"/>
                          </pic:cNvPicPr>
                        </pic:nvPicPr>
                        <pic:blipFill>
                          <a:blip r:embed="rId10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6"/>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07"/>
    <w:bookmarkStart w:id="108"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08"/>
    <w:bookmarkEnd w:id="109"/>
    <w:bookmarkEnd w:id="110"/>
    <w:bookmarkEnd w:id="111"/>
    <w:bookmarkStart w:id="119" w:name="module-3-phenotypic-assays"/>
    <w:p>
      <w:pPr>
        <w:pStyle w:val="Heading1"/>
      </w:pPr>
      <w:r>
        <w:t xml:space="preserve">Module 3: Phenotypic Assays</w:t>
      </w:r>
    </w:p>
    <w:bookmarkStart w:id="113" w:name="module-3.1-phenotypic-assays"/>
    <w:p>
      <w:pPr>
        <w:pStyle w:val="Heading2"/>
      </w:pPr>
      <w:r>
        <w:t xml:space="preserve">Module 3.1 – Phenotypic Assays</w:t>
      </w:r>
    </w:p>
    <w:bookmarkStart w:id="112"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2"/>
    <w:bookmarkEnd w:id="113"/>
    <w:bookmarkStart w:id="118" w:name="module-3.2-phenotypic-assays"/>
    <w:p>
      <w:pPr>
        <w:pStyle w:val="Heading2"/>
      </w:pPr>
      <w:r>
        <w:t xml:space="preserve">Module 3.2 – Phenotypic Assays</w:t>
      </w:r>
    </w:p>
    <w:bookmarkStart w:id="114"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4"/>
    <w:bookmarkStart w:id="11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5"/>
    <w:bookmarkStart w:id="11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6"/>
    <w:bookmarkStart w:id="11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17"/>
    <w:bookmarkEnd w:id="118"/>
    <w:bookmarkEnd w:id="119"/>
    <w:bookmarkStart w:id="145" w:name="module-4-dna-sequencing"/>
    <w:p>
      <w:pPr>
        <w:pStyle w:val="Heading1"/>
      </w:pPr>
      <w:r>
        <w:t xml:space="preserve">Module 4: DNA Sequencing</w:t>
      </w:r>
    </w:p>
    <w:bookmarkStart w:id="122" w:name="X1f9141d941555e98bd81ab73b3543cfd3247ac1"/>
    <w:p>
      <w:pPr>
        <w:pStyle w:val="Heading2"/>
      </w:pPr>
      <w:r>
        <w:t xml:space="preserve">Module 4.1 – DNA Sequencing and Species Identification Instructor Resources</w:t>
      </w:r>
    </w:p>
    <w:bookmarkStart w:id="121" w:name="Xf2d43db359788ca93a2d8fe43440f1f2685953f"/>
    <w:p>
      <w:pPr>
        <w:pStyle w:val="Heading3"/>
      </w:pPr>
      <w:r>
        <w:t xml:space="preserve">Instructor Laboratory Preparation Instructions</w:t>
      </w:r>
    </w:p>
    <w:bookmarkStart w:id="120"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0"/>
    <w:bookmarkEnd w:id="121"/>
    <w:bookmarkEnd w:id="122"/>
    <w:bookmarkStart w:id="144" w:name="X84ab9f30f319591ed283388a48344a8ca0af377"/>
    <w:p>
      <w:pPr>
        <w:pStyle w:val="Heading2"/>
      </w:pPr>
      <w:r>
        <w:t xml:space="preserve">Module 4.2 – DNA Sequencing and Species Identification</w:t>
      </w:r>
    </w:p>
    <w:bookmarkStart w:id="123"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3"/>
    <w:bookmarkStart w:id="124"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4"/>
    <w:bookmarkStart w:id="128" w:name="part-i-dna-extraction"/>
    <w:p>
      <w:pPr>
        <w:pStyle w:val="Heading3"/>
      </w:pPr>
      <w:r>
        <w:t xml:space="preserve">Part I: DNA Extraction</w:t>
      </w:r>
    </w:p>
    <w:bookmarkStart w:id="12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5"/>
    <w:bookmarkStart w:id="126"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6"/>
    <w:bookmarkStart w:id="127"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27"/>
    <w:bookmarkEnd w:id="128"/>
    <w:bookmarkStart w:id="133" w:name="part-ii-polymerase-chain-reaction-pcr"/>
    <w:p>
      <w:pPr>
        <w:pStyle w:val="Heading3"/>
      </w:pPr>
      <w:r>
        <w:t xml:space="preserve">Part II: Polymerase Chain Reaction (PCR)</w:t>
      </w:r>
    </w:p>
    <w:bookmarkStart w:id="12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29"/>
    <w:bookmarkStart w:id="130"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0"/>
    <w:bookmarkStart w:id="13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w:t>
      </w:r>
      <w:r>
        <w:t xml:space="preserve"> </w:t>
      </w:r>
      <w:r>
        <w:t xml:space="preserve">::: {.callout-caution}</w:t>
      </w:r>
      <w:r>
        <w:t xml:space="preserve"> </w:t>
      </w:r>
      <w:r>
        <w:t xml:space="preserve">Careful! Cap all PCR tubes when not in use to avoid cross-contamination.</w:t>
      </w:r>
      <w:r>
        <w:t xml:space="preserve"> </w:t>
      </w:r>
      <w:r>
        <w:t xml:space="preserve">:::</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1"/>
    <w:bookmarkStart w:id="132"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2"/>
    <w:bookmarkEnd w:id="133"/>
    <w:bookmarkStart w:id="13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4"/>
    <w:bookmarkStart w:id="135"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5"/>
    <w:bookmarkStart w:id="136"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6"/>
    <w:bookmarkStart w:id="137"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37"/>
    <w:bookmarkEnd w:id="138"/>
    <w:bookmarkStart w:id="13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39"/>
    <w:bookmarkStart w:id="14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0"/>
    <w:bookmarkStart w:id="142" w:name="X119230681215c553508703bd9b858aabc863314"/>
    <w:p>
      <w:pPr>
        <w:pStyle w:val="Heading3"/>
      </w:pPr>
      <w:r>
        <w:t xml:space="preserve">Part VI: Identifying Species using DNA Barcode</w:t>
      </w:r>
    </w:p>
    <w:bookmarkStart w:id="14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1"/>
    <w:bookmarkEnd w:id="142"/>
    <w:bookmarkStart w:id="14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3"/>
    <w:bookmarkEnd w:id="144"/>
    <w:bookmarkEnd w:id="145"/>
    <w:bookmarkStart w:id="157" w:name="module-5-tissue-preparation"/>
    <w:p>
      <w:pPr>
        <w:pStyle w:val="Heading1"/>
      </w:pPr>
      <w:r>
        <w:t xml:space="preserve">Module 5: Tissue Preparation</w:t>
      </w:r>
    </w:p>
    <w:bookmarkStart w:id="148" w:name="X0d17ba572a281133a22d073b368b9fbe73454ca"/>
    <w:p>
      <w:pPr>
        <w:pStyle w:val="Heading2"/>
      </w:pPr>
      <w:r>
        <w:t xml:space="preserve">Module 5.1 – Tissue Preparation for Genome Sequencing</w:t>
      </w:r>
    </w:p>
    <w:bookmarkStart w:id="147" w:name="Xaadd1af7be5342dd14d66f9d9ba06249647885a"/>
    <w:p>
      <w:pPr>
        <w:pStyle w:val="Heading3"/>
      </w:pPr>
      <w:r>
        <w:t xml:space="preserve">Instructor Laboratory Preparation Instructions</w:t>
      </w:r>
    </w:p>
    <w:bookmarkStart w:id="146"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6"/>
    <w:bookmarkEnd w:id="147"/>
    <w:bookmarkEnd w:id="148"/>
    <w:bookmarkStart w:id="156" w:name="Xc8205bcafd44c2f0f2777871d0b670e5430cb18"/>
    <w:p>
      <w:pPr>
        <w:pStyle w:val="Heading2"/>
      </w:pPr>
      <w:r>
        <w:t xml:space="preserve">Module 5.2 – Tissue Preparation for Genome Sequencing</w:t>
      </w:r>
    </w:p>
    <w:bookmarkStart w:id="149"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49"/>
    <w:bookmarkStart w:id="15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0"/>
    <w:bookmarkStart w:id="151"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1"/>
    <w:bookmarkStart w:id="15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2"/>
    <w:bookmarkStart w:id="153"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3"/>
    <w:bookmarkStart w:id="15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4"/>
    <w:bookmarkStart w:id="155"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5"/>
    <w:bookmarkEnd w:id="156"/>
    <w:bookmarkEnd w:id="157"/>
    <w:bookmarkStart w:id="164" w:name="module-6-sample-submission"/>
    <w:p>
      <w:pPr>
        <w:pStyle w:val="Heading1"/>
      </w:pPr>
      <w:r>
        <w:t xml:space="preserve">Module 6: Sample Submission</w:t>
      </w:r>
    </w:p>
    <w:bookmarkStart w:id="163" w:name="module-6.1-myco-ed-sample-submission-sop"/>
    <w:p>
      <w:pPr>
        <w:pStyle w:val="Heading2"/>
      </w:pPr>
      <w:r>
        <w:t xml:space="preserve">Module 6.1 – Myco-Ed Sample Submission SOP</w:t>
      </w:r>
    </w:p>
    <w:bookmarkStart w:id="158" w:name="overview-2"/>
    <w:p>
      <w:pPr>
        <w:pStyle w:val="Heading3"/>
      </w:pPr>
      <w:r>
        <w:t xml:space="preserve">Overview</w:t>
      </w:r>
    </w:p>
    <w:p>
      <w:pPr>
        <w:pStyle w:val="FirstParagraph"/>
      </w:pPr>
      <w:r>
        <w:t xml:space="preserve">Use this document to submit fungal samples to Arizona Genomics Institute (AGI) for DNA extraction.</w:t>
      </w:r>
    </w:p>
    <w:bookmarkEnd w:id="158"/>
    <w:bookmarkStart w:id="159"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59"/>
    <w:bookmarkStart w:id="160" w:name="associated-documents"/>
    <w:p>
      <w:pPr>
        <w:pStyle w:val="Heading3"/>
      </w:pPr>
      <w:r>
        <w:t xml:space="preserve">Associated Documents</w:t>
      </w:r>
    </w:p>
    <w:p>
      <w:pPr>
        <w:pStyle w:val="FirstParagraph"/>
      </w:pPr>
      <w:r>
        <w:t xml:space="preserve">MycoEd Metadata Form</w:t>
      </w:r>
    </w:p>
    <w:bookmarkEnd w:id="160"/>
    <w:bookmarkStart w:id="161"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1"/>
    <w:bookmarkStart w:id="16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2"/>
    <w:bookmarkEnd w:id="163"/>
    <w:bookmarkEnd w:id="164"/>
    <w:bookmarkStart w:id="182" w:name="module-7-genomic-analyses"/>
    <w:p>
      <w:pPr>
        <w:pStyle w:val="Heading1"/>
      </w:pPr>
      <w:r>
        <w:t xml:space="preserve">Module 7: Genomic Analyses</w:t>
      </w:r>
    </w:p>
    <w:bookmarkStart w:id="172" w:name="X46999d4e04aaa0bd6e7f1cf0936f3283e50c93c"/>
    <w:p>
      <w:pPr>
        <w:pStyle w:val="Heading2"/>
      </w:pPr>
      <w:r>
        <w:t xml:space="preserve">Module 7.1 – Sexual Reproduction in Ascomycota Genomic Analysis</w:t>
      </w:r>
    </w:p>
    <w:bookmarkStart w:id="16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5"/>
    <w:bookmarkStart w:id="166"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6"/>
    <w:bookmarkStart w:id="171" w:name="finding-mat-a"/>
    <w:p>
      <w:pPr>
        <w:pStyle w:val="Heading3"/>
      </w:pPr>
      <w:r>
        <w:t xml:space="preserve">Finding mat A</w:t>
      </w:r>
    </w:p>
    <w:bookmarkStart w:id="16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67"/>
    <w:bookmarkStart w:id="16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68"/>
    <w:bookmarkStart w:id="16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69"/>
    <w:bookmarkStart w:id="17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0"/>
    <w:bookmarkEnd w:id="171"/>
    <w:bookmarkEnd w:id="172"/>
    <w:bookmarkStart w:id="181" w:name="Xe7b646958662d93788a5fac43551e0623449021"/>
    <w:p>
      <w:pPr>
        <w:pStyle w:val="Heading2"/>
      </w:pPr>
      <w:r>
        <w:t xml:space="preserve">Module 7.2 – Fungal Natural Product Production Genomic Analysis</w:t>
      </w:r>
    </w:p>
    <w:bookmarkStart w:id="17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3"/>
    <w:bookmarkStart w:id="174"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4"/>
    <w:bookmarkStart w:id="177" w:name="X31643484012ee51f67fd2def9a4608ddd3c7490"/>
    <w:p>
      <w:pPr>
        <w:pStyle w:val="Heading3"/>
      </w:pPr>
      <w:r>
        <w:t xml:space="preserve">Finding the Penicillin Biosynthetic Gene Cluster</w:t>
      </w:r>
    </w:p>
    <w:bookmarkStart w:id="175"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5"/>
    <w:bookmarkStart w:id="176"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6"/>
    <w:bookmarkEnd w:id="177"/>
    <w:bookmarkStart w:id="180" w:name="characterize-myco-ed-bgcs"/>
    <w:p>
      <w:pPr>
        <w:pStyle w:val="Heading3"/>
      </w:pPr>
      <w:r>
        <w:t xml:space="preserve">Characterize Myco-Ed BGCs</w:t>
      </w:r>
    </w:p>
    <w:bookmarkStart w:id="17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78"/>
    <w:bookmarkStart w:id="179"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79"/>
    <w:bookmarkEnd w:id="180"/>
    <w:bookmarkEnd w:id="181"/>
    <w:bookmarkEnd w:id="182"/>
    <w:bookmarkStart w:id="18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4"/>
    <w:bookmarkStart w:id="185" w:name="carlos-c.-goller"/>
    <w:p>
      <w:pPr>
        <w:pStyle w:val="Heading1"/>
      </w:pPr>
      <w:r>
        <w:t xml:space="preserve">1. Carlos C. Goller</w:t>
      </w:r>
    </w:p>
    <w:bookmarkEnd w:id="185"/>
    <w:bookmarkStart w:id="18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6"/>
    <w:bookmarkStart w:id="18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87"/>
    <w:bookmarkEnd w:id="188"/>
    <w:bookmarkStart w:id="192" w:name="references-2"/>
    <w:p>
      <w:pPr>
        <w:pStyle w:val="Heading1"/>
      </w:pPr>
      <w:r>
        <w:t xml:space="preserve">References</w:t>
      </w:r>
    </w:p>
    <w:bookmarkStart w:id="191"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0" w:name="refs"/>
    <w:bookmarkStart w:id="18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89"/>
    <w:bookmarkEnd w:id="190"/>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3" Target="media/rId103.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3"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3"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2026-05-20T23:30:46Z</dcterms:created>
  <dcterms:modified xsi:type="dcterms:W3CDTF">2026-05-20T23:30:46Z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