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7.png" ContentType="image/png"/>
  <Override PartName="/word/media/rId11.png" ContentType="image/png"/>
  <Override PartName="/word/media/rId4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BSC 495: The Hidden World’s Code</w:t>
      </w:r>
    </w:p>
    <w:p>
      <w:pPr>
        <w:pStyle w:val="Subtitle"/>
      </w:pPr>
      <w:r>
        <w:t xml:space="preserve">A Hands-On Fungal Genomics Lab</w:t>
      </w:r>
    </w:p>
    <w:p>
      <w:pPr>
        <w:pStyle w:val="Author"/>
      </w:pPr>
      <w:r>
        <w:t xml:space="preserve">Carlos C. Goller, Ph.D.</w:t>
      </w:r>
    </w:p>
    <w:p>
      <w:pPr>
        <w:pStyle w:val="Date"/>
      </w:pPr>
      <w:r>
        <w:t xml:space="preserve">2026-05-07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3" w:name="overview"/>
    <w:p>
      <w:pPr>
        <w:pStyle w:val="Heading1"/>
      </w:pPr>
      <w:r>
        <w:t xml:space="preserve">Overview</w:t>
      </w:r>
    </w:p>
    <w:p>
      <w:pPr>
        <w:pStyle w:val="FirstParagraph"/>
      </w:pPr>
      <w:r>
        <w:t xml:space="preserve">This is a</w:t>
      </w:r>
      <w:r>
        <w:t xml:space="preserve"> </w:t>
      </w:r>
      <w:r>
        <w:rPr>
          <w:b/>
          <w:bCs/>
        </w:rPr>
        <w:t xml:space="preserve">Quarto book</w:t>
      </w:r>
      <w:r>
        <w:t xml:space="preserve"> </w:t>
      </w:r>
      <w:r>
        <w:t xml:space="preserve">created adapted from the</w:t>
      </w:r>
      <w:r>
        <w:t xml:space="preserve"> </w:t>
      </w:r>
      <w:r>
        <w:rPr>
          <w:b/>
          <w:bCs/>
        </w:rPr>
        <w:t xml:space="preserve">MycoEd curriculum</w:t>
      </w:r>
      <w:r>
        <w:t xml:space="preserve">*. The Mycological Curriculum for Education and Discovery (Myco-Ed) is a Course-Based Undergraduate Research Experience (CURE) that features team-based, hands-on experiments in fungal biology and genomics. You will learn new laboratory techniques and data analysis by starting with sample collection, fungal isolation, and the characterization of the resulting data to improve fungal genomic resources. Genomic DNA will be extracted from samples for genome sequencing, assembly, and annotation. By isolating and sequencing new fungal species, your team will help produce high-quality fungal reference genomes. This course will prepare you with workforce training in fungal biology and genomics and empower you to be a contributor to fungal genomics! Importantly, you will practice lab and bioinformatics skills that are broadly applicable!</w:t>
      </w:r>
    </w:p>
    <w:p>
      <w:pPr>
        <w:pStyle w:val="BodyText"/>
      </w:pPr>
      <w:r>
        <w:t xml:space="preserve">To learn more about Quarto books visit</w:t>
      </w:r>
      <w:r>
        <w:t xml:space="preserve"> </w:t>
      </w:r>
      <w:hyperlink r:id="rId9">
        <w:r>
          <w:rPr>
            <w:rStyle w:val="Hyperlink"/>
          </w:rPr>
          <w:t xml:space="preserve">Quarto Books</w:t>
        </w:r>
      </w:hyperlink>
      <w:r>
        <w:t xml:space="preserve"> </w:t>
      </w:r>
      <w:r>
        <w:t xml:space="preserve">To learn more about the MycoEd curriculum visit the</w:t>
      </w:r>
      <w:r>
        <w:t xml:space="preserve"> </w:t>
      </w:r>
      <w:hyperlink r:id="rId10">
        <w:r>
          <w:rPr>
            <w:rStyle w:val="Hyperlink"/>
          </w:rPr>
          <w:t xml:space="preserve">MycoEd GitHub</w:t>
        </w:r>
      </w:hyperlink>
    </w:p>
    <w:bookmarkStart w:id="22" w:name="module-slides"/>
    <w:p>
      <w:pPr>
        <w:pStyle w:val="Heading2"/>
      </w:pPr>
      <w:r>
        <w:t xml:space="preserve">Module Slides</w:t>
      </w:r>
    </w:p>
    <w:p>
      <w:pPr>
        <w:pStyle w:val="FirstParagraph"/>
      </w:pPr>
      <w:r>
        <w:t xml:space="preserve">The links below open the RevealJS slide decks for each module. Please note the slides can be advanced using the arrow keys on your keyboard, and you can also use the menu in the bottom right corner to navigate between slides. The slide decks are designed to be used in conjunction with the corresponding module content in this book, so feel free to refer back to them as needed while working through the modules.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opt/quarto/share/formats/docx/tip.png" id="1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Links to RevealJS slide decks for each module are listed below.:</w:t>
            </w:r>
            <w:r>
              <w:t xml:space="preserve"> </w:t>
            </w:r>
            <w:r>
              <w:t xml:space="preserve">*</w:t>
            </w:r>
            <w:r>
              <w:t xml:space="preserve"> </w:t>
            </w:r>
            <w:hyperlink r:id="rId14">
              <w:r>
                <w:rPr>
                  <w:rStyle w:val="Hyperlink"/>
                </w:rPr>
                <w:t xml:space="preserve">Open Module 0 RevealJS Slides</w:t>
              </w:r>
            </w:hyperlink>
            <w:r>
              <w:t xml:space="preserve"> </w:t>
            </w:r>
            <w:r>
              <w:t xml:space="preserve">*</w:t>
            </w:r>
            <w:r>
              <w:t xml:space="preserve"> </w:t>
            </w:r>
            <w:hyperlink r:id="rId15">
              <w:r>
                <w:rPr>
                  <w:rStyle w:val="Hyperlink"/>
                </w:rPr>
                <w:t xml:space="preserve">Open Module 1 RevealJS Slides</w:t>
              </w:r>
            </w:hyperlink>
            <w:r>
              <w:t xml:space="preserve"> </w:t>
            </w:r>
            <w:r>
              <w:t xml:space="preserve">*</w:t>
            </w:r>
            <w:r>
              <w:t xml:space="preserve"> </w:t>
            </w:r>
            <w:hyperlink r:id="rId16">
              <w:r>
                <w:rPr>
                  <w:rStyle w:val="Hyperlink"/>
                </w:rPr>
                <w:t xml:space="preserve">Open Module 2 RevealJS Slides</w:t>
              </w:r>
            </w:hyperlink>
            <w:r>
              <w:t xml:space="preserve"> </w:t>
            </w:r>
            <w:r>
              <w:t xml:space="preserve">*</w:t>
            </w:r>
            <w:r>
              <w:t xml:space="preserve"> </w:t>
            </w:r>
            <w:hyperlink r:id="rId17">
              <w:r>
                <w:rPr>
                  <w:rStyle w:val="Hyperlink"/>
                </w:rPr>
                <w:t xml:space="preserve">Open Module 3 RevealJS Slides</w:t>
              </w:r>
            </w:hyperlink>
            <w:r>
              <w:t xml:space="preserve"> </w:t>
            </w:r>
            <w:r>
              <w:t xml:space="preserve">*</w:t>
            </w:r>
            <w:r>
              <w:t xml:space="preserve"> </w:t>
            </w:r>
            <w:hyperlink r:id="rId18">
              <w:r>
                <w:rPr>
                  <w:rStyle w:val="Hyperlink"/>
                </w:rPr>
                <w:t xml:space="preserve">Open Module 4 RevealJS Slides</w:t>
              </w:r>
            </w:hyperlink>
            <w:r>
              <w:t xml:space="preserve"> </w:t>
            </w:r>
            <w:r>
              <w:t xml:space="preserve">*</w:t>
            </w:r>
            <w:r>
              <w:t xml:space="preserve"> </w:t>
            </w:r>
            <w:hyperlink r:id="rId19">
              <w:r>
                <w:rPr>
                  <w:rStyle w:val="Hyperlink"/>
                </w:rPr>
                <w:t xml:space="preserve">Open Module 5 RevealJS Slides</w:t>
              </w:r>
            </w:hyperlink>
            <w:r>
              <w:t xml:space="preserve"> </w:t>
            </w:r>
            <w:r>
              <w:t xml:space="preserve">*</w:t>
            </w:r>
            <w:r>
              <w:t xml:space="preserve"> </w:t>
            </w:r>
            <w:hyperlink r:id="rId20">
              <w:r>
                <w:rPr>
                  <w:rStyle w:val="Hyperlink"/>
                </w:rPr>
                <w:t xml:space="preserve">Open Module 6 RevealJS Slides</w:t>
              </w:r>
            </w:hyperlink>
            <w:r>
              <w:t xml:space="preserve"> </w:t>
            </w:r>
            <w:r>
              <w:t xml:space="preserve">*</w:t>
            </w:r>
            <w:r>
              <w:t xml:space="preserve"> </w:t>
            </w:r>
            <w:hyperlink r:id="rId21">
              <w:r>
                <w:rPr>
                  <w:rStyle w:val="Hyperlink"/>
                </w:rPr>
                <w:t xml:space="preserve">Open Module 7 RevealJS Slides</w:t>
              </w:r>
            </w:hyperlink>
          </w:p>
          <w:p/>
        </w:tc>
      </w:tr>
    </w:tbl>
    <w:bookmarkEnd w:id="22"/>
    <w:bookmarkEnd w:id="23"/>
    <w:bookmarkStart w:id="25" w:name="introduction"/>
    <w:p>
      <w:pPr>
        <w:pStyle w:val="Heading1"/>
      </w:pPr>
      <w:r>
        <w:t xml:space="preserve">Introduction</w:t>
      </w:r>
    </w:p>
    <w:p>
      <w:pPr>
        <w:pStyle w:val="FirstParagraph"/>
      </w:pPr>
      <w:r>
        <w:t xml:space="preserve">This is a book created from the</w:t>
      </w:r>
      <w:r>
        <w:t xml:space="preserve"> </w:t>
      </w:r>
      <w:hyperlink r:id="rId24">
        <w:r>
          <w:rPr>
            <w:rStyle w:val="Hyperlink"/>
          </w:rPr>
          <w:t xml:space="preserve">MycoEd Workbook from March 2026</w:t>
        </w:r>
      </w:hyperlink>
      <w:r>
        <w:t xml:space="preserve"> </w:t>
      </w:r>
      <w:r>
        <w:t xml:space="preserve">and adapted for the</w:t>
      </w:r>
      <w:r>
        <w:t xml:space="preserve"> </w:t>
      </w:r>
      <w:r>
        <w:rPr>
          <w:b/>
          <w:bCs/>
        </w:rPr>
        <w:t xml:space="preserve">BSC 495</w:t>
      </w:r>
      <w:r>
        <w:rPr>
          <w:b/>
          <w:bCs/>
        </w:rPr>
        <w:t xml:space="preserve"> </w:t>
      </w:r>
      <w:r>
        <w:rPr>
          <w:b/>
          <w:bCs/>
          <w:i/>
          <w:iCs/>
        </w:rPr>
        <w:t xml:space="preserve">The Hidden World’s Code</w:t>
      </w:r>
      <w:r>
        <w:t xml:space="preserve">, a course developed for students at North Carolina State University. The course is designed to provide students with hands-on experience in fungal biology and genomics, and to empower them to contribute to the field of mycology through research and discovery.</w:t>
      </w:r>
    </w:p>
    <w:p>
      <w:pPr>
        <w:pStyle w:val="BodyText"/>
      </w:pPr>
      <w:r>
        <w:t xml:space="preserve">The Mycological Curriculum for Education and Discovery (Myco-Ed) is a Course-Based Undergraduate Research Experience (CURE) that consists of coordinated hands-on experiments across fungal biology teaching labs with the goals of</w:t>
      </w:r>
    </w:p>
    <w:p>
      <w:pPr>
        <w:pStyle w:val="Compact"/>
        <w:numPr>
          <w:ilvl w:val="0"/>
          <w:numId w:val="1001"/>
        </w:numPr>
      </w:pPr>
      <w:r>
        <w:t xml:space="preserve">Training students and instructors in laboratory techniques and data analyses</w:t>
      </w:r>
    </w:p>
    <w:p>
      <w:pPr>
        <w:pStyle w:val="Compact"/>
        <w:numPr>
          <w:ilvl w:val="0"/>
          <w:numId w:val="1001"/>
        </w:numPr>
      </w:pPr>
      <w:r>
        <w:t xml:space="preserve">Compiling original data for improving fungal genomic resources</w:t>
      </w:r>
    </w:p>
    <w:p>
      <w:pPr>
        <w:pStyle w:val="Compact"/>
        <w:numPr>
          <w:ilvl w:val="0"/>
          <w:numId w:val="1001"/>
        </w:numPr>
      </w:pPr>
      <w:r>
        <w:t xml:space="preserve">Empowering students through isolation and genome sequencing of new fungal species</w:t>
      </w:r>
    </w:p>
    <w:p>
      <w:pPr>
        <w:pStyle w:val="FirstParagraph"/>
      </w:pPr>
      <w:r>
        <w:t xml:space="preserve">The content is organized into</w:t>
      </w:r>
      <w:r>
        <w:t xml:space="preserve"> </w:t>
      </w:r>
      <w:r>
        <w:rPr>
          <w:b/>
          <w:bCs/>
        </w:rPr>
        <w:t xml:space="preserve">modules</w:t>
      </w:r>
      <w:r>
        <w:t xml:space="preserve">, each covering a specific topic related to mycology and education. The book is designed to provide comprehensive information and resources for educators, students, and anyone interested in learning about fungi and their role in the environment.</w:t>
      </w:r>
    </w:p>
    <w:bookmarkEnd w:id="25"/>
    <w:bookmarkStart w:id="43" w:name="Xb6a9464ee45b88b34e73bee5db9cbd7a5932867"/>
    <w:p>
      <w:pPr>
        <w:pStyle w:val="Heading1"/>
      </w:pPr>
      <w:r>
        <w:t xml:space="preserve">Module 0: Getting Started and Data Management [Instructor Instructions]</w:t>
      </w:r>
    </w:p>
    <w:bookmarkStart w:id="33" w:name="X854485e3e75ebd41e9a51cfdeb9c6827d1373c6"/>
    <w:p>
      <w:pPr>
        <w:pStyle w:val="Heading2"/>
      </w:pPr>
      <w:r>
        <w:t xml:space="preserve">Module 0.1 – Lab Materials and Equipment Overview</w:t>
      </w:r>
    </w:p>
    <w:p>
      <w:pPr>
        <w:pStyle w:val="FirstParagraph"/>
      </w:pPr>
      <w:r>
        <w:t xml:space="preserve">This document lists the materials and equipment required for implementing the Myco-Ed program.</w:t>
      </w:r>
    </w:p>
    <w:bookmarkStart w:id="26" w:name="module-1--fungal-sampling-and-culturing"/>
    <w:p>
      <w:pPr>
        <w:pStyle w:val="Heading3"/>
      </w:pPr>
      <w:r>
        <w:t xml:space="preserve">Module 1- Fungal sampling and Culturing</w:t>
      </w:r>
    </w:p>
    <w:p>
      <w:pPr>
        <w:pStyle w:val="Compact"/>
        <w:numPr>
          <w:ilvl w:val="0"/>
          <w:numId w:val="1002"/>
        </w:numPr>
      </w:pPr>
      <w:r>
        <w:t xml:space="preserve">100x15mm Petri dishes</w:t>
      </w:r>
    </w:p>
    <w:p>
      <w:pPr>
        <w:pStyle w:val="Compact"/>
        <w:numPr>
          <w:ilvl w:val="0"/>
          <w:numId w:val="1002"/>
        </w:numPr>
      </w:pPr>
      <w:r>
        <w:t xml:space="preserve">Bacteriological agar (for example, Difco Bacto Agar)</w:t>
      </w:r>
    </w:p>
    <w:p>
      <w:pPr>
        <w:pStyle w:val="Compact"/>
        <w:numPr>
          <w:ilvl w:val="0"/>
          <w:numId w:val="1002"/>
        </w:numPr>
      </w:pPr>
      <w:r>
        <w:t xml:space="preserve">Autoclave</w:t>
      </w:r>
    </w:p>
    <w:p>
      <w:pPr>
        <w:pStyle w:val="Compact"/>
        <w:numPr>
          <w:ilvl w:val="0"/>
          <w:numId w:val="1002"/>
        </w:numPr>
      </w:pPr>
      <w:r>
        <w:t xml:space="preserve">Laminar flow hood (not necessary, if not available)</w:t>
      </w:r>
    </w:p>
    <w:p>
      <w:pPr>
        <w:pStyle w:val="Compact"/>
        <w:numPr>
          <w:ilvl w:val="0"/>
          <w:numId w:val="1002"/>
        </w:numPr>
      </w:pPr>
      <w:r>
        <w:t xml:space="preserve">Forceps</w:t>
      </w:r>
    </w:p>
    <w:p>
      <w:pPr>
        <w:pStyle w:val="Compact"/>
        <w:numPr>
          <w:ilvl w:val="0"/>
          <w:numId w:val="1002"/>
        </w:numPr>
      </w:pPr>
      <w:r>
        <w:t xml:space="preserve">Scalpels</w:t>
      </w:r>
    </w:p>
    <w:p>
      <w:pPr>
        <w:pStyle w:val="Compact"/>
        <w:numPr>
          <w:ilvl w:val="0"/>
          <w:numId w:val="1002"/>
        </w:numPr>
      </w:pPr>
      <w:r>
        <w:t xml:space="preserve">150ml beaker (or similar container for ethanol, 2 per student)</w:t>
      </w:r>
    </w:p>
    <w:p>
      <w:pPr>
        <w:pStyle w:val="Compact"/>
        <w:numPr>
          <w:ilvl w:val="0"/>
          <w:numId w:val="1002"/>
        </w:numPr>
      </w:pPr>
      <w:r>
        <w:t xml:space="preserve">Parafilm</w:t>
      </w:r>
    </w:p>
    <w:p>
      <w:pPr>
        <w:pStyle w:val="Compact"/>
        <w:numPr>
          <w:ilvl w:val="0"/>
          <w:numId w:val="1002"/>
        </w:numPr>
      </w:pPr>
      <w:r>
        <w:t xml:space="preserve">Gloves</w:t>
      </w:r>
    </w:p>
    <w:p>
      <w:pPr>
        <w:pStyle w:val="Compact"/>
        <w:numPr>
          <w:ilvl w:val="0"/>
          <w:numId w:val="1002"/>
        </w:numPr>
      </w:pPr>
      <w:r>
        <w:t xml:space="preserve">Hole punch (all metal, for cutting leaf discs; scalpel will work in lieu of hole punch)</w:t>
      </w:r>
    </w:p>
    <w:p>
      <w:pPr>
        <w:pStyle w:val="Compact"/>
        <w:numPr>
          <w:ilvl w:val="0"/>
          <w:numId w:val="1002"/>
        </w:numPr>
      </w:pPr>
      <w:r>
        <w:t xml:space="preserve">Kimwipes</w:t>
      </w:r>
    </w:p>
    <w:p>
      <w:pPr>
        <w:pStyle w:val="Compact"/>
        <w:numPr>
          <w:ilvl w:val="0"/>
          <w:numId w:val="1002"/>
        </w:numPr>
      </w:pPr>
      <w:r>
        <w:t xml:space="preserve">Paper bags for samples</w:t>
      </w:r>
    </w:p>
    <w:p>
      <w:pPr>
        <w:pStyle w:val="Compact"/>
        <w:numPr>
          <w:ilvl w:val="0"/>
          <w:numId w:val="1002"/>
        </w:numPr>
      </w:pPr>
      <w:r>
        <w:t xml:space="preserve">10% bleach (prepared with autoclaved water)</w:t>
      </w:r>
    </w:p>
    <w:p>
      <w:pPr>
        <w:pStyle w:val="Compact"/>
        <w:numPr>
          <w:ilvl w:val="0"/>
          <w:numId w:val="1002"/>
        </w:numPr>
      </w:pPr>
      <w:r>
        <w:t xml:space="preserve">70% ethanol</w:t>
      </w:r>
    </w:p>
    <w:p>
      <w:pPr>
        <w:pStyle w:val="Compact"/>
        <w:numPr>
          <w:ilvl w:val="0"/>
          <w:numId w:val="1002"/>
        </w:numPr>
      </w:pPr>
      <w:r>
        <w:t xml:space="preserve">Paper towels</w:t>
      </w:r>
    </w:p>
    <w:bookmarkEnd w:id="26"/>
    <w:bookmarkStart w:id="27" w:name="module-2--fungal-isolation"/>
    <w:p>
      <w:pPr>
        <w:pStyle w:val="Heading3"/>
      </w:pPr>
      <w:r>
        <w:t xml:space="preserve">Module 2- Fungal Isolation</w:t>
      </w:r>
    </w:p>
    <w:p>
      <w:pPr>
        <w:pStyle w:val="Compact"/>
        <w:numPr>
          <w:ilvl w:val="0"/>
          <w:numId w:val="1003"/>
        </w:numPr>
      </w:pPr>
      <w:r>
        <w:t xml:space="preserve">60x15mm Petri dishes</w:t>
      </w:r>
    </w:p>
    <w:p>
      <w:pPr>
        <w:pStyle w:val="Compact"/>
        <w:numPr>
          <w:ilvl w:val="0"/>
          <w:numId w:val="1003"/>
        </w:numPr>
      </w:pPr>
      <w:r>
        <w:t xml:space="preserve">Potato Dextrose Agar (PDA)</w:t>
      </w:r>
    </w:p>
    <w:p>
      <w:pPr>
        <w:pStyle w:val="Compact"/>
        <w:numPr>
          <w:ilvl w:val="0"/>
          <w:numId w:val="1003"/>
        </w:numPr>
      </w:pPr>
      <w:r>
        <w:t xml:space="preserve">Autoclave</w:t>
      </w:r>
    </w:p>
    <w:p>
      <w:pPr>
        <w:pStyle w:val="Compact"/>
        <w:numPr>
          <w:ilvl w:val="0"/>
          <w:numId w:val="1003"/>
        </w:numPr>
      </w:pPr>
      <w:r>
        <w:t xml:space="preserve">Laminar flow hood (not necessary, if not available)</w:t>
      </w:r>
    </w:p>
    <w:p>
      <w:pPr>
        <w:pStyle w:val="Compact"/>
        <w:numPr>
          <w:ilvl w:val="0"/>
          <w:numId w:val="1003"/>
        </w:numPr>
      </w:pPr>
      <w:r>
        <w:t xml:space="preserve">Gloves</w:t>
      </w:r>
    </w:p>
    <w:p>
      <w:pPr>
        <w:pStyle w:val="Compact"/>
        <w:numPr>
          <w:ilvl w:val="0"/>
          <w:numId w:val="1003"/>
        </w:numPr>
      </w:pPr>
      <w:r>
        <w:t xml:space="preserve">Sharpie or equivalent lab narker (fine tip is preferable)</w:t>
      </w:r>
    </w:p>
    <w:p>
      <w:pPr>
        <w:pStyle w:val="Compact"/>
        <w:numPr>
          <w:ilvl w:val="0"/>
          <w:numId w:val="1003"/>
        </w:numPr>
      </w:pPr>
      <w:r>
        <w:t xml:space="preserve">70% ethanol</w:t>
      </w:r>
    </w:p>
    <w:p>
      <w:pPr>
        <w:pStyle w:val="Compact"/>
        <w:numPr>
          <w:ilvl w:val="0"/>
          <w:numId w:val="1003"/>
        </w:numPr>
      </w:pPr>
      <w:r>
        <w:t xml:space="preserve">Kimwipes</w:t>
      </w:r>
    </w:p>
    <w:bookmarkEnd w:id="27"/>
    <w:bookmarkStart w:id="28" w:name="module-3---phenotypic-assays"/>
    <w:p>
      <w:pPr>
        <w:pStyle w:val="Heading3"/>
      </w:pPr>
      <w:r>
        <w:t xml:space="preserve">Module 3 - Phenotypic Assays</w:t>
      </w:r>
    </w:p>
    <w:p>
      <w:pPr>
        <w:pStyle w:val="FirstParagraph"/>
      </w:pPr>
      <w:r>
        <w:t xml:space="preserve">Materials and equipment will vary based on the phenotypic assay choice.</w:t>
      </w:r>
    </w:p>
    <w:bookmarkEnd w:id="28"/>
    <w:bookmarkStart w:id="29" w:name="X94acea746056b92fde885b64e05b4671bb267e6"/>
    <w:p>
      <w:pPr>
        <w:pStyle w:val="Heading3"/>
      </w:pPr>
      <w:r>
        <w:t xml:space="preserve">Module 4 – DNA Sequencing and Species Identification</w:t>
      </w:r>
    </w:p>
    <w:p>
      <w:pPr>
        <w:pStyle w:val="FirstParagraph"/>
      </w:pPr>
      <w:r>
        <w:t xml:space="preserve">This list may vary depending on your preferred extraction, amplification, and sequencing protocols.</w:t>
      </w:r>
      <w:r>
        <w:t xml:space="preserve"> </w:t>
      </w:r>
      <w:r>
        <w:t xml:space="preserve">* Gloves</w:t>
      </w:r>
      <w:r>
        <w:t xml:space="preserve"> </w:t>
      </w:r>
      <w:r>
        <w:t xml:space="preserve">* Sharpie</w:t>
      </w:r>
      <w:r>
        <w:t xml:space="preserve"> </w:t>
      </w:r>
      <w:r>
        <w:t xml:space="preserve">* Thermal cycler</w:t>
      </w:r>
      <w:r>
        <w:t xml:space="preserve"> </w:t>
      </w:r>
      <w:r>
        <w:t xml:space="preserve">* Vortex</w:t>
      </w:r>
      <w:r>
        <w:t xml:space="preserve"> </w:t>
      </w:r>
      <w:r>
        <w:t xml:space="preserve">* Centrifuge for PCR and microfuge tubes</w:t>
      </w:r>
      <w:r>
        <w:t xml:space="preserve"> </w:t>
      </w:r>
      <w:r>
        <w:t xml:space="preserve">* Heat block/thermomixer for 1.5-2.0 ml microfuge tubes</w:t>
      </w:r>
      <w:r>
        <w:t xml:space="preserve"> </w:t>
      </w:r>
      <w:r>
        <w:t xml:space="preserve">* 1.5mL microcentrifuge tubes (Eppendorf DNA LoBind)</w:t>
      </w:r>
      <w:r>
        <w:t xml:space="preserve"> </w:t>
      </w:r>
      <w:r>
        <w:t xml:space="preserve">* 0.2 mL PCR tubes</w:t>
      </w:r>
      <w:r>
        <w:t xml:space="preserve"> </w:t>
      </w:r>
      <w:r>
        <w:t xml:space="preserve">* Microfuge and PCR tube racks</w:t>
      </w:r>
      <w:r>
        <w:t xml:space="preserve"> </w:t>
      </w:r>
      <w:r>
        <w:t xml:space="preserve">* Labeling tape</w:t>
      </w:r>
      <w:r>
        <w:t xml:space="preserve"> </w:t>
      </w:r>
      <w:r>
        <w:t xml:space="preserve">* Monarch® Spin gDNA Extraction Kit (New England BioLabs,T3010S)</w:t>
      </w:r>
      <w:r>
        <w:t xml:space="preserve"> </w:t>
      </w:r>
      <w:r>
        <w:t xml:space="preserve">* MetaPolyzyme, DNA free (Millipore Sigma, MAC4LDF-5X1VL)</w:t>
      </w:r>
      <w:r>
        <w:t xml:space="preserve"> </w:t>
      </w:r>
      <w:r>
        <w:t xml:space="preserve">* TE Buffer</w:t>
      </w:r>
      <w:r>
        <w:t xml:space="preserve"> </w:t>
      </w:r>
      <w:r>
        <w:t xml:space="preserve">* CTAB solution (100 ml, Promega, MC1411)</w:t>
      </w:r>
      <w:r>
        <w:t xml:space="preserve"> </w:t>
      </w:r>
      <w:r>
        <w:t xml:space="preserve">* Parafilm</w:t>
      </w:r>
      <w:r>
        <w:t xml:space="preserve"> </w:t>
      </w:r>
      <w:r>
        <w:t xml:space="preserve">* 70% ETOH</w:t>
      </w:r>
      <w:r>
        <w:t xml:space="preserve"> </w:t>
      </w:r>
      <w:r>
        <w:t xml:space="preserve">* 1-10, 20-200, and 100-1000 µL micropipettors</w:t>
      </w:r>
      <w:r>
        <w:t xml:space="preserve"> </w:t>
      </w:r>
      <w:r>
        <w:t xml:space="preserve">* 1-10, 20-200, and 100-1000 µL micropipette tips (preferably filtered)</w:t>
      </w:r>
      <w:r>
        <w:t xml:space="preserve"> </w:t>
      </w:r>
      <w:r>
        <w:t xml:space="preserve">* Kimwipes</w:t>
      </w:r>
      <w:r>
        <w:t xml:space="preserve"> </w:t>
      </w:r>
      <w:r>
        <w:t xml:space="preserve">* PCR primers (ITS1f, ITS4, 5.8SR, fITS7) ordered from Integrated DNA Technologies (IDT) or similar supplier normalized to 100 µM in TE buffer. The following primers are commonly used for fungal DNA barcoding:</w:t>
      </w:r>
      <w:r>
        <w:t xml:space="preserve"> </w:t>
      </w:r>
      <w:r>
        <w:t xml:space="preserve">+ ITS1f: 5’-CTTGGTCATTTAGAGGAAGTAA-3’</w:t>
      </w:r>
      <w:r>
        <w:t xml:space="preserve"> </w:t>
      </w:r>
      <w:r>
        <w:t xml:space="preserve">+ ITS4: 5’-TCCTCCGCTTATTGATATGC</w:t>
      </w:r>
      <w:r>
        <w:t xml:space="preserve"> </w:t>
      </w:r>
      <w:r>
        <w:t xml:space="preserve">+ 5.8SR: 5’-CGCTGCGTTCTTCATCG-3’</w:t>
      </w:r>
      <w:r>
        <w:t xml:space="preserve"> </w:t>
      </w:r>
      <w:r>
        <w:t xml:space="preserve">+ fITS7: 5’-GTGARTCATCGAATCTTTG-3’</w:t>
      </w:r>
      <w:r>
        <w:t xml:space="preserve"> </w:t>
      </w:r>
      <w:r>
        <w:t xml:space="preserve">* Q5® Hot Start High-Fidelity 2X Master Mix - 100 reactions(New England BioLabs, M0494S)</w:t>
      </w:r>
      <w:r>
        <w:t xml:space="preserve"> </w:t>
      </w:r>
      <w:r>
        <w:t xml:space="preserve">* PCR water (New England BioLabs, B1500S)</w:t>
      </w:r>
      <w:r>
        <w:t xml:space="preserve"> </w:t>
      </w:r>
      <w:r>
        <w:t xml:space="preserve">* Exo-CIP Rapid PCR Cleanup Kit - 100 reactions (New England BioLabs, E1050S)</w:t>
      </w:r>
      <w:r>
        <w:t xml:space="preserve"> </w:t>
      </w:r>
      <w:r>
        <w:t xml:space="preserve">* E-Gel system with 1.2% agarose gels (ThermoFisher, G4010010) or similar gel electrophoresis system</w:t>
      </w:r>
      <w:r>
        <w:t xml:space="preserve"> </w:t>
      </w:r>
      <w:r>
        <w:t xml:space="preserve">* E-Gel™ Sizing DNA Ladder (ThermoFisher, 10488100)</w:t>
      </w:r>
      <w:r>
        <w:t xml:space="preserve"> </w:t>
      </w:r>
      <w:r>
        <w:t xml:space="preserve">* DNA quantification system (for example, Qubit Fluorometer with dsDNA HS Assay Kit, ThermoFisher, Q32851)</w:t>
      </w:r>
      <w:r>
        <w:t xml:space="preserve"> </w:t>
      </w:r>
      <w:r>
        <w:t xml:space="preserve">* Access to Sanger sequencing services (for example, Genewiz, Eurofins, Eton, or similar provider).</w:t>
      </w:r>
      <w:r>
        <w:t xml:space="preserve"> </w:t>
      </w:r>
      <w:r>
        <w:t xml:space="preserve">* Rapid Barcoding Kit v14 (Oxford Nanopore Technologies), SQK-RBK114.24 or similar kit for long-read sequencing (optional)</w:t>
      </w:r>
      <w:r>
        <w:t xml:space="preserve"> </w:t>
      </w:r>
      <w:r>
        <w:t xml:space="preserve">* MinION sequencing device</w:t>
      </w:r>
      <w:r>
        <w:t xml:space="preserve"> </w:t>
      </w:r>
      <w:r>
        <w:t xml:space="preserve">* MinION flow cells (R10.4.1 or similar, Oxford Nanopore Technologies, FLO-MIN114)</w:t>
      </w:r>
      <w:r>
        <w:t xml:space="preserve"> </w:t>
      </w:r>
      <w:r>
        <w:t xml:space="preserve">* Ultrapure BSA 50mg/ml (ThermoFisher, AM2616) for long-read sequencing</w:t>
      </w:r>
      <w:r>
        <w:t xml:space="preserve"> </w:t>
      </w:r>
      <w:r>
        <w:t xml:space="preserve">* 1.5mL microcentrifuge tubes (Eppendorf DNA LoBind) for long-read sequencing</w:t>
      </w:r>
      <w:r>
        <w:t xml:space="preserve"> </w:t>
      </w:r>
      <w:r>
        <w:t xml:space="preserve">* 0.2 mL PCR tubes for long-read sequencing</w:t>
      </w:r>
      <w:r>
        <w:t xml:space="preserve"> </w:t>
      </w:r>
      <w:r>
        <w:t xml:space="preserve">* Magnetic rack for 1.5ml microcentrifuge tubes (for example, ThermoFisher DynaMag-2, 12321D) for long-read sequencing</w:t>
      </w:r>
      <w:r>
        <w:t xml:space="preserve"> </w:t>
      </w:r>
      <w:r>
        <w:t xml:space="preserve">* Nuclease-free water and 100% ethanol to prepare 80&amp; ethanol for long-read sequencing</w:t>
      </w:r>
    </w:p>
    <w:bookmarkEnd w:id="29"/>
    <w:bookmarkStart w:id="30" w:name="Xcfdc0ee93a5d518abd386287143069d9246eecd"/>
    <w:p>
      <w:pPr>
        <w:pStyle w:val="Heading3"/>
      </w:pPr>
      <w:r>
        <w:t xml:space="preserve">Module 5 - Tissue Preparation for Genome Sequencing</w:t>
      </w:r>
    </w:p>
    <w:p>
      <w:pPr>
        <w:pStyle w:val="Compact"/>
        <w:numPr>
          <w:ilvl w:val="0"/>
          <w:numId w:val="1004"/>
        </w:numPr>
      </w:pPr>
      <w:r>
        <w:t xml:space="preserve">Cellophane discs, induvidually rinsed and autoclaved in gauze</w:t>
      </w:r>
    </w:p>
    <w:p>
      <w:pPr>
        <w:pStyle w:val="Compact"/>
        <w:numPr>
          <w:ilvl w:val="0"/>
          <w:numId w:val="1004"/>
        </w:numPr>
      </w:pPr>
      <w:r>
        <w:t xml:space="preserve">60x15mm Petri Dishes</w:t>
      </w:r>
    </w:p>
    <w:p>
      <w:pPr>
        <w:pStyle w:val="Compact"/>
        <w:numPr>
          <w:ilvl w:val="0"/>
          <w:numId w:val="1004"/>
        </w:numPr>
      </w:pPr>
      <w:r>
        <w:t xml:space="preserve">Potato Dextrose Agar (PDA)</w:t>
      </w:r>
    </w:p>
    <w:p>
      <w:pPr>
        <w:pStyle w:val="Compact"/>
        <w:numPr>
          <w:ilvl w:val="0"/>
          <w:numId w:val="1004"/>
        </w:numPr>
      </w:pPr>
      <w:r>
        <w:t xml:space="preserve">Silica beads</w:t>
      </w:r>
    </w:p>
    <w:p>
      <w:pPr>
        <w:pStyle w:val="Compact"/>
        <w:numPr>
          <w:ilvl w:val="0"/>
          <w:numId w:val="1004"/>
        </w:numPr>
      </w:pPr>
      <w:r>
        <w:t xml:space="preserve">Gloves</w:t>
      </w:r>
    </w:p>
    <w:p>
      <w:pPr>
        <w:pStyle w:val="Compact"/>
        <w:numPr>
          <w:ilvl w:val="0"/>
          <w:numId w:val="1004"/>
        </w:numPr>
      </w:pPr>
      <w:r>
        <w:t xml:space="preserve">Incubator</w:t>
      </w:r>
    </w:p>
    <w:p>
      <w:pPr>
        <w:pStyle w:val="Compact"/>
        <w:numPr>
          <w:ilvl w:val="0"/>
          <w:numId w:val="1004"/>
        </w:numPr>
      </w:pPr>
      <w:r>
        <w:t xml:space="preserve">Balance</w:t>
      </w:r>
    </w:p>
    <w:p>
      <w:pPr>
        <w:pStyle w:val="Compact"/>
        <w:numPr>
          <w:ilvl w:val="0"/>
          <w:numId w:val="1004"/>
        </w:numPr>
      </w:pPr>
      <w:r>
        <w:t xml:space="preserve">Forceps</w:t>
      </w:r>
    </w:p>
    <w:p>
      <w:pPr>
        <w:pStyle w:val="Compact"/>
        <w:numPr>
          <w:ilvl w:val="0"/>
          <w:numId w:val="1004"/>
        </w:numPr>
      </w:pPr>
      <w:r>
        <w:t xml:space="preserve">Scalpel</w:t>
      </w:r>
    </w:p>
    <w:p>
      <w:pPr>
        <w:pStyle w:val="Compact"/>
        <w:numPr>
          <w:ilvl w:val="0"/>
          <w:numId w:val="1004"/>
        </w:numPr>
      </w:pPr>
      <w:r>
        <w:t xml:space="preserve">Small jar with lid or plates with lids</w:t>
      </w:r>
    </w:p>
    <w:p>
      <w:pPr>
        <w:pStyle w:val="Compact"/>
        <w:numPr>
          <w:ilvl w:val="0"/>
          <w:numId w:val="1004"/>
        </w:numPr>
      </w:pPr>
      <w:r>
        <w:t xml:space="preserve">Pure fungal culture</w:t>
      </w:r>
    </w:p>
    <w:bookmarkEnd w:id="30"/>
    <w:bookmarkStart w:id="31" w:name="module-6-sample-submission"/>
    <w:p>
      <w:pPr>
        <w:pStyle w:val="Heading3"/>
      </w:pPr>
      <w:r>
        <w:t xml:space="preserve">Module 6 – Sample Submission</w:t>
      </w:r>
    </w:p>
    <w:p>
      <w:pPr>
        <w:pStyle w:val="Compact"/>
        <w:numPr>
          <w:ilvl w:val="0"/>
          <w:numId w:val="1005"/>
        </w:numPr>
      </w:pPr>
      <w:r>
        <w:t xml:space="preserve">Shipping samples</w:t>
      </w:r>
    </w:p>
    <w:p>
      <w:pPr>
        <w:pStyle w:val="Compact"/>
        <w:numPr>
          <w:ilvl w:val="0"/>
          <w:numId w:val="1005"/>
        </w:numPr>
      </w:pPr>
      <w:r>
        <w:t xml:space="preserve">Sample form printout</w:t>
      </w:r>
    </w:p>
    <w:bookmarkEnd w:id="31"/>
    <w:bookmarkStart w:id="32" w:name="module-7-genomic-analyses"/>
    <w:p>
      <w:pPr>
        <w:pStyle w:val="Heading3"/>
      </w:pPr>
      <w:r>
        <w:t xml:space="preserve">Module 7 – Genomic Analyses</w:t>
      </w:r>
    </w:p>
    <w:p>
      <w:pPr>
        <w:pStyle w:val="Compact"/>
        <w:numPr>
          <w:ilvl w:val="0"/>
          <w:numId w:val="1006"/>
        </w:numPr>
      </w:pPr>
      <w:r>
        <w:t xml:space="preserve">Access to Mycocosm</w:t>
      </w:r>
    </w:p>
    <w:p>
      <w:pPr>
        <w:pStyle w:val="Compact"/>
        <w:numPr>
          <w:ilvl w:val="0"/>
          <w:numId w:val="1006"/>
        </w:numPr>
      </w:pPr>
      <w:r>
        <w:t xml:space="preserve">Computer with internet access</w:t>
      </w:r>
    </w:p>
    <w:bookmarkEnd w:id="32"/>
    <w:bookmarkEnd w:id="33"/>
    <w:bookmarkStart w:id="38" w:name="Xcbdbfd15cc4383fe5deee011eccaab33ef2e95c"/>
    <w:p>
      <w:pPr>
        <w:pStyle w:val="Heading2"/>
      </w:pPr>
      <w:r>
        <w:t xml:space="preserve">Module 0.2 – Create iNaturalist Traditional Project Instructions</w:t>
      </w:r>
    </w:p>
    <w:bookmarkStart w:id="34" w:name="inaturalist-introduction"/>
    <w:p>
      <w:pPr>
        <w:pStyle w:val="Heading3"/>
      </w:pPr>
      <w:r>
        <w:t xml:space="preserve">iNaturalist Introduction</w:t>
      </w:r>
    </w:p>
    <w:p>
      <w:pPr>
        <w:pStyle w:val="FirstParagraph"/>
      </w:pPr>
      <w:r>
        <w:t xml:space="preserve">iNaturalist is a tool that we can use to document the fungal isolates in Myco-Ed courses. This tool allows instructors and students to record the metadata associated with the fungal isolates. Metadata will include plant species, geographic location, elevation, fungal DNA sequences, growth assays, and any other data relevant for this project. This platform will also enable us to track growth of the MycoEd project. The goal of this long-term research project is to develop annotated fungal genomes to better understand fungal biology.</w:t>
      </w:r>
    </w:p>
    <w:p>
      <w:pPr>
        <w:pStyle w:val="BodyText"/>
      </w:pPr>
      <w:r>
        <w:t xml:space="preserve">To begin, make sure that you have an iNaturalist account.</w:t>
      </w:r>
    </w:p>
    <w:bookmarkEnd w:id="34"/>
    <w:bookmarkStart w:id="35" w:name="project-overview"/>
    <w:p>
      <w:pPr>
        <w:pStyle w:val="Heading3"/>
      </w:pPr>
      <w:r>
        <w:t xml:space="preserve">Project Overview</w:t>
      </w:r>
    </w:p>
    <w:p>
      <w:pPr>
        <w:pStyle w:val="FirstParagraph"/>
      </w:pPr>
      <w:r>
        <w:t xml:space="preserve">There are three kinds of projects:</w:t>
      </w:r>
      <w:r>
        <w:t xml:space="preserve"> </w:t>
      </w:r>
      <w:r>
        <w:t xml:space="preserve">1. Umbrella Projects</w:t>
      </w:r>
      <w:r>
        <w:t xml:space="preserve"> </w:t>
      </w:r>
      <w:r>
        <w:t xml:space="preserve">2. Collection Projects</w:t>
      </w:r>
      <w:r>
        <w:t xml:space="preserve"> </w:t>
      </w:r>
      <w:r>
        <w:t xml:space="preserve">3. Traditional Projects</w:t>
      </w:r>
    </w:p>
    <w:p>
      <w:pPr>
        <w:pStyle w:val="BodyText"/>
      </w:pPr>
      <w:r>
        <w:t xml:space="preserve">The umbrella project for MycoEd is the MycoEd Fungal Genomics Education Project. Each course will establish a Traditional Project in iNaturalist. A traditional project allows us to control whose observations are included in the project, which enables better downstream data management. We ask that your class use the Traditional Project for MycoEd for only your MycoEd fungi. If your course includes a fungal collection using iNaturalist, please have a separate iNaturalist project for these fungal observations.</w:t>
      </w:r>
    </w:p>
    <w:bookmarkEnd w:id="35"/>
    <w:bookmarkStart w:id="36" w:name="Xbe7dd89d850e9accf36a8a51cd2d2bfb9177b29"/>
    <w:p>
      <w:pPr>
        <w:pStyle w:val="Heading3"/>
      </w:pPr>
      <w:r>
        <w:t xml:space="preserve">Make a MycoEd Traditional Project [Instructor Instructions]</w:t>
      </w:r>
    </w:p>
    <w:p>
      <w:pPr>
        <w:pStyle w:val="Compact"/>
        <w:numPr>
          <w:ilvl w:val="0"/>
          <w:numId w:val="1007"/>
        </w:numPr>
      </w:pPr>
      <w:r>
        <w:t xml:space="preserve">Log into iNaturalist.</w:t>
      </w:r>
    </w:p>
    <w:p>
      <w:pPr>
        <w:pStyle w:val="Compact"/>
        <w:numPr>
          <w:ilvl w:val="0"/>
          <w:numId w:val="1007"/>
        </w:numPr>
      </w:pPr>
      <w:r>
        <w:t xml:space="preserve">Go to Projects.</w:t>
      </w:r>
    </w:p>
    <w:p>
      <w:pPr>
        <w:pStyle w:val="Compact"/>
        <w:numPr>
          <w:ilvl w:val="0"/>
          <w:numId w:val="1007"/>
        </w:numPr>
      </w:pPr>
      <w:r>
        <w:t xml:space="preserve">This will take you to Your Projects.</w:t>
      </w:r>
    </w:p>
    <w:p>
      <w:pPr>
        <w:pStyle w:val="Compact"/>
        <w:numPr>
          <w:ilvl w:val="0"/>
          <w:numId w:val="1007"/>
        </w:numPr>
      </w:pPr>
      <w:r>
        <w:t xml:space="preserve">On the bottom right of the page, select Start a Project.</w:t>
      </w:r>
    </w:p>
    <w:p>
      <w:pPr>
        <w:pStyle w:val="Compact"/>
        <w:numPr>
          <w:ilvl w:val="0"/>
          <w:numId w:val="1007"/>
        </w:numPr>
      </w:pPr>
      <w:r>
        <w:t xml:space="preserve">Start a Traditional Project. Scroll to the bottom of the page to find the Traditional Project link for this option.</w:t>
      </w:r>
    </w:p>
    <w:p>
      <w:pPr>
        <w:pStyle w:val="FirstParagraph"/>
      </w:pPr>
      <w:r>
        <w:t xml:space="preserve">**Note: If you do not have this option, please contact Amy Honan (amy.honan@oregonstate.edu) or Andrew Wilson (andrew.wilson@BotanicGardens.org) for assistance.</w:t>
      </w:r>
    </w:p>
    <w:p>
      <w:pPr>
        <w:pStyle w:val="Compact"/>
        <w:numPr>
          <w:ilvl w:val="0"/>
          <w:numId w:val="1008"/>
        </w:numPr>
      </w:pPr>
      <w:r>
        <w:t xml:space="preserve">Complete the following criteria indicated in the lettered parts of the figure below:</w:t>
      </w:r>
    </w:p>
    <w:p>
      <w:pPr>
        <w:pStyle w:val="Compact"/>
        <w:numPr>
          <w:ilvl w:val="1"/>
          <w:numId w:val="1009"/>
        </w:numPr>
      </w:pPr>
      <w:r>
        <w:t xml:space="preserve">Add Title. Include Institution, term or semester, and year.</w:t>
      </w:r>
    </w:p>
    <w:p>
      <w:pPr>
        <w:pStyle w:val="Compact"/>
        <w:numPr>
          <w:ilvl w:val="1"/>
          <w:numId w:val="1009"/>
        </w:numPr>
      </w:pPr>
      <w:r>
        <w:t xml:space="preserve">Make this Invite Only. You will add your students to this project.</w:t>
      </w:r>
    </w:p>
    <w:p>
      <w:pPr>
        <w:pStyle w:val="Compact"/>
        <w:numPr>
          <w:ilvl w:val="1"/>
          <w:numId w:val="1009"/>
        </w:numPr>
      </w:pPr>
      <w:r>
        <w:t xml:space="preserve">Add images or logos as you see fit. This step is useful if you manage multiple projects.</w:t>
      </w:r>
    </w:p>
    <w:p>
      <w:pPr>
        <w:pStyle w:val="Compact"/>
        <w:numPr>
          <w:ilvl w:val="0"/>
          <w:numId w:val="1008"/>
        </w:numPr>
      </w:pPr>
      <w:r>
        <w:t xml:space="preserve">Other fields to consider:</w:t>
      </w:r>
    </w:p>
    <w:p>
      <w:pPr>
        <w:pStyle w:val="Compact"/>
        <w:numPr>
          <w:ilvl w:val="1"/>
          <w:numId w:val="1010"/>
        </w:numPr>
      </w:pPr>
      <w:r>
        <w:t xml:space="preserve">Location: You may choose to limit the locations of your observations. If your project is set to invite only, this is likely unnecessary.</w:t>
      </w:r>
    </w:p>
    <w:p>
      <w:pPr>
        <w:pStyle w:val="Compact"/>
        <w:numPr>
          <w:ilvl w:val="1"/>
          <w:numId w:val="1010"/>
        </w:numPr>
      </w:pPr>
      <w:r>
        <w:t xml:space="preserve">Observation Fields: Here you can link the fungal endophytes back to the host plants. In the future, we may have further instructions for data to add here.</w:t>
      </w:r>
    </w:p>
    <w:p>
      <w:pPr>
        <w:pStyle w:val="Compact"/>
        <w:numPr>
          <w:ilvl w:val="0"/>
          <w:numId w:val="1008"/>
        </w:numPr>
      </w:pPr>
      <w:r>
        <w:t xml:space="preserve">Complete the project by selecting the Create button.</w:t>
      </w:r>
    </w:p>
    <w:p>
      <w:pPr>
        <w:pStyle w:val="Compact"/>
        <w:numPr>
          <w:ilvl w:val="0"/>
          <w:numId w:val="1008"/>
        </w:numPr>
      </w:pPr>
      <w:r>
        <w:t xml:space="preserve">You may add your MycoEd concierges to your project if you wish (Andrew_wilson, ahonan).</w:t>
      </w:r>
    </w:p>
    <w:p>
      <w:pPr>
        <w:pStyle w:val="Compact"/>
        <w:numPr>
          <w:ilvl w:val="0"/>
          <w:numId w:val="1008"/>
        </w:numPr>
      </w:pPr>
      <w:r>
        <w:t xml:space="preserve">Email Andrew Wilson (andrew.wilson@BotanicGardens.org) to be added to the MycoEd Fungal Genomics Education Project.</w:t>
      </w:r>
    </w:p>
    <w:p>
      <w:pPr>
        <w:pStyle w:val="Compact"/>
        <w:numPr>
          <w:ilvl w:val="0"/>
          <w:numId w:val="1008"/>
        </w:numPr>
      </w:pPr>
      <w:r>
        <w:t xml:space="preserve">Add your project name to the text highlighted in yellow in copies of the following documents:</w:t>
      </w:r>
    </w:p>
    <w:p>
      <w:pPr>
        <w:pStyle w:val="Compact"/>
        <w:numPr>
          <w:ilvl w:val="1"/>
          <w:numId w:val="1011"/>
        </w:numPr>
      </w:pPr>
      <w:r>
        <w:t xml:space="preserve">Module 1 – Using iNaturalist</w:t>
      </w:r>
    </w:p>
    <w:p>
      <w:pPr>
        <w:pStyle w:val="Compact"/>
        <w:numPr>
          <w:ilvl w:val="1"/>
          <w:numId w:val="1011"/>
        </w:numPr>
      </w:pPr>
      <w:r>
        <w:t xml:space="preserve">Module 1 – Sampling Fungal Endophytes and Culturing Student Instructions</w:t>
      </w:r>
    </w:p>
    <w:p>
      <w:pPr>
        <w:pStyle w:val="FirstParagraph"/>
      </w:pPr>
      <w:r>
        <w:t xml:space="preserve">Adding your name to the copies of these documents will enable you to use them directly in your courses.</w:t>
      </w:r>
    </w:p>
    <w:bookmarkEnd w:id="36"/>
    <w:bookmarkStart w:id="37" w:name="add-participants-students-to-the-project"/>
    <w:p>
      <w:pPr>
        <w:pStyle w:val="Heading3"/>
      </w:pPr>
      <w:r>
        <w:t xml:space="preserve">Add Participants (=Students) To The Project</w:t>
      </w:r>
    </w:p>
    <w:p>
      <w:pPr>
        <w:pStyle w:val="FirstParagraph"/>
      </w:pPr>
      <w:r>
        <w:t xml:space="preserve">Because we’ve made the Project</w:t>
      </w:r>
      <w:r>
        <w:t xml:space="preserve"> </w:t>
      </w:r>
      <w:r>
        <w:t xml:space="preserve">“Invite Only”</w:t>
      </w:r>
      <w:r>
        <w:t xml:space="preserve"> </w:t>
      </w:r>
      <w:r>
        <w:t xml:space="preserve">you will need to manually invite each of the students to join the course. They are instructed to join the course in Module 1.2.</w:t>
      </w:r>
    </w:p>
    <w:p>
      <w:pPr>
        <w:pStyle w:val="Compact"/>
        <w:numPr>
          <w:ilvl w:val="0"/>
          <w:numId w:val="1012"/>
        </w:numPr>
      </w:pPr>
      <w:r>
        <w:t xml:space="preserve">Open your Myco-Ed project.</w:t>
      </w:r>
    </w:p>
    <w:p>
      <w:pPr>
        <w:pStyle w:val="Compact"/>
        <w:numPr>
          <w:ilvl w:val="0"/>
          <w:numId w:val="1012"/>
        </w:numPr>
      </w:pPr>
      <w:r>
        <w:t xml:space="preserve">Select the</w:t>
      </w:r>
      <w:r>
        <w:t xml:space="preserve"> </w:t>
      </w:r>
      <w:r>
        <w:t xml:space="preserve">“Members”</w:t>
      </w:r>
      <w:r>
        <w:t xml:space="preserve"> </w:t>
      </w:r>
      <w:r>
        <w:t xml:space="preserve">section on the lower right. In this section you can manage membership and participation for the project.</w:t>
      </w:r>
    </w:p>
    <w:p>
      <w:pPr>
        <w:pStyle w:val="Compact"/>
        <w:numPr>
          <w:ilvl w:val="0"/>
          <w:numId w:val="1012"/>
        </w:numPr>
      </w:pPr>
      <w:r>
        <w:t xml:space="preserve">Click on</w:t>
      </w:r>
      <w:r>
        <w:t xml:space="preserve"> </w:t>
      </w:r>
      <w:r>
        <w:t xml:space="preserve">“invite new members here”</w:t>
      </w:r>
      <w:r>
        <w:t xml:space="preserve"> </w:t>
      </w:r>
      <w:r>
        <w:t xml:space="preserve">in the yellow box on the right.</w:t>
      </w:r>
    </w:p>
    <w:p>
      <w:pPr>
        <w:pStyle w:val="Compact"/>
        <w:numPr>
          <w:ilvl w:val="0"/>
          <w:numId w:val="1012"/>
        </w:numPr>
      </w:pPr>
      <w:r>
        <w:t xml:space="preserve">Once you’ve received the iNaturalist User IDs, start adding your students to the blank space under</w:t>
      </w:r>
      <w:r>
        <w:t xml:space="preserve"> </w:t>
      </w:r>
      <w:r>
        <w:t xml:space="preserve">“Invite people…”</w:t>
      </w:r>
      <w:r>
        <w:t xml:space="preserve">. Their names/user ID should appear in the drop down menu.</w:t>
      </w:r>
    </w:p>
    <w:p>
      <w:pPr>
        <w:pStyle w:val="FirstParagraph"/>
      </w:pPr>
      <w:r>
        <w:t xml:space="preserve">If their names do not show up, it is because they have not completed their iNaturalist registration, or the User ID is different from what they’ve supplied.</w:t>
      </w:r>
    </w:p>
    <w:p>
      <w:pPr>
        <w:pStyle w:val="Compact"/>
        <w:numPr>
          <w:ilvl w:val="0"/>
          <w:numId w:val="1013"/>
        </w:numPr>
      </w:pPr>
      <w:r>
        <w:t xml:space="preserve">Instruct the students to look for their invitation and join the project. They must now add their course’s iNaturalist observations to the project for them to show up in the project.</w:t>
      </w:r>
    </w:p>
    <w:p>
      <w:pPr>
        <w:pStyle w:val="FirstParagraph"/>
      </w:pPr>
      <w:r>
        <w:t xml:space="preserve">Use this last step as a requirement for course credit to ensure the process is completed by students.</w:t>
      </w:r>
    </w:p>
    <w:bookmarkEnd w:id="37"/>
    <w:bookmarkEnd w:id="38"/>
    <w:bookmarkStart w:id="42" w:name="module-0.3-inaturalist-checklist"/>
    <w:p>
      <w:pPr>
        <w:pStyle w:val="Heading2"/>
      </w:pPr>
      <w:r>
        <w:t xml:space="preserve">Module 0.3 – iNaturalist Checklist</w:t>
      </w:r>
    </w:p>
    <w:bookmarkStart w:id="41" w:name="inaturalist-checklist"/>
    <w:p>
      <w:pPr>
        <w:pStyle w:val="Heading3"/>
      </w:pPr>
      <w:r>
        <w:t xml:space="preserve">iNaturalist Checklist</w:t>
      </w:r>
    </w:p>
    <w:p>
      <w:pPr>
        <w:pStyle w:val="FirstParagraph"/>
      </w:pPr>
      <w:r>
        <w:t xml:space="preserve">This checklist will help you track your progress in managing Myco-Ed project data using iNaturalist.</w:t>
      </w:r>
    </w:p>
    <w:bookmarkStart w:id="39" w:name="for-instructors"/>
    <w:p>
      <w:pPr>
        <w:pStyle w:val="Heading4"/>
      </w:pPr>
      <w:r>
        <w:t xml:space="preserve">For Instructors</w:t>
      </w:r>
    </w:p>
    <w:p>
      <w:pPr>
        <w:pStyle w:val="Compact"/>
        <w:numPr>
          <w:ilvl w:val="0"/>
          <w:numId w:val="1014"/>
        </w:numPr>
      </w:pPr>
      <w:r>
        <w:t xml:space="preserve">Create an iNaturalist Account. (Module 0.2)</w:t>
      </w:r>
    </w:p>
    <w:p>
      <w:pPr>
        <w:pStyle w:val="Compact"/>
        <w:numPr>
          <w:ilvl w:val="0"/>
          <w:numId w:val="1015"/>
        </w:numPr>
      </w:pPr>
      <w:r>
        <w:t xml:space="preserve">Create an iNaturalist Traditional Project for your course. (Module 0.2) You may need to request the assistance of the Myco-Ed team to create this if you do not have the pre-requisite number of observations.</w:t>
      </w:r>
    </w:p>
    <w:p>
      <w:pPr>
        <w:pStyle w:val="Compact"/>
        <w:numPr>
          <w:ilvl w:val="0"/>
          <w:numId w:val="1016"/>
        </w:numPr>
      </w:pPr>
      <w:r>
        <w:t xml:space="preserve">Tell your students the name of the iNaturalist Project, and request their iNaturalist user IDs.</w:t>
      </w:r>
    </w:p>
    <w:p>
      <w:pPr>
        <w:pStyle w:val="Compact"/>
        <w:numPr>
          <w:ilvl w:val="0"/>
          <w:numId w:val="1017"/>
        </w:numPr>
      </w:pPr>
      <w:r>
        <w:t xml:space="preserve">Add the students to the course project once they’ve completed Module 1.2. (Module 0.2)</w:t>
      </w:r>
    </w:p>
    <w:p>
      <w:pPr>
        <w:pStyle w:val="Compact"/>
        <w:numPr>
          <w:ilvl w:val="0"/>
          <w:numId w:val="1018"/>
        </w:numPr>
      </w:pPr>
      <w:r>
        <w:t xml:space="preserve">Instruct students on iNaturalist data management obligations for course credit (at the instructor’s discretion).</w:t>
      </w:r>
    </w:p>
    <w:bookmarkEnd w:id="39"/>
    <w:bookmarkStart w:id="40" w:name="for-studentsparticipants"/>
    <w:p>
      <w:pPr>
        <w:pStyle w:val="Heading4"/>
      </w:pPr>
      <w:r>
        <w:t xml:space="preserve">For Students/Participants</w:t>
      </w:r>
    </w:p>
    <w:p>
      <w:pPr>
        <w:pStyle w:val="FirstParagraph"/>
      </w:pPr>
      <w:r>
        <w:rPr>
          <w:b/>
          <w:bCs/>
        </w:rPr>
        <w:t xml:space="preserve">Homework Assignment 1 (Module 1.2)</w:t>
      </w:r>
      <w:r>
        <w:t xml:space="preserve"> </w:t>
      </w:r>
      <w:r>
        <w:t xml:space="preserve">- [ ] Create an iNaturalist Account.</w:t>
      </w:r>
      <w:r>
        <w:t xml:space="preserve"> </w:t>
      </w:r>
      <w:r>
        <w:t xml:space="preserve">- [ ] Get the iNaturalist App for your phone</w:t>
      </w:r>
      <w:r>
        <w:t xml:space="preserve"> </w:t>
      </w:r>
      <w:r>
        <w:t xml:space="preserve">- [ ] Give your instructor your iNaturalist User Name.</w:t>
      </w:r>
      <w:r>
        <w:t xml:space="preserve"> </w:t>
      </w:r>
      <w:r>
        <w:t xml:space="preserve">- [ ] Update your real name under your account settings.</w:t>
      </w:r>
      <w:r>
        <w:t xml:space="preserve"> </w:t>
      </w:r>
      <w:r>
        <w:t xml:space="preserve">- [ ] Watch some videos and tutorials.</w:t>
      </w:r>
      <w:r>
        <w:t xml:space="preserve"> </w:t>
      </w:r>
      <w:r>
        <w:t xml:space="preserve">- [ ] Join the course project once you receive an invitation from the instructor/TA.</w:t>
      </w:r>
    </w:p>
    <w:p>
      <w:pPr>
        <w:pStyle w:val="BodyText"/>
      </w:pPr>
      <w:r>
        <w:rPr>
          <w:b/>
          <w:bCs/>
        </w:rPr>
        <w:t xml:space="preserve">Make an Observation (Module 1.2)</w:t>
      </w:r>
      <w:r>
        <w:t xml:space="preserve"> </w:t>
      </w:r>
      <w:r>
        <w:t xml:space="preserve">- [ ] Take multiple images of the plant host (or habitat photos of the environment) and include at least one image with a unique field number. (e.g., MycoEd_004)</w:t>
      </w:r>
      <w:r>
        <w:t xml:space="preserve"> </w:t>
      </w:r>
      <w:r>
        <w:t xml:space="preserve">- [ ] Add the observation to your course project.</w:t>
      </w:r>
      <w:r>
        <w:t xml:space="preserve"> </w:t>
      </w:r>
      <w:r>
        <w:t xml:space="preserve">- [ ] Save and upload the observation to the cloud once you’re connected to wifi.</w:t>
      </w:r>
      <w:r>
        <w:t xml:space="preserve"> </w:t>
      </w:r>
      <w:r>
        <w:t xml:space="preserve">- [ ] Add Observation Field for MycoEd ID.</w:t>
      </w:r>
      <w:r>
        <w:t xml:space="preserve"> </w:t>
      </w:r>
      <w:r>
        <w:t xml:space="preserve">- [ ] Add Observation Field for DNA Barcode ITS once you have DNA sequence data.</w:t>
      </w:r>
      <w:r>
        <w:t xml:space="preserve"> </w:t>
      </w:r>
      <w:r>
        <w:t xml:space="preserve">- [ ] Update the name of fungal isolates using DNA sequence BLAST results.</w:t>
      </w:r>
      <w:r>
        <w:t xml:space="preserve"> </w:t>
      </w:r>
      <w:r>
        <w:t xml:space="preserve">- [ ] Add Observation Field for Host Observation for fungal isolates linking to the original host on iNaturalist.</w:t>
      </w:r>
    </w:p>
    <w:bookmarkEnd w:id="40"/>
    <w:bookmarkEnd w:id="41"/>
    <w:bookmarkEnd w:id="42"/>
    <w:bookmarkEnd w:id="43"/>
    <w:bookmarkStart w:id="66" w:name="module-1-fungal-sampling"/>
    <w:p>
      <w:pPr>
        <w:pStyle w:val="Heading1"/>
      </w:pPr>
      <w:r>
        <w:t xml:space="preserve">Module 1: Fungal Sampling</w:t>
      </w:r>
    </w:p>
    <w:bookmarkStart w:id="48" w:name="module-1.1-lab-prep-overview"/>
    <w:p>
      <w:pPr>
        <w:pStyle w:val="Heading2"/>
      </w:pPr>
      <w:r>
        <w:t xml:space="preserve">Module 1.1 – Lab Prep Overview</w:t>
      </w:r>
    </w:p>
    <w:bookmarkStart w:id="47" w:name="X77a2a5cde368cdc7e0265278fa1fc26eefd1a5c"/>
    <w:p>
      <w:pPr>
        <w:pStyle w:val="Heading3"/>
      </w:pPr>
      <w:r>
        <w:t xml:space="preserve">Instructor Laboratory Preparation Instructions</w:t>
      </w:r>
    </w:p>
    <w:p>
      <w:pPr>
        <w:pStyle w:val="FirstParagraph"/>
      </w:pPr>
      <w:r>
        <w:rPr>
          <w:b/>
          <w:bCs/>
        </w:rPr>
        <w:t xml:space="preserve">Materials:</w:t>
      </w:r>
      <w:r>
        <w:t xml:space="preserve"> </w:t>
      </w:r>
      <w:r>
        <w:t xml:space="preserve">- [ ] Cellophane discs (rinsed and individually wrapped before autoclaving)</w:t>
      </w:r>
      <w:r>
        <w:t xml:space="preserve"> </w:t>
      </w:r>
      <w:r>
        <w:t xml:space="preserve">- [ ] 100x15mm Petri dishes</w:t>
      </w:r>
      <w:r>
        <w:t xml:space="preserve"> </w:t>
      </w:r>
      <w:r>
        <w:t xml:space="preserve">- [ ] 60x15mm Petri dishes</w:t>
      </w:r>
      <w:r>
        <w:t xml:space="preserve"> </w:t>
      </w:r>
      <w:r>
        <w:t xml:space="preserve">- [ ] Bacteriological agar</w:t>
      </w:r>
      <w:r>
        <w:t xml:space="preserve"> </w:t>
      </w:r>
      <w:r>
        <w:t xml:space="preserve">- [ ] Forceps</w:t>
      </w:r>
      <w:r>
        <w:t xml:space="preserve"> </w:t>
      </w:r>
      <w:r>
        <w:t xml:space="preserve">- [ ] Scalpels or metal hole punch</w:t>
      </w:r>
    </w:p>
    <w:p>
      <w:pPr>
        <w:pStyle w:val="BodyText"/>
      </w:pPr>
      <w:r>
        <w:rPr>
          <w:b/>
          <w:bCs/>
        </w:rPr>
        <w:t xml:space="preserve">Lab Prep and Sterility:</w:t>
      </w:r>
      <w:r>
        <w:t xml:space="preserve"> </w:t>
      </w:r>
      <w:r>
        <w:t xml:space="preserve">We will be working at the bench and without Bunsen burners.</w:t>
      </w:r>
      <w:r>
        <w:t xml:space="preserve"> </w:t>
      </w:r>
      <w:r>
        <w:rPr>
          <w:b/>
          <w:bCs/>
        </w:rPr>
        <w:t xml:space="preserve">Be very careful and do not leave plates open for long periods.</w:t>
      </w:r>
      <w:r>
        <w:t xml:space="preserve"> </w:t>
      </w:r>
      <w:r>
        <w:t xml:space="preserve">First, clean your work area with bleach, and/or ethanol. We will use clean benches and laminar flow hoods when available, but this is a good alternative for those without access to these resources.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warning.png" id="46"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Note that we will be working with fungi, which are generally not harmful to humans, but can cause allergic reactions in some individuals. Always practice good sterile technique and handle all materials with care. If you have any concerns about allergies or sensitivities, please consult with your instructor before beginning the lab.</w:t>
            </w:r>
          </w:p>
          <w:p>
            <w:pPr>
              <w:pStyle w:val="BodyText"/>
            </w:pPr>
            <w:pPr>
              <w:spacing w:after="16"/>
            </w:pPr>
            <w:r>
              <w:t xml:space="preserve">Additionally, we may not be able to work in a laminar flow hood, which increases the risk of contamination. Be extra cautious with sterile technique and be prepared for some contamination in your plates.</w:t>
            </w:r>
            <w:r>
              <w:t xml:space="preserve"> </w:t>
            </w:r>
            <w:r>
              <w:rPr>
                <w:b/>
                <w:bCs/>
              </w:rPr>
              <w:t xml:space="preserve">Work carefully and do not leave plates open for long periods of time.</w:t>
            </w:r>
          </w:p>
          <w:p/>
        </w:tc>
      </w:tr>
    </w:tbl>
    <w:p>
      <w:pPr>
        <w:pStyle w:val="BodyText"/>
      </w:pPr>
      <w:r>
        <w:rPr>
          <w:b/>
          <w:bCs/>
        </w:rPr>
        <w:t xml:space="preserve">Water Agar Plates:</w:t>
      </w:r>
      <w:r>
        <w:t xml:space="preserve"> </w:t>
      </w:r>
      <w:r>
        <w:t xml:space="preserve">Student scholars isolate fungal endophytes from leaves on water agar. We use one 100x15mm Petri dish to plate up to 6 leaf discs.</w:t>
      </w:r>
    </w:p>
    <w:p>
      <w:pPr>
        <w:pStyle w:val="BodyText"/>
      </w:pPr>
      <w:r>
        <w:rPr>
          <w:b/>
          <w:bCs/>
        </w:rPr>
        <w:t xml:space="preserve">Water Agar Recipe:</w:t>
      </w:r>
      <w:r>
        <w:t xml:space="preserve"> </w:t>
      </w:r>
      <w:r>
        <w:t xml:space="preserve">Suspend 39 grams bacteriological agar in 1000 mL (1 L) distilled water. Heat to boiling to dissolve the medium completely (in most cases, this step can be skipped as autoclaving will dissolve media). Sterilize by autoclaving at 15 lbs pressure at 121 °C for 15 minutes.</w:t>
      </w:r>
    </w:p>
    <w:p>
      <w:pPr>
        <w:pStyle w:val="BodyText"/>
      </w:pPr>
      <w:r>
        <w:t xml:space="preserve">When the media is cool enough to handle with autoclave gloves, pour 100x15mm plates in a sterile environment. Do not let it cool too long as the media will solidify. Each 100x15mm plate holds approximately 20 ml media. If plates will be used immediately smaller amounts of media can be poured into plates. If plates will be stored, use larger amounts. Store plates in the original dish sleeve in a refrigerator (~4 °C) until use.</w:t>
      </w:r>
    </w:p>
    <w:p>
      <w:pPr>
        <w:pStyle w:val="BodyText"/>
      </w:pPr>
      <w:r>
        <w:rPr>
          <w:b/>
          <w:bCs/>
        </w:rPr>
        <w:t xml:space="preserve">Disposal:</w:t>
      </w:r>
      <w:r>
        <w:t xml:space="preserve"> </w:t>
      </w:r>
      <w:r>
        <w:t xml:space="preserve">Place all Petri dishes in an autoclavable bag and sterilize at 15 lbs. pressure at 121 °C for 15 minutes. Follow institutional protocol for post-sterilization disposal. Be sure that the disposal of any heavy metals or other chemicals is properly handled.</w:t>
      </w:r>
    </w:p>
    <w:bookmarkEnd w:id="47"/>
    <w:bookmarkEnd w:id="48"/>
    <w:bookmarkStart w:id="55" w:name="module-1.2-metadata-directions"/>
    <w:p>
      <w:pPr>
        <w:pStyle w:val="Heading2"/>
      </w:pPr>
      <w:r>
        <w:t xml:space="preserve">Module 1.2 – Metadata Directions</w:t>
      </w:r>
    </w:p>
    <w:bookmarkStart w:id="49" w:name="metadata"/>
    <w:p>
      <w:pPr>
        <w:pStyle w:val="Heading3"/>
      </w:pPr>
      <w:r>
        <w:t xml:space="preserve">Metadata</w:t>
      </w:r>
    </w:p>
    <w:p>
      <w:pPr>
        <w:pStyle w:val="DefinitionTerm"/>
      </w:pPr>
      <w:r>
        <w:t xml:space="preserve">Metadata</w:t>
      </w:r>
    </w:p>
    <w:p>
      <w:pPr>
        <w:pStyle w:val="Definition"/>
      </w:pPr>
      <w:r>
        <w:t xml:space="preserve">is the data providing information about other data.</w:t>
      </w:r>
      <w:r>
        <w:t xml:space="preserve"> </w:t>
      </w:r>
      <w:r>
        <w:t xml:space="preserve">In this project, metadata refers to information related to the fungi you will study, including information about the substrate (e.g., plant host for fungal endophytes), location (latitude and longitude), elevation, images, fungal species, growth rates, assay information, images, and other variables. This document guides you through capturing this data and where to document it.</w:t>
      </w:r>
    </w:p>
    <w:p>
      <w:pPr>
        <w:pStyle w:val="FirstParagraph"/>
      </w:pPr>
      <w:r>
        <w:t xml:space="preserve">Once you have selected the plant(s) that you will isolate fungi from, upload an image of each plant to your course’s iNaturalist Project page. This part of the larger MycoEd Fungal Genomics Education Project. The fungi you isolate from this plant and the data associated with the fungal isolates will be linked back to this observation. These data will then be freely available to you and any other researchers interested in investigating fungal endophyte ecology and genomics.</w:t>
      </w:r>
    </w:p>
    <w:p>
      <w:pPr>
        <w:pStyle w:val="BodyText"/>
      </w:pPr>
      <w:r>
        <w:t xml:space="preserve">Record metadata on the</w:t>
      </w:r>
      <w:r>
        <w:t xml:space="preserve"> </w:t>
      </w:r>
      <w:r>
        <w:rPr>
          <w:b/>
          <w:bCs/>
        </w:rPr>
        <w:t xml:space="preserve">Endophyte spreadsheet</w:t>
      </w:r>
      <w:r>
        <w:t xml:space="preserve">. Below are descriptions for each category where necessary.</w:t>
      </w:r>
    </w:p>
    <w:bookmarkEnd w:id="49"/>
    <w:bookmarkStart w:id="50" w:name="inaturalist-plant-observation"/>
    <w:p>
      <w:pPr>
        <w:pStyle w:val="Heading3"/>
      </w:pPr>
      <w:r>
        <w:t xml:space="preserve">iNaturalist plant observation:</w:t>
      </w:r>
    </w:p>
    <w:p>
      <w:pPr>
        <w:pStyle w:val="FirstParagraph"/>
      </w:pPr>
      <w:r>
        <w:t xml:space="preserve">[NC State Myco Ed on iNaturalist] (https://www.inaturalist.org/projects/nc-state-myco-ed)</w:t>
      </w:r>
      <w:r>
        <w:t xml:space="preserve"> </w:t>
      </w:r>
      <w:r>
        <w:t xml:space="preserve">https://www.inaturalist.org/projects/nc-state-myco-ed</w:t>
      </w:r>
    </w:p>
    <w:bookmarkEnd w:id="50"/>
    <w:bookmarkStart w:id="51" w:name="sample-naming"/>
    <w:p>
      <w:pPr>
        <w:pStyle w:val="Heading3"/>
      </w:pPr>
      <w:r>
        <w:t xml:space="preserve">Sample Naming:</w:t>
      </w:r>
    </w:p>
    <w:p>
      <w:pPr>
        <w:pStyle w:val="FirstParagraph"/>
      </w:pPr>
      <w:r>
        <w:t xml:space="preserve">Your individual fungal isolates will be identified using several identifiers. The first will be the unique</w:t>
      </w:r>
      <w:r>
        <w:t xml:space="preserve"> </w:t>
      </w:r>
      <w:r>
        <w:rPr>
          <w:b/>
          <w:bCs/>
        </w:rPr>
        <w:t xml:space="preserve">Host ID number</w:t>
      </w:r>
      <w:r>
        <w:t xml:space="preserve"> </w:t>
      </w:r>
      <w:r>
        <w:t xml:space="preserve">that identifies the host for the fungi you isolate. Second will be</w:t>
      </w:r>
      <w:r>
        <w:t xml:space="preserve"> </w:t>
      </w:r>
      <w:r>
        <w:rPr>
          <w:b/>
          <w:bCs/>
        </w:rPr>
        <w:t xml:space="preserve">your initials</w:t>
      </w:r>
      <w:r>
        <w:t xml:space="preserve">. Please use at least 3 initials since some large courses may have students with shared initials. Third,</w:t>
      </w:r>
      <w:r>
        <w:t xml:space="preserve"> </w:t>
      </w:r>
      <w:r>
        <w:rPr>
          <w:b/>
          <w:bCs/>
        </w:rPr>
        <w:t xml:space="preserve">each individual leaf you cultured fungi from will be a separate number</w:t>
      </w:r>
      <w:r>
        <w:t xml:space="preserve">. If you take multiple samples from the same leaf, they will be identified by letters. For example, if you have one leaf or needle with 3 different sections, they would be 1a, 1b, and 1c.</w:t>
      </w:r>
    </w:p>
    <w:p>
      <w:pPr>
        <w:pStyle w:val="BodyText"/>
      </w:pPr>
      <w:r>
        <w:rPr>
          <w:b/>
          <w:bCs/>
        </w:rPr>
        <w:t xml:space="preserve">Example:</w:t>
      </w:r>
      <w:r>
        <w:t xml:space="preserve"> </w:t>
      </w:r>
      <w:r>
        <w:t xml:space="preserve">You have leaves collected from a maple tree on your campus. This tree was logged in iNaturalist and given a unique field number MycoED_004 (or whatever format the field numbers are provided in by your instructor/TA) (See the next module 1.2 for details). Let’s assume your initials are ABC. From this collection, you have three leaves that you culture from: leaf 1, leaf 2, and leaf 3. From each of these leaves, you take six segments, so these are letters a-f. So, if you isolate a fungus from the second leaf, third section, and your initials are ABC, the name of the isolate would look like MycoED_004_ABC_2c.</w:t>
      </w:r>
    </w:p>
    <w:p>
      <w:pPr>
        <w:pStyle w:val="BodyText"/>
      </w:pPr>
      <w:r>
        <w:t xml:space="preserve">With this naming scheme, anyone can trace the 1) plant host, 2) the researcher, 3) and the leaf and section the fungal isolate came from. NO other fungus will have this precise labeling unless additional fungi were isolated from this leaf section. After that step you will need to add additional identifiers.</w:t>
      </w:r>
    </w:p>
    <w:bookmarkEnd w:id="51"/>
    <w:bookmarkStart w:id="52" w:name="sample-location"/>
    <w:p>
      <w:pPr>
        <w:pStyle w:val="Heading3"/>
      </w:pPr>
      <w:r>
        <w:t xml:space="preserve">Sample location:</w:t>
      </w:r>
    </w:p>
    <w:p>
      <w:pPr>
        <w:pStyle w:val="FirstParagraph"/>
      </w:pPr>
      <w:r>
        <w:t xml:space="preserve">Record latitude and longitude in decimal format.</w:t>
      </w:r>
      <w:r>
        <w:t xml:space="preserve"> </w:t>
      </w:r>
      <w:r>
        <w:t xml:space="preserve">On a computer, go to iNaturalist observation. On the map, click on details at the bottom.</w:t>
      </w:r>
    </w:p>
    <w:p>
      <w:pPr>
        <w:pStyle w:val="BodyText"/>
      </w:pPr>
      <w:r>
        <w:t xml:space="preserve">From the dropdown menu. The Lat/Long is now shown. Click the copy button and paste it into the Excel Spreadsheet.</w:t>
      </w:r>
    </w:p>
    <w:p>
      <w:pPr>
        <w:pStyle w:val="BodyText"/>
      </w:pPr>
      <w:r>
        <w:t xml:space="preserve">You can also find Lat/Long coordinates on Google Maps.</w:t>
      </w:r>
      <w:r>
        <w:t xml:space="preserve"> </w:t>
      </w:r>
      <w:r>
        <w:t xml:space="preserve">For Android phones: tap location and copy and paste in a text and it’s automatically in decimal degree format.</w:t>
      </w:r>
      <w:r>
        <w:t xml:space="preserve"> </w:t>
      </w:r>
      <w:r>
        <w:t xml:space="preserve">For the iPhones:</w:t>
      </w:r>
      <w:r>
        <w:t xml:space="preserve"> </w:t>
      </w:r>
      <w:r>
        <w:t xml:space="preserve">1. Open the Google maps app. Tap the</w:t>
      </w:r>
      <w:r>
        <w:t xml:space="preserve"> </w:t>
      </w:r>
      <w:r>
        <w:t xml:space="preserve">“black triangle in a circle”</w:t>
      </w:r>
      <w:r>
        <w:t xml:space="preserve"> </w:t>
      </w:r>
      <w:r>
        <w:t xml:space="preserve">icon to zoom to your location.</w:t>
      </w:r>
      <w:r>
        <w:t xml:space="preserve"> </w:t>
      </w:r>
      <w:r>
        <w:t xml:space="preserve">2. Long touch on your location. This should open a tab at the bottom of the screen.</w:t>
      </w:r>
      <w:r>
        <w:t xml:space="preserve"> </w:t>
      </w:r>
      <w:r>
        <w:t xml:space="preserve">3. Scroll up. You should see the latitude and longitude coordinates of that position, looking something like this: (45.1234567, -122.1234567).</w:t>
      </w:r>
      <w:r>
        <w:t xml:space="preserve"> </w:t>
      </w:r>
      <w:r>
        <w:t xml:space="preserve">4. Long touch the coordinates, tap copy and then paste into an email or text.</w:t>
      </w:r>
    </w:p>
    <w:bookmarkEnd w:id="52"/>
    <w:bookmarkStart w:id="53" w:name="elevation"/>
    <w:p>
      <w:pPr>
        <w:pStyle w:val="Heading3"/>
      </w:pPr>
      <w:r>
        <w:t xml:space="preserve">Elevation:</w:t>
      </w:r>
    </w:p>
    <w:p>
      <w:pPr>
        <w:pStyle w:val="FirstParagraph"/>
      </w:pPr>
      <w:r>
        <w:t xml:space="preserve">Record the elevation of the plant in meters.</w:t>
      </w:r>
      <w:r>
        <w:t xml:space="preserve"> </w:t>
      </w:r>
      <w:r>
        <w:t xml:space="preserve">On a computer, go to iNaturalist observation and again, click on details at the bottom.</w:t>
      </w:r>
      <w:r>
        <w:t xml:space="preserve"> </w:t>
      </w:r>
      <w:r>
        <w:t xml:space="preserve">1. On a computer, go to iNaturalist observation and again, click on details at the bottom.</w:t>
      </w:r>
      <w:r>
        <w:t xml:space="preserve"> </w:t>
      </w:r>
      <w:r>
        <w:t xml:space="preserve">2. At the bottom of the details window, click macrostrat.</w:t>
      </w:r>
      <w:r>
        <w:t xml:space="preserve"> </w:t>
      </w:r>
      <w:r>
        <w:t xml:space="preserve">3. The next window will display elevation in meters in the upper right. Record this elevation.</w:t>
      </w:r>
    </w:p>
    <w:bookmarkEnd w:id="53"/>
    <w:bookmarkStart w:id="54" w:name="canopy"/>
    <w:p>
      <w:pPr>
        <w:pStyle w:val="Heading3"/>
      </w:pPr>
      <w:r>
        <w:t xml:space="preserve">Canopy:</w:t>
      </w:r>
    </w:p>
    <w:p>
      <w:pPr>
        <w:pStyle w:val="FirstParagraph"/>
      </w:pPr>
      <w:r>
        <w:t xml:space="preserve">Record the portion of the canopy where the leaf was collected (L-lower 1/3 of plant, M-middle 1/3 of plant, or U-upper 1/3 of plant).</w:t>
      </w:r>
    </w:p>
    <w:bookmarkEnd w:id="54"/>
    <w:bookmarkEnd w:id="55"/>
    <w:bookmarkStart w:id="62" w:name="Xb4fb397bd02a3abfe006792dec75e7bd20d5dfd"/>
    <w:p>
      <w:pPr>
        <w:pStyle w:val="Heading2"/>
      </w:pPr>
      <w:r>
        <w:t xml:space="preserve">Module 1.3 - Fungal Sampling and Culturing</w:t>
      </w:r>
    </w:p>
    <w:bookmarkStart w:id="56" w:name="purpose"/>
    <w:p>
      <w:pPr>
        <w:pStyle w:val="Heading3"/>
      </w:pPr>
      <w:r>
        <w:t xml:space="preserve">Purpose</w:t>
      </w:r>
    </w:p>
    <w:p>
      <w:pPr>
        <w:pStyle w:val="FirstParagraph"/>
      </w:pPr>
      <w:r>
        <w:t xml:space="preserve">This lab will introduce you to sterile/aseptic technique, culturing fungi, isolating cultures, and documenting fungal growth.</w:t>
      </w:r>
    </w:p>
    <w:bookmarkEnd w:id="56"/>
    <w:bookmarkStart w:id="57" w:name="introduction-1"/>
    <w:p>
      <w:pPr>
        <w:pStyle w:val="Heading3"/>
      </w:pPr>
      <w:r>
        <w:t xml:space="preserve">Introduction</w:t>
      </w:r>
    </w:p>
    <w:p>
      <w:pPr>
        <w:pStyle w:val="FirstParagraph"/>
      </w:pPr>
      <w:r>
        <w:t xml:space="preserve">Every species of plant surveyed to date hosts a multitude of fungal</w:t>
      </w:r>
      <w:r>
        <w:t xml:space="preserve"> </w:t>
      </w:r>
      <w:r>
        <w:rPr>
          <w:b/>
          <w:bCs/>
        </w:rPr>
        <w:t xml:space="preserve">endophytes</w:t>
      </w:r>
      <w:r>
        <w:t xml:space="preserve">. These symbiotic fungi exist in all plant tissues, including leaves, bark, roots, and reproductive structures such as flowers and seeds. All lineages of fungi contain endophytic species, however the majority of fungal endophytes described to date are Ascomycetes. Research has shown that fungal endophytes impact both plant species fitness and plant community fitness. Fungal endophytes can confer abiotic and biotic stress tolerance, influence biomass and water consumption, and alter resource allocation. The fungi live either between the plant cells, between the cell wall and the cell membrane, or sometimes even within the cell membrane. This project is part of the MycoEd Fungal Genomics Education Project. The goal of this long-term research project is to produce fungal reference genomes to better understand their biology.</w:t>
      </w:r>
    </w:p>
    <w:bookmarkEnd w:id="57"/>
    <w:bookmarkStart w:id="58" w:name="learning-goals"/>
    <w:p>
      <w:pPr>
        <w:pStyle w:val="Heading3"/>
      </w:pPr>
      <w:r>
        <w:t xml:space="preserve">Learning Goals</w:t>
      </w:r>
    </w:p>
    <w:p>
      <w:pPr>
        <w:pStyle w:val="Compact"/>
        <w:numPr>
          <w:ilvl w:val="0"/>
          <w:numId w:val="1019"/>
        </w:numPr>
      </w:pPr>
      <w:r>
        <w:t xml:space="preserve">Documentation using iNaturalist</w:t>
      </w:r>
    </w:p>
    <w:p>
      <w:pPr>
        <w:pStyle w:val="Compact"/>
        <w:numPr>
          <w:ilvl w:val="0"/>
          <w:numId w:val="1019"/>
        </w:numPr>
      </w:pPr>
      <w:r>
        <w:t xml:space="preserve">Practice sterile technique</w:t>
      </w:r>
    </w:p>
    <w:p>
      <w:pPr>
        <w:pStyle w:val="Compact"/>
        <w:numPr>
          <w:ilvl w:val="0"/>
          <w:numId w:val="1019"/>
        </w:numPr>
      </w:pPr>
      <w:r>
        <w:t xml:space="preserve">Culture and isolate fungi</w:t>
      </w:r>
    </w:p>
    <w:p>
      <w:pPr>
        <w:pStyle w:val="Compact"/>
        <w:numPr>
          <w:ilvl w:val="0"/>
          <w:numId w:val="1019"/>
        </w:numPr>
      </w:pPr>
      <w:r>
        <w:t xml:space="preserve">Investigate fungal endophytes</w:t>
      </w:r>
    </w:p>
    <w:p>
      <w:pPr>
        <w:pStyle w:val="Compact"/>
        <w:numPr>
          <w:ilvl w:val="0"/>
          <w:numId w:val="1019"/>
        </w:numPr>
      </w:pPr>
      <w:r>
        <w:t xml:space="preserve">Characterize morphology of fungal cultures</w:t>
      </w:r>
    </w:p>
    <w:bookmarkEnd w:id="58"/>
    <w:bookmarkStart w:id="59" w:name="lab-supplies"/>
    <w:p>
      <w:pPr>
        <w:pStyle w:val="Heading3"/>
      </w:pPr>
      <w:r>
        <w:t xml:space="preserve">Lab Supplies</w:t>
      </w:r>
    </w:p>
    <w:p>
      <w:pPr>
        <w:pStyle w:val="Compact"/>
        <w:numPr>
          <w:ilvl w:val="0"/>
          <w:numId w:val="1020"/>
        </w:numPr>
      </w:pPr>
      <w:r>
        <w:t xml:space="preserve">3 large water agar Petri plates - these are for initial isolation</w:t>
      </w:r>
    </w:p>
    <w:p>
      <w:pPr>
        <w:pStyle w:val="Compact"/>
        <w:numPr>
          <w:ilvl w:val="0"/>
          <w:numId w:val="1021"/>
        </w:numPr>
      </w:pPr>
      <w:r>
        <w:t xml:space="preserve">Sharpie</w:t>
      </w:r>
    </w:p>
    <w:p>
      <w:pPr>
        <w:pStyle w:val="Compact"/>
        <w:numPr>
          <w:ilvl w:val="0"/>
          <w:numId w:val="1022"/>
        </w:numPr>
      </w:pPr>
      <w:r>
        <w:t xml:space="preserve">Parafilm</w:t>
      </w:r>
    </w:p>
    <w:p>
      <w:pPr>
        <w:pStyle w:val="Compact"/>
        <w:numPr>
          <w:ilvl w:val="0"/>
          <w:numId w:val="1023"/>
        </w:numPr>
      </w:pPr>
      <w:r>
        <w:t xml:space="preserve">Paper towels</w:t>
      </w:r>
    </w:p>
    <w:p>
      <w:pPr>
        <w:pStyle w:val="Compact"/>
        <w:numPr>
          <w:ilvl w:val="0"/>
          <w:numId w:val="1024"/>
        </w:numPr>
      </w:pPr>
      <w:r>
        <w:t xml:space="preserve">Gloves</w:t>
      </w:r>
    </w:p>
    <w:p>
      <w:pPr>
        <w:pStyle w:val="Compact"/>
        <w:numPr>
          <w:ilvl w:val="0"/>
          <w:numId w:val="1025"/>
        </w:numPr>
      </w:pPr>
      <w:r>
        <w:t xml:space="preserve">Bleach</w:t>
      </w:r>
    </w:p>
    <w:p>
      <w:pPr>
        <w:pStyle w:val="Compact"/>
        <w:numPr>
          <w:ilvl w:val="0"/>
          <w:numId w:val="1026"/>
        </w:numPr>
      </w:pPr>
      <w:r>
        <w:t xml:space="preserve">Ethanol</w:t>
      </w:r>
    </w:p>
    <w:p>
      <w:pPr>
        <w:pStyle w:val="Compact"/>
        <w:numPr>
          <w:ilvl w:val="0"/>
          <w:numId w:val="1027"/>
        </w:numPr>
      </w:pPr>
      <w:r>
        <w:t xml:space="preserve">Scalpel</w:t>
      </w:r>
    </w:p>
    <w:p>
      <w:pPr>
        <w:pStyle w:val="Compact"/>
        <w:numPr>
          <w:ilvl w:val="0"/>
          <w:numId w:val="1028"/>
        </w:numPr>
      </w:pPr>
      <w:r>
        <w:t xml:space="preserve">Metal hole punch</w:t>
      </w:r>
    </w:p>
    <w:p>
      <w:pPr>
        <w:pStyle w:val="Compact"/>
        <w:numPr>
          <w:ilvl w:val="0"/>
          <w:numId w:val="1029"/>
        </w:numPr>
      </w:pPr>
      <w:r>
        <w:t xml:space="preserve">Forceps</w:t>
      </w:r>
    </w:p>
    <w:bookmarkEnd w:id="59"/>
    <w:bookmarkStart w:id="61" w:name="instructions"/>
    <w:p>
      <w:pPr>
        <w:pStyle w:val="Heading3"/>
      </w:pPr>
      <w:r>
        <w:t xml:space="preserve">Instructions</w:t>
      </w:r>
    </w:p>
    <w:bookmarkStart w:id="60" w:name="isolation-of-fungi-from-leaves"/>
    <w:p>
      <w:pPr>
        <w:pStyle w:val="Heading4"/>
      </w:pPr>
      <w:r>
        <w:t xml:space="preserve">Isolation of Fungi from Leaves</w:t>
      </w:r>
    </w:p>
    <w:p>
      <w:pPr>
        <w:pStyle w:val="FirstParagraph"/>
      </w:pPr>
      <w:r>
        <w:t xml:space="preserve">Before you begin, read through the entire instructions. Be sure to consult your instructor if you have any questions.</w:t>
      </w:r>
    </w:p>
    <w:p>
      <w:pPr>
        <w:pStyle w:val="BodyText"/>
      </w:pPr>
      <w:r>
        <w:rPr>
          <w:b/>
          <w:bCs/>
        </w:rPr>
        <w:t xml:space="preserve">Formulate your Research Question</w:t>
      </w:r>
      <w:r>
        <w:t xml:space="preserve"> </w:t>
      </w:r>
      <w:r>
        <w:t xml:space="preserve">You will attempt to culture fungi from a total of 18 leaf sections. You may use any combination of plant species, individual plants, leaf portions, or leaf cuttings in your setup. Choose a combination that interests you. Are you interested in capturing the diversity within an individual plant? If so, are you interested in looking at the diversity of endophytes within the canopy of individual plants? For this question, you would plate leaves from lower, middle, and upper canopies. Are you interested in documenting the fungal endophyte diversity within a plant species? For this investigation, collect leaves from multiple individuals of the same species. Perhaps you want to compare species diversity between different plant species. To investigate this question, collect plant leaves from a variety of plant species.</w:t>
      </w:r>
    </w:p>
    <w:p>
      <w:pPr>
        <w:pStyle w:val="BodyText"/>
      </w:pPr>
      <w:r>
        <w:rPr>
          <w:b/>
          <w:bCs/>
        </w:rPr>
        <w:t xml:space="preserve">Design your Experimental Setup</w:t>
      </w:r>
      <w:r>
        <w:t xml:space="preserve"> </w:t>
      </w:r>
      <w:r>
        <w:t xml:space="preserve">Once you have decided what endophyte communities you would like to explore, obtain green leaves from your target host plants. These can be from deciduous or evergreen plants, including needles from conifers. You should plate your leaves within 24 hours of collection. Refrigerate your leaves if you need to store them between collection and plating.</w:t>
      </w:r>
    </w:p>
    <w:p>
      <w:pPr>
        <w:pStyle w:val="BodyText"/>
      </w:pPr>
      <w:r>
        <w:rPr>
          <w:b/>
          <w:bCs/>
        </w:rPr>
        <w:t xml:space="preserve">Metadata</w:t>
      </w:r>
      <w:r>
        <w:t xml:space="preserve"> </w:t>
      </w:r>
      <w:r>
        <w:t xml:space="preserve">Upload an image of the plants you have chosen to your course’s iNaturalist Project page. Follow the instructions in Module 1.1 - Metadata Directions to be sure you have documented all necessary metadata.</w:t>
      </w:r>
    </w:p>
    <w:p>
      <w:pPr>
        <w:pStyle w:val="BodyText"/>
      </w:pPr>
      <w:r>
        <w:rPr>
          <w:b/>
          <w:bCs/>
        </w:rPr>
        <w:t xml:space="preserve">Sampling Endophytes</w:t>
      </w:r>
      <w:r>
        <w:t xml:space="preserve"> </w:t>
      </w:r>
      <w:r>
        <w:t xml:space="preserve">Materials needed:</w:t>
      </w:r>
      <w:r>
        <w:t xml:space="preserve"> </w:t>
      </w:r>
      <w:r>
        <w:t xml:space="preserve">- [ ] Your phone with iNaturalist.</w:t>
      </w:r>
      <w:r>
        <w:t xml:space="preserve"> </w:t>
      </w:r>
      <w:r>
        <w:t xml:space="preserve">- [ ] Sample labels with unique ID numbers.</w:t>
      </w:r>
      <w:r>
        <w:t xml:space="preserve"> </w:t>
      </w:r>
      <w:r>
        <w:t xml:space="preserve">- [ ] Paper bags for samples.</w:t>
      </w:r>
      <w:r>
        <w:t xml:space="preserve"> </w:t>
      </w:r>
      <w:r>
        <w:t xml:space="preserve">- [ ] Clippers, scissors, or a knife to sample leaves.</w:t>
      </w:r>
    </w:p>
    <w:p>
      <w:pPr>
        <w:pStyle w:val="BodyText"/>
      </w:pPr>
      <w:r>
        <w:rPr>
          <w:b/>
          <w:bCs/>
        </w:rPr>
        <w:t xml:space="preserve">Protocol:</w:t>
      </w:r>
      <w:r>
        <w:t xml:space="preserve"> </w:t>
      </w:r>
      <w:r>
        <w:t xml:space="preserve">1. Find a tree, or other plant to sample. Ideally, one that has healthy leaves.</w:t>
      </w:r>
      <w:r>
        <w:t xml:space="preserve"> </w:t>
      </w:r>
      <w:r>
        <w:t xml:space="preserve">2. Make an iNaturalist observation of the plant on your phone.</w:t>
      </w:r>
      <w:r>
        <w:t xml:space="preserve"> </w:t>
      </w:r>
      <w:r>
        <w:t xml:space="preserve">a. Take multiple images.</w:t>
      </w:r>
      <w:r>
        <w:t xml:space="preserve"> </w:t>
      </w:r>
      <w:r>
        <w:t xml:space="preserve">i. At least one of the entire plant.</w:t>
      </w:r>
      <w:r>
        <w:t xml:space="preserve"> </w:t>
      </w:r>
      <w:r>
        <w:t xml:space="preserve">ii. Multiple closer pictures of the leaves, bark, any flowers or fruit, etc.</w:t>
      </w:r>
      <w:r>
        <w:t xml:space="preserve"> </w:t>
      </w:r>
      <w:r>
        <w:t xml:space="preserve">iii. At least one observation must include one sample label with an ID number.</w:t>
      </w:r>
      <w:r>
        <w:t xml:space="preserve"> </w:t>
      </w:r>
      <w:r>
        <w:t xml:space="preserve">b. Go to the projects section on iNaturalist.</w:t>
      </w:r>
      <w:r>
        <w:t xml:space="preserve"> </w:t>
      </w:r>
      <w:r>
        <w:t xml:space="preserve">i. Select</w:t>
      </w:r>
      <w:r>
        <w:t xml:space="preserve"> </w:t>
      </w:r>
      <w:r>
        <w:t xml:space="preserve">“Your iNaturalist Project”</w:t>
      </w:r>
      <w:r>
        <w:t xml:space="preserve">.</w:t>
      </w:r>
      <w:r>
        <w:t xml:space="preserve"> </w:t>
      </w:r>
      <w:r>
        <w:t xml:space="preserve">c. Save the observation on iNaturalist.</w:t>
      </w:r>
      <w:r>
        <w:t xml:space="preserve"> </w:t>
      </w:r>
      <w:r>
        <w:t xml:space="preserve">i. Follow instructions in Module 1.2 Using iNaturalist</w:t>
      </w:r>
      <w:r>
        <w:t xml:space="preserve"> </w:t>
      </w:r>
      <w:r>
        <w:t xml:space="preserve">3. Place the label in a paper bag.</w:t>
      </w:r>
      <w:r>
        <w:t xml:space="preserve"> </w:t>
      </w:r>
      <w:r>
        <w:t xml:space="preserve">4. Sample up to three leaves using your cutting instrument.</w:t>
      </w:r>
      <w:r>
        <w:t xml:space="preserve"> </w:t>
      </w:r>
      <w:r>
        <w:t xml:space="preserve">5. Put the leaf samples into the bag.</w:t>
      </w:r>
    </w:p>
    <w:p>
      <w:pPr>
        <w:pStyle w:val="BodyText"/>
      </w:pPr>
      <w:r>
        <w:rPr>
          <w:b/>
          <w:bCs/>
        </w:rPr>
        <w:t xml:space="preserve">Culturing Fungi From Leaves</w:t>
      </w:r>
      <w:r>
        <w:t xml:space="preserve"> </w:t>
      </w:r>
      <w:r>
        <w:t xml:space="preserve">You have 3 larger (100x15mm) Petri dishes that contain water agar. Water agar media is more clear (whitish to translucent) than the smaller Petri dishes which contain Potato Dextrose Agar (PDA). These water agar plates will be used for Part I of this exercise. Section each of these into 6 regions as depicted in Figure 1. This will provide you space to culture 18 leaf sections.</w:t>
      </w:r>
    </w:p>
    <w:p>
      <w:pPr>
        <w:pStyle w:val="BodyText"/>
      </w:pPr>
      <w:r>
        <w:t xml:space="preserve">Gather all supplies including sterilized water, 70% EtOH, and 10% bleach solution. Label the Petri dishes and read through procedures before starting. Place bleach solution and sterile water in a container with enough space to dip leaf tissue. Use the provided scalpel or metal paper hole punch from your lab kit to take leaf subsamples.</w:t>
      </w:r>
    </w:p>
    <w:p>
      <w:pPr>
        <w:pStyle w:val="Compact"/>
        <w:numPr>
          <w:ilvl w:val="0"/>
          <w:numId w:val="1030"/>
        </w:numPr>
      </w:pPr>
      <w:r>
        <w:t xml:space="preserve">Sanitize/sterilize all work surfaces. Wipe surfaces with ethanol. Choose a working location with the least amount of airflow to prevent contamination. If available, set up torches on either side of your work area with the flames aimed toward the middle of your workspace. The heat generated from the torches creates an the potential of airborne contaminants.</w:t>
      </w:r>
    </w:p>
    <w:p>
      <w:pPr>
        <w:pStyle w:val="Compact"/>
        <w:numPr>
          <w:ilvl w:val="0"/>
          <w:numId w:val="1030"/>
        </w:numPr>
      </w:pPr>
      <w:r>
        <w:t xml:space="preserve">Sterilize tools (scalpel or hole punch and forceps)</w:t>
      </w:r>
    </w:p>
    <w:p>
      <w:pPr>
        <w:pStyle w:val="Compact"/>
        <w:numPr>
          <w:ilvl w:val="1"/>
          <w:numId w:val="1031"/>
        </w:numPr>
      </w:pPr>
      <w:r>
        <w:t xml:space="preserve">Heat your tool using a flame (candle, alcohol lamp, torch, or something similar).</w:t>
      </w:r>
    </w:p>
    <w:p>
      <w:pPr>
        <w:pStyle w:val="Compact"/>
        <w:numPr>
          <w:ilvl w:val="1"/>
          <w:numId w:val="1031"/>
        </w:numPr>
      </w:pPr>
      <w:r>
        <w:t xml:space="preserve">Let cool – you can dip the tool (scalpel or hole punch) into the bleach solution to cool.</w:t>
      </w:r>
    </w:p>
    <w:p>
      <w:pPr>
        <w:pStyle w:val="Compact"/>
        <w:numPr>
          <w:ilvl w:val="0"/>
          <w:numId w:val="1030"/>
        </w:numPr>
      </w:pPr>
      <w:r>
        <w:t xml:space="preserve">Cut leaf tissues. You may take as many cuttings from each leaf as desired. Be sure to label cuttings appropriately as described above. Cuttings should be ~1 cm.</w:t>
      </w:r>
    </w:p>
    <w:p>
      <w:pPr>
        <w:pStyle w:val="Compact"/>
        <w:numPr>
          <w:ilvl w:val="0"/>
          <w:numId w:val="1030"/>
        </w:numPr>
      </w:pPr>
      <w:r>
        <w:t xml:space="preserve">Surface sterilize leaf tissue. Using sterilized forceps (heat and cool as above), immerse each cutting in 10% bleach solution for 10 seconds.</w:t>
      </w:r>
    </w:p>
    <w:p>
      <w:pPr>
        <w:pStyle w:val="Compact"/>
        <w:numPr>
          <w:ilvl w:val="1"/>
          <w:numId w:val="1032"/>
        </w:numPr>
      </w:pPr>
      <w:r>
        <w:t xml:space="preserve">To prepare the bleach solution, sterilize water by boiling water for 10 minutes. You will need enough water for the bleach solution and rinse step. Distilled water is preferred. If unavailable, use tap water. Let water cool to room temperature before coming into contact with plant tissue.</w:t>
      </w:r>
    </w:p>
    <w:p>
      <w:pPr>
        <w:pStyle w:val="Compact"/>
        <w:numPr>
          <w:ilvl w:val="1"/>
          <w:numId w:val="1032"/>
        </w:numPr>
      </w:pPr>
      <w:r>
        <w:t xml:space="preserve">Mix 1ml (1/4 teaspoon) household bleach with 500 ml (2 cups) sterilized water.</w:t>
      </w:r>
    </w:p>
    <w:p>
      <w:pPr>
        <w:pStyle w:val="Compact"/>
        <w:numPr>
          <w:ilvl w:val="0"/>
          <w:numId w:val="1030"/>
        </w:numPr>
      </w:pPr>
      <w:r>
        <w:t xml:space="preserve">Rinse leaf tissue. Transfer leaf cutting from bleach solution using forceps and swirl in sterile water or %70 EtOH to rinse. Let excess water drip off leaf cutting or place on clean kimwipes to dry.</w:t>
      </w:r>
    </w:p>
    <w:p>
      <w:pPr>
        <w:pStyle w:val="Compact"/>
        <w:numPr>
          <w:ilvl w:val="0"/>
          <w:numId w:val="1030"/>
        </w:numPr>
      </w:pPr>
      <w:r>
        <w:t xml:space="preserve">Add tissue to water agar. Place up to 6 leaf cuttings per plate of water agar labeled as described above (Figure 1). The water agar plates are the larger plates that contain clear to whitish media. Use sterile technique. Be sure to sterilize forceps (heat with flame and cool) in between each leaf transfer.</w:t>
      </w:r>
    </w:p>
    <w:p>
      <w:pPr>
        <w:pStyle w:val="Compact"/>
        <w:numPr>
          <w:ilvl w:val="0"/>
          <w:numId w:val="1030"/>
        </w:numPr>
      </w:pPr>
      <w:r>
        <w:t xml:space="preserve">Seal Petri dish with Parafilm. This is a stretchy material similar to Saran Wrap. Cut a strip a little wider than the petri dish. Remove the paper backing. Hold one end of the Parafilm strip on the lip of the petri dish so that the gap between the lid and base is covered by the Parafilm. Keeping one end fixed with one hand, stretch and wrap the parafilm around the petri dish, sealing the gap between the lid and base of the petri dish. The stretching of the Parafilm will facilitate the seal, you will not need any tape to keep the Parafilm in place.</w:t>
      </w:r>
    </w:p>
    <w:p>
      <w:pPr>
        <w:pStyle w:val="Compact"/>
        <w:numPr>
          <w:ilvl w:val="0"/>
          <w:numId w:val="1030"/>
        </w:numPr>
      </w:pPr>
      <w:r>
        <w:t xml:space="preserve">Incubate at room temperature in the dark and examine for growth each day.</w:t>
      </w:r>
    </w:p>
    <w:bookmarkEnd w:id="60"/>
    <w:bookmarkEnd w:id="61"/>
    <w:bookmarkEnd w:id="62"/>
    <w:bookmarkStart w:id="65" w:name="module-1.4-using-inaturalist"/>
    <w:p>
      <w:pPr>
        <w:pStyle w:val="Heading2"/>
      </w:pPr>
      <w:r>
        <w:t xml:space="preserve">Module 1.4 – Using iNaturalist</w:t>
      </w:r>
    </w:p>
    <w:bookmarkStart w:id="63" w:name="using-inaturalist"/>
    <w:p>
      <w:pPr>
        <w:pStyle w:val="Heading3"/>
      </w:pPr>
      <w:r>
        <w:t xml:space="preserve">Using iNaturalist</w:t>
      </w:r>
    </w:p>
    <w:p>
      <w:pPr>
        <w:pStyle w:val="FirstParagraph"/>
      </w:pPr>
      <w:r>
        <w:t xml:space="preserve">For this semester we will be sampling plant tissue and isolating endophytic fungi for an experiment in fungal genomics. Part of this research will include the collection of important meta-data which includes latitude and longitude information, sampled material/host, and taxonomic information. To facilitate this we are using iNaturalist.</w:t>
      </w:r>
    </w:p>
    <w:p>
      <w:pPr>
        <w:pStyle w:val="BodyText"/>
      </w:pPr>
      <w:r>
        <w:rPr>
          <w:b/>
          <w:bCs/>
        </w:rPr>
        <w:t xml:space="preserve">Homework Assignment 1: Get set up to use iNaturalist.</w:t>
      </w:r>
      <w:r>
        <w:t xml:space="preserve"> </w:t>
      </w:r>
      <w:r>
        <w:t xml:space="preserve">- Go to https://www.inaturalist.org/ and make an account if you don’t already have one.</w:t>
      </w:r>
      <w:r>
        <w:t xml:space="preserve"> </w:t>
      </w:r>
      <w:r>
        <w:t xml:space="preserve">- Download the iNaturalist App to your phone.</w:t>
      </w:r>
      <w:r>
        <w:t xml:space="preserve"> </w:t>
      </w:r>
      <w:r>
        <w:t xml:space="preserve">- Give your iNaturalist user ID to your course instructor or TA. They will need this to add you to the course project. Be sure to ask your instructor for the name of the course project.</w:t>
      </w:r>
      <w:r>
        <w:t xml:space="preserve"> </w:t>
      </w:r>
      <w:r>
        <w:t xml:space="preserve">- Join your course project. Within your iNaturalist account, go to: Community&gt;Projects Assuming you’re invited you should see the name of your course project. Join the project. If you don’t see it, send your iNaturalist user ID to your Instructor or TA to receive an invitation.</w:t>
      </w:r>
      <w:r>
        <w:t xml:space="preserve"> </w:t>
      </w:r>
      <w:r>
        <w:t xml:space="preserve">- Add your Real Name to iNaturalist</w:t>
      </w:r>
      <w:r>
        <w:t xml:space="preserve"> </w:t>
      </w:r>
      <w:r>
        <w:t xml:space="preserve">- For your name to display properly you need it spelled out in your profile.</w:t>
      </w:r>
      <w:r>
        <w:t xml:space="preserve"> </w:t>
      </w:r>
      <w:r>
        <w:t xml:space="preserve">- Log into iNat.</w:t>
      </w:r>
      <w:r>
        <w:t xml:space="preserve"> </w:t>
      </w:r>
      <w:r>
        <w:t xml:space="preserve">- Go to your profile icon in the top right.</w:t>
      </w:r>
      <w:r>
        <w:t xml:space="preserve"> </w:t>
      </w:r>
      <w:r>
        <w:t xml:space="preserve">- Select Account Settings.</w:t>
      </w:r>
      <w:r>
        <w:t xml:space="preserve"> </w:t>
      </w:r>
      <w:r>
        <w:t xml:space="preserve">- Type your real name into the space under Display Name.</w:t>
      </w:r>
      <w:r>
        <w:t xml:space="preserve"> </w:t>
      </w:r>
      <w:r>
        <w:t xml:space="preserve">- iNaturalist Application Settings on your phone.</w:t>
      </w:r>
      <w:r>
        <w:t xml:space="preserve"> </w:t>
      </w:r>
      <w:r>
        <w:t xml:space="preserve">- Go to settings on your phone.</w:t>
      </w:r>
      <w:r>
        <w:t xml:space="preserve"> </w:t>
      </w:r>
      <w:r>
        <w:t xml:space="preserve">- Turn off</w:t>
      </w:r>
      <w:r>
        <w:t xml:space="preserve"> </w:t>
      </w:r>
      <w:r>
        <w:t xml:space="preserve">“Automatic Upload”</w:t>
      </w:r>
      <w:r>
        <w:t xml:space="preserve"> </w:t>
      </w:r>
      <w:r>
        <w:t xml:space="preserve">(recommended).</w:t>
      </w:r>
      <w:r>
        <w:t xml:space="preserve"> </w:t>
      </w:r>
      <w:r>
        <w:t xml:space="preserve">- Adjust settings as they suit you.</w:t>
      </w:r>
    </w:p>
    <w:p>
      <w:pPr>
        <w:pStyle w:val="BodyText"/>
      </w:pPr>
      <w:r>
        <w:rPr>
          <w:b/>
          <w:bCs/>
        </w:rPr>
        <w:t xml:space="preserve">Learn how to use iNaturalist to make observations for scientific research.</w:t>
      </w:r>
      <w:r>
        <w:t xml:space="preserve"> </w:t>
      </w:r>
      <w:r>
        <w:t xml:space="preserve">iNaturalist makes documenting samples easy through observations. We will use this to help collect the metadata on our specimens in the upcoming lab. To prepare yourself, please review the following resources.</w:t>
      </w:r>
    </w:p>
    <w:p>
      <w:pPr>
        <w:pStyle w:val="BodyText"/>
      </w:pPr>
      <w:r>
        <w:rPr>
          <w:b/>
          <w:bCs/>
        </w:rPr>
        <w:t xml:space="preserve">Homework Assignment 2: Review videos on how to document fungi.</w:t>
      </w:r>
      <w:r>
        <w:t xml:space="preserve"> </w:t>
      </w:r>
      <w:r>
        <w:t xml:space="preserve">- [ ] [Getting Started] (https://www.inaturalist.org/pages/getting+started)</w:t>
      </w:r>
      <w:r>
        <w:t xml:space="preserve"> </w:t>
      </w:r>
      <w:r>
        <w:t xml:space="preserve">- [ ] [iNaturalist Videos] (https://www.inaturalist.org/pages/video+tutorials)</w:t>
      </w:r>
      <w:r>
        <w:t xml:space="preserve"> </w:t>
      </w:r>
      <w:r>
        <w:t xml:space="preserve">- [ ] [NAMA/FunDiS How To Collect Research Specimens] (https://youtu.be/EgZw37NjxkA)</w:t>
      </w:r>
      <w:r>
        <w:t xml:space="preserve"> </w:t>
      </w:r>
      <w:r>
        <w:t xml:space="preserve">{{ &lt;video https://youtu.be/EgZw37NjxkA &gt;}}</w:t>
      </w:r>
      <w:r>
        <w:t xml:space="preserve"> </w:t>
      </w:r>
      <w:r>
        <w:t xml:space="preserve">- [ ] [FunDiS Photography] (https://fundis.org/get-started/photograph)</w:t>
      </w:r>
    </w:p>
    <w:p>
      <w:pPr>
        <w:pStyle w:val="BodyText"/>
      </w:pPr>
      <w:r>
        <w:t xml:space="preserve">Our protocol will be specific to our project, but will borrow from any/all of the video guides shown above.</w:t>
      </w:r>
    </w:p>
    <w:bookmarkEnd w:id="63"/>
    <w:bookmarkStart w:id="64" w:name="X1455788dff4268325d88f82fa4ef5fe4cdcf16a"/>
    <w:p>
      <w:pPr>
        <w:pStyle w:val="Heading3"/>
      </w:pPr>
      <w:r>
        <w:t xml:space="preserve">Making observations for your mycology course (Myco-Ed)</w:t>
      </w:r>
    </w:p>
    <w:p>
      <w:pPr>
        <w:pStyle w:val="FirstParagraph"/>
      </w:pPr>
      <w:r>
        <w:t xml:space="preserve">To make the best use of iNaturalist as a tool for this course, and the broader MycoEd Project, you need to make quality observations of plant hosts, and the fungal endophyte cultures that come from these plants.</w:t>
      </w:r>
    </w:p>
    <w:p>
      <w:pPr>
        <w:pStyle w:val="BodyText"/>
      </w:pPr>
      <w:r>
        <w:rPr>
          <w:b/>
          <w:bCs/>
        </w:rPr>
        <w:t xml:space="preserve">Required Ingredients</w:t>
      </w:r>
    </w:p>
    <w:p>
      <w:pPr>
        <w:pStyle w:val="BodyText"/>
      </w:pPr>
      <w:r>
        <w:rPr>
          <w:b/>
          <w:bCs/>
        </w:rPr>
        <w:t xml:space="preserve">Observations of Plant Hosts</w:t>
      </w:r>
      <w:r>
        <w:t xml:space="preserve"> </w:t>
      </w:r>
      <w:r>
        <w:t xml:space="preserve">1. Open your iNaturalist Application.</w:t>
      </w:r>
      <w:r>
        <w:t xml:space="preserve"> </w:t>
      </w:r>
      <w:r>
        <w:t xml:space="preserve">2. Make an observation of one host plant by taking a picture of it.</w:t>
      </w:r>
      <w:r>
        <w:t xml:space="preserve"> </w:t>
      </w:r>
      <w:r>
        <w:t xml:space="preserve">a. Find the camera icon in the app and take a picture of your plant.</w:t>
      </w:r>
      <w:r>
        <w:t xml:space="preserve"> </w:t>
      </w:r>
      <w:r>
        <w:t xml:space="preserve">b. Include one field label in an image of the plant. (see examples)</w:t>
      </w:r>
      <w:r>
        <w:t xml:space="preserve"> </w:t>
      </w:r>
      <w:r>
        <w:t xml:space="preserve">c. Take images from multiple perspectives: whole plant, leaves, flowers+fruits, branches, trunk, etc.</w:t>
      </w:r>
      <w:r>
        <w:t xml:space="preserve"> </w:t>
      </w:r>
      <w:r>
        <w:t xml:space="preserve">3. Alternatively, take images on your phone and upload them to iNaturalist. Again, make sure you are including a field label in your images.</w:t>
      </w:r>
      <w:r>
        <w:t xml:space="preserve"> </w:t>
      </w:r>
      <w:r>
        <w:t xml:space="preserve">4. Before saving the observation, add it to your course project using the app.</w:t>
      </w:r>
      <w:r>
        <w:t xml:space="preserve"> </w:t>
      </w:r>
      <w:r>
        <w:t xml:space="preserve">a. Go to</w:t>
      </w:r>
      <w:r>
        <w:t xml:space="preserve"> </w:t>
      </w:r>
      <w:r>
        <w:t xml:space="preserve">“Projects”</w:t>
      </w:r>
      <w:r>
        <w:t xml:space="preserve"> </w:t>
      </w:r>
      <w:r>
        <w:t xml:space="preserve">b. Select the course project.</w:t>
      </w:r>
      <w:r>
        <w:t xml:space="preserve"> </w:t>
      </w:r>
      <w:r>
        <w:t xml:space="preserve">NOTE: You must join the course project before this step. See the third bullet point at the beginning of these instructions.</w:t>
      </w:r>
      <w:r>
        <w:t xml:space="preserve"> </w:t>
      </w:r>
      <w:r>
        <w:t xml:space="preserve">5. Click Done to save your observation.</w:t>
      </w:r>
      <w:r>
        <w:t xml:space="preserve"> </w:t>
      </w:r>
      <w:r>
        <w:t xml:space="preserve">6. Assuming you’ve turned</w:t>
      </w:r>
      <w:r>
        <w:t xml:space="preserve"> </w:t>
      </w:r>
      <w:r>
        <w:t xml:space="preserve">“automatic upload”</w:t>
      </w:r>
      <w:r>
        <w:t xml:space="preserve"> </w:t>
      </w:r>
      <w:r>
        <w:t xml:space="preserve">off, you will need to manually upload your observation. This will appear green on your phone until it is uploaded.</w:t>
      </w:r>
      <w:r>
        <w:t xml:space="preserve"> </w:t>
      </w:r>
      <w:r>
        <w:t xml:space="preserve">7. Double-check your observation online.</w:t>
      </w:r>
      <w:r>
        <w:t xml:space="preserve"> </w:t>
      </w:r>
      <w:r>
        <w:t xml:space="preserve">a. It will appear on your account if it was uploaded correctly.</w:t>
      </w:r>
      <w:r>
        <w:t xml:space="preserve"> </w:t>
      </w:r>
      <w:r>
        <w:t xml:space="preserve">8. Add Myco-Ed ID. This will attach the field label ID number to this host observation.</w:t>
      </w:r>
      <w:r>
        <w:t xml:space="preserve"> </w:t>
      </w:r>
      <w:r>
        <w:t xml:space="preserve">a. Under Observations Fields, on the lower right portion of the page, type</w:t>
      </w:r>
      <w:r>
        <w:t xml:space="preserve"> </w:t>
      </w:r>
      <w:r>
        <w:t xml:space="preserve">“MycoEd”</w:t>
      </w:r>
      <w:r>
        <w:t xml:space="preserve"> </w:t>
      </w:r>
      <w:r>
        <w:t xml:space="preserve">b. Select</w:t>
      </w:r>
      <w:r>
        <w:t xml:space="preserve"> </w:t>
      </w:r>
      <w:r>
        <w:t xml:space="preserve">“MycoEd ID”</w:t>
      </w:r>
      <w:r>
        <w:t xml:space="preserve"> </w:t>
      </w:r>
      <w:r>
        <w:t xml:space="preserve">from the dropdown that appears.</w:t>
      </w:r>
      <w:r>
        <w:t xml:space="preserve"> </w:t>
      </w:r>
      <w:r>
        <w:t xml:space="preserve">c. Add the field label ID number assigned to this host in the blank field under MycoEd ID.</w:t>
      </w:r>
      <w:r>
        <w:t xml:space="preserve"> </w:t>
      </w:r>
      <w:r>
        <w:t xml:space="preserve">d. Click</w:t>
      </w:r>
      <w:r>
        <w:t xml:space="preserve"> </w:t>
      </w:r>
      <w:r>
        <w:t xml:space="preserve">“Add”</w:t>
      </w:r>
      <w:r>
        <w:t xml:space="preserve">.</w:t>
      </w:r>
    </w:p>
    <w:p>
      <w:pPr>
        <w:pStyle w:val="BodyText"/>
      </w:pPr>
      <w:r>
        <w:t xml:space="preserve">Under Project you should see the name for your course project. If not, click on the open field and the course project’s name should appear in the drop-down menu. Select the</w:t>
      </w:r>
    </w:p>
    <w:p>
      <w:pPr>
        <w:pStyle w:val="BodyText"/>
      </w:pPr>
      <w:r>
        <w:rPr>
          <w:b/>
          <w:bCs/>
        </w:rPr>
        <w:t xml:space="preserve">Observations of Fungal Cultures</w:t>
      </w:r>
      <w:r>
        <w:t xml:space="preserve"> </w:t>
      </w:r>
      <w:r>
        <w:t xml:space="preserve">Protocols for making observations of fungal cultures that follow the same steps as above with some added metadata that will go in as</w:t>
      </w:r>
      <w:r>
        <w:t xml:space="preserve"> </w:t>
      </w:r>
      <w:r>
        <w:t xml:space="preserve">“Observation Fields”</w:t>
      </w:r>
      <w:r>
        <w:t xml:space="preserve">.</w:t>
      </w:r>
    </w:p>
    <w:p>
      <w:pPr>
        <w:pStyle w:val="Compact"/>
        <w:numPr>
          <w:ilvl w:val="0"/>
          <w:numId w:val="1033"/>
        </w:numPr>
      </w:pPr>
      <w:r>
        <w:t xml:space="preserve">Open your iNaturalist Application.</w:t>
      </w:r>
    </w:p>
    <w:p>
      <w:pPr>
        <w:pStyle w:val="Compact"/>
        <w:numPr>
          <w:ilvl w:val="1"/>
          <w:numId w:val="1034"/>
        </w:numPr>
      </w:pPr>
      <w:r>
        <w:t xml:space="preserve">Alternatively, take images on your phone and upload them to iNaturalist.</w:t>
      </w:r>
    </w:p>
    <w:p>
      <w:pPr>
        <w:pStyle w:val="Compact"/>
        <w:numPr>
          <w:ilvl w:val="0"/>
          <w:numId w:val="1033"/>
        </w:numPr>
      </w:pPr>
      <w:r>
        <w:t xml:space="preserve">Make an observation of the fungal isolate by taking a picture of it.</w:t>
      </w:r>
    </w:p>
    <w:p>
      <w:pPr>
        <w:pStyle w:val="Compact"/>
        <w:numPr>
          <w:ilvl w:val="1"/>
          <w:numId w:val="1035"/>
        </w:numPr>
      </w:pPr>
      <w:r>
        <w:t xml:space="preserve">Take pictures from the top and bottom, including the label.</w:t>
      </w:r>
    </w:p>
    <w:p>
      <w:pPr>
        <w:pStyle w:val="Compact"/>
        <w:numPr>
          <w:ilvl w:val="0"/>
          <w:numId w:val="1033"/>
        </w:numPr>
      </w:pPr>
      <w:r>
        <w:t xml:space="preserve">Before saving the observation, add it to your course project using the app.</w:t>
      </w:r>
    </w:p>
    <w:p>
      <w:pPr>
        <w:pStyle w:val="Compact"/>
        <w:numPr>
          <w:ilvl w:val="1"/>
          <w:numId w:val="1036"/>
        </w:numPr>
      </w:pPr>
      <w:r>
        <w:t xml:space="preserve">Follow the instructions detailed above.</w:t>
      </w:r>
    </w:p>
    <w:p>
      <w:pPr>
        <w:pStyle w:val="Compact"/>
        <w:numPr>
          <w:ilvl w:val="0"/>
          <w:numId w:val="1033"/>
        </w:numPr>
      </w:pPr>
      <w:r>
        <w:t xml:space="preserve">Click Done to save your observation.</w:t>
      </w:r>
    </w:p>
    <w:p>
      <w:pPr>
        <w:pStyle w:val="Compact"/>
        <w:numPr>
          <w:ilvl w:val="0"/>
          <w:numId w:val="1033"/>
        </w:numPr>
      </w:pPr>
      <w:r>
        <w:t xml:space="preserve">Manually upload your observation. This will appear green on your phone until it is uploaded.</w:t>
      </w:r>
    </w:p>
    <w:p>
      <w:pPr>
        <w:pStyle w:val="Compact"/>
        <w:numPr>
          <w:ilvl w:val="0"/>
          <w:numId w:val="1033"/>
        </w:numPr>
      </w:pPr>
      <w:r>
        <w:t xml:space="preserve">Double-check your observation online.</w:t>
      </w:r>
    </w:p>
    <w:p>
      <w:pPr>
        <w:pStyle w:val="Compact"/>
        <w:numPr>
          <w:ilvl w:val="1"/>
          <w:numId w:val="1037"/>
        </w:numPr>
      </w:pPr>
      <w:r>
        <w:t xml:space="preserve">It will appear on your account if it was uploaded correctly.</w:t>
      </w:r>
    </w:p>
    <w:p>
      <w:pPr>
        <w:pStyle w:val="FirstParagraph"/>
      </w:pPr>
      <w:r>
        <w:rPr>
          <w:b/>
          <w:bCs/>
        </w:rPr>
        <w:t xml:space="preserve">Adding iNaturalist Observation Fields</w:t>
      </w:r>
      <w:r>
        <w:t xml:space="preserve"> </w:t>
      </w:r>
      <w:r>
        <w:t xml:space="preserve">15. Add MycoEd ID. This will attach the field label ID number to this host observation.</w:t>
      </w:r>
      <w:r>
        <w:t xml:space="preserve"> </w:t>
      </w:r>
      <w:r>
        <w:t xml:space="preserve">a. Follow the above directions.</w:t>
      </w:r>
      <w:r>
        <w:t xml:space="preserve"> </w:t>
      </w:r>
      <w:r>
        <w:t xml:space="preserve">b. The format of the MycoEd ID of fungal isolates should be in the form of: MycoEd Host ID_Your Initials_Leaf and Fragment number.</w:t>
      </w:r>
      <w:r>
        <w:t xml:space="preserve"> </w:t>
      </w:r>
      <w:r>
        <w:t xml:space="preserve">Example: MycoEd_004_ABC_2c</w:t>
      </w:r>
      <w:r>
        <w:t xml:space="preserve"> </w:t>
      </w:r>
      <w:r>
        <w:t xml:space="preserve">See: Myco-Ed Module 1.1 - Metadata, under the Sample Naming section</w:t>
      </w:r>
      <w:r>
        <w:t xml:space="preserve"> </w:t>
      </w:r>
      <w:r>
        <w:t xml:space="preserve">16. Add other iNaturalist Observation Fields</w:t>
      </w:r>
      <w:r>
        <w:t xml:space="preserve"> </w:t>
      </w:r>
      <w:r>
        <w:t xml:space="preserve">a. For ITS sequence data from fungal isolates, use DNA Sequence ITS</w:t>
      </w:r>
      <w:r>
        <w:t xml:space="preserve"> </w:t>
      </w:r>
      <w:r>
        <w:t xml:space="preserve">b. To link to the host iNaturalist observation for this fungus, use the Host Observation Observation Field and add the URL to the host observation.</w:t>
      </w:r>
    </w:p>
    <w:bookmarkEnd w:id="64"/>
    <w:bookmarkEnd w:id="65"/>
    <w:bookmarkEnd w:id="66"/>
    <w:bookmarkStart w:id="84" w:name="module-2-fungal-isolation"/>
    <w:p>
      <w:pPr>
        <w:pStyle w:val="Heading1"/>
      </w:pPr>
      <w:r>
        <w:t xml:space="preserve">Module 2: Fungal Isolation</w:t>
      </w:r>
    </w:p>
    <w:bookmarkStart w:id="75" w:name="module-2.1-lab-prep-overview"/>
    <w:p>
      <w:pPr>
        <w:pStyle w:val="Heading2"/>
      </w:pPr>
      <w:r>
        <w:t xml:space="preserve">Module 2.1 – Lab Prep Overview</w:t>
      </w:r>
    </w:p>
    <w:bookmarkStart w:id="74" w:name="X607910f6b5d5ec784b2986740c973a9a0beb010"/>
    <w:p>
      <w:pPr>
        <w:pStyle w:val="Heading3"/>
      </w:pPr>
      <w:r>
        <w:t xml:space="preserve">Instructor Laboratory Preparation Instructions</w:t>
      </w:r>
    </w:p>
    <w:p>
      <w:pPr>
        <w:pStyle w:val="FirstParagraph"/>
      </w:pPr>
      <w:r>
        <w:rPr>
          <w:b/>
          <w:bCs/>
        </w:rPr>
        <w:t xml:space="preserve">Materials:</w:t>
      </w:r>
      <w:r>
        <w:t xml:space="preserve"> </w:t>
      </w:r>
      <w:r>
        <w:t xml:space="preserve">- Cellophane</w:t>
      </w:r>
      <w:r>
        <w:t xml:space="preserve"> </w:t>
      </w:r>
      <w:r>
        <w:t xml:space="preserve">- 100x15mm Petri Dishes</w:t>
      </w:r>
      <w:r>
        <w:t xml:space="preserve"> </w:t>
      </w:r>
      <w:r>
        <w:t xml:space="preserve">- 60x15mm Petri Dishes</w:t>
      </w:r>
      <w:r>
        <w:t xml:space="preserve"> </w:t>
      </w:r>
      <w:r>
        <w:t xml:space="preserve">- Agar, Bacteriological</w:t>
      </w:r>
      <w:r>
        <w:t xml:space="preserve"> </w:t>
      </w:r>
      <w:r>
        <w:t xml:space="preserve">- Potato Dextrose Agar</w:t>
      </w:r>
      <w:r>
        <w:t xml:space="preserve"> </w:t>
      </w:r>
      <w:r>
        <w:t xml:space="preserve">- Alcohol Lamp or Bunsen Burner</w:t>
      </w:r>
      <w:r>
        <w:t xml:space="preserve"> </w:t>
      </w:r>
      <w:r>
        <w:t xml:space="preserve">- Forceps</w:t>
      </w:r>
      <w:r>
        <w:t xml:space="preserve"> </w:t>
      </w:r>
      <w:r>
        <w:t xml:space="preserve">- Scalpel (make sure the handle is metal, this will be flame sterilized, plastic will melt)</w:t>
      </w:r>
    </w:p>
    <w:p>
      <w:pPr>
        <w:pStyle w:val="BodyText"/>
      </w:pPr>
      <w:r>
        <w:rPr>
          <w:b/>
          <w:bCs/>
        </w:rPr>
        <w:t xml:space="preserve">Lab Prep:</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opt/quarto/share/formats/docx/important.png" id="69"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Read all directions and gather all supplies before beginning. Carefully clean your work area with bleach, and/or ethanol.</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0" name="Picture"/>
                  <a:graphic>
                    <a:graphicData uri="http://schemas.openxmlformats.org/drawingml/2006/picture">
                      <pic:pic>
                        <pic:nvPicPr>
                          <pic:cNvPr descr="/opt/quarto/share/formats/docx/warning.png" id="71"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Note that we will be working with fungi, which are generally not harmful to humans, but can cause allergic reactions in some individuals. Always practice good sterile technique and handle all materials with care. If you have any concerns about allergies or sensitivities, please consult with your instructor before beginning the lab.</w:t>
            </w:r>
          </w:p>
          <w:p>
            <w:pPr>
              <w:pStyle w:val="BodyText"/>
            </w:pPr>
            <w:pPr>
              <w:spacing w:after="16"/>
            </w:pPr>
            <w:r>
              <w:t xml:space="preserve">Additionally, we may not be able to work in a laminar flow hood, which increases the risk of contamination. Be extra cautious with sterile technique and be prepared for some contamination in your plates. If you have access to a laminar flow hood, please use it for this lab.</w:t>
            </w:r>
          </w:p>
          <w:p/>
        </w:tc>
      </w:tr>
    </w:tbl>
    <w:p>
      <w:pPr>
        <w:pStyle w:val="BodyText"/>
      </w:pPr>
      <w:r>
        <w:rPr>
          <w:b/>
          <w:bCs/>
        </w:rPr>
        <w:t xml:space="preserve">Potato Dextrose Agar (PDA) Plates:</w:t>
      </w:r>
      <w:r>
        <w:t xml:space="preserve"> </w:t>
      </w:r>
      <w:r>
        <w:t xml:space="preserve">Fungi cultured from leaves on water agar is transferred to nutrient Potato Dextrose Agar (PDA) plates. We use one 60x15 mm Petri dish for each fungal isolate.</w:t>
      </w:r>
    </w:p>
    <w:p>
      <w:pPr>
        <w:pStyle w:val="BodyText"/>
      </w:pPr>
      <w:r>
        <w:rPr>
          <w:b/>
          <w:bCs/>
        </w:rPr>
        <w:t xml:space="preserve">Potato Dextrose Agar Recipe:</w:t>
      </w:r>
      <w:r>
        <w:t xml:space="preserve"> </w:t>
      </w:r>
      <w:r>
        <w:t xml:space="preserve">Suspend 39 grams Agar, Bacteriological in 1000 ml (1 L) distilled water.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60x15mm plates in a sterile environment. Do not let it cool too long as the media will solidify. Each 60x15mm plate holds approximately 8 ml media. If plates will be used immediately smaller amounts of media can be poured into plates. If plates will be stored, use larger amounts. Store plates in the original petri dish sleeve in the refrigerator (~4 °C) until use.</w:t>
      </w:r>
    </w:p>
    <w:p>
      <w:pPr>
        <w:pStyle w:val="BodyText"/>
      </w:pPr>
      <w:r>
        <w:rPr>
          <w:b/>
          <w:bCs/>
        </w:rPr>
        <w:t xml:space="preserve">Option: Adding Antibiotics</w:t>
      </w:r>
      <w:r>
        <w:t xml:space="preserve"> </w:t>
      </w:r>
      <w:r>
        <w:t xml:space="preserve">Once your PDA has cooled, you may choose to add antibiotics to the media. Streptomycin (streptomycin sulfate) is commonly used at a concentration of 50mg/L in agar. Add the appropriate amount to your media once cool to the touch and before pouring plates.</w:t>
      </w:r>
    </w:p>
    <w:p>
      <w:pPr>
        <w:pStyle w:val="BodyText"/>
      </w:pPr>
      <w:r>
        <w:rPr>
          <w:b/>
          <w:bCs/>
        </w:rPr>
        <w:t xml:space="preserve">Cellophane Plates:</w:t>
      </w:r>
      <w:r>
        <w:t xml:space="preserve"> </w:t>
      </w:r>
      <w:r>
        <w:t xml:space="preserve">Fungal tissue can be harvested from cellophane plates. Cut cellophane discs slightly smaller than the petri dish so that they lay flat on the PDA media. Using the bottom of the petri dish as a template, draw a circle on the cellophane and cut out discs on the inside of the line.</w:t>
      </w:r>
    </w:p>
    <w:p>
      <w:pPr>
        <w:pStyle w:val="BodyText"/>
      </w:pPr>
      <w:r>
        <w:t xml:space="preserve">Place cellophane discs into an autoclavable container with water. Place each cellophane disc individually into the water and try to stagger them in the water. This staggering step ensures that you can more easily remove the discs from the water. Cover your container with foil and sterilize by autoclaving at 15 lbs. pressure at 121 °C for 15 minutes.</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p>
      <w:pPr>
        <w:pStyle w:val="BodyText"/>
      </w:pPr>
      <w:r>
        <w:rPr>
          <w:b/>
          <w:bCs/>
        </w:rPr>
        <w:t xml:space="preserve">Disposal:</w:t>
      </w:r>
      <w:r>
        <w:t xml:space="preserve"> </w:t>
      </w:r>
      <w:r>
        <w:t xml:space="preserve">Place all petri dishes in an autoclavable bag and sterilize at 15 lbs pressure (121°C) for 15 minutes. Follow institutional protocol for post-sterilization disposal. Be sure that the disposal of any heavy metals or other chemicals are properly handled.</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72" name="Picture"/>
                  <a:graphic>
                    <a:graphicData uri="http://schemas.openxmlformats.org/drawingml/2006/picture">
                      <pic:pic>
                        <pic:nvPicPr>
                          <pic:cNvPr descr="/opt/quarto/share/formats/docx/important.png" id="73"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Please use the red biohazard bags for disposal of all petri dishes and materials that have come into contact with fungi. This includes gloves, paper towels, kimwipes, and any other materials used during the lab. Do not dispose of these materials in regular trash or recycling bins.</w:t>
            </w:r>
          </w:p>
          <w:p/>
        </w:tc>
      </w:tr>
    </w:tbl>
    <w:bookmarkEnd w:id="74"/>
    <w:bookmarkEnd w:id="75"/>
    <w:bookmarkStart w:id="83" w:name="module-2.2---fungal-isolation"/>
    <w:p>
      <w:pPr>
        <w:pStyle w:val="Heading2"/>
      </w:pPr>
      <w:r>
        <w:t xml:space="preserve">Module 2.2 - Fungal Isolation</w:t>
      </w:r>
    </w:p>
    <w:bookmarkStart w:id="76" w:name="purpose-1"/>
    <w:p>
      <w:pPr>
        <w:pStyle w:val="Heading3"/>
      </w:pPr>
      <w:r>
        <w:t xml:space="preserve">Purpose</w:t>
      </w:r>
    </w:p>
    <w:p>
      <w:pPr>
        <w:pStyle w:val="FirstParagraph"/>
      </w:pPr>
      <w:r>
        <w:t xml:space="preserve">This lab will introduce you to sterile technique, culturing fungi, isolating cultures, and documenting fungal growth.</w:t>
      </w:r>
    </w:p>
    <w:bookmarkEnd w:id="76"/>
    <w:bookmarkStart w:id="77" w:name="introduction-2"/>
    <w:p>
      <w:pPr>
        <w:pStyle w:val="Heading3"/>
      </w:pPr>
      <w:r>
        <w:t xml:space="preserve">Introduction</w:t>
      </w:r>
    </w:p>
    <w:p>
      <w:pPr>
        <w:pStyle w:val="FirstParagraph"/>
      </w:pPr>
      <w:r>
        <w:t xml:space="preserve">In the previous lab, we started the process of sampling fungal endophytes. We documented the host plant using iNaturalist and then sampled foliar tissues from the plants. These foliar tissues were transported to the lab, surface sterilized to remove any external contaminants, and dissected. The dissected tissues were plated onto water agar plates, sealed, and labeled.</w:t>
      </w:r>
    </w:p>
    <w:p>
      <w:pPr>
        <w:pStyle w:val="BodyText"/>
      </w:pPr>
      <w:r>
        <w:t xml:space="preserve">Today, we will isolate, or subculture, these fungi onto PDA agar (Potato Dextrose Agar). This nutrient agar will allow for fungal growth. We will then measure the growth rate of each individual fungal isolate.</w:t>
      </w:r>
    </w:p>
    <w:p>
      <w:pPr>
        <w:pStyle w:val="BodyText"/>
      </w:pPr>
      <w:r>
        <w:t xml:space="preserve">This project is part of the Myco-Ed Fungal Genomics Education Project. The goal of this long-term research project is to develop annotated genomes of fungal endophytes to better understand their ecology and how they impact their host plants.</w:t>
      </w:r>
    </w:p>
    <w:bookmarkEnd w:id="77"/>
    <w:bookmarkStart w:id="78" w:name="learning-goals-1"/>
    <w:p>
      <w:pPr>
        <w:pStyle w:val="Heading3"/>
      </w:pPr>
      <w:r>
        <w:t xml:space="preserve">Learning Goals</w:t>
      </w:r>
    </w:p>
    <w:p>
      <w:pPr>
        <w:pStyle w:val="Compact"/>
        <w:numPr>
          <w:ilvl w:val="0"/>
          <w:numId w:val="1038"/>
        </w:numPr>
      </w:pPr>
      <w:r>
        <w:t xml:space="preserve">Practice sterile technique</w:t>
      </w:r>
    </w:p>
    <w:p>
      <w:pPr>
        <w:pStyle w:val="Compact"/>
        <w:numPr>
          <w:ilvl w:val="0"/>
          <w:numId w:val="1038"/>
        </w:numPr>
      </w:pPr>
      <w:r>
        <w:t xml:space="preserve">Culture and isolate fungi</w:t>
      </w:r>
    </w:p>
    <w:p>
      <w:pPr>
        <w:pStyle w:val="Compact"/>
        <w:numPr>
          <w:ilvl w:val="0"/>
          <w:numId w:val="1038"/>
        </w:numPr>
      </w:pPr>
      <w:r>
        <w:t xml:space="preserve">Investigate fungal endophytes</w:t>
      </w:r>
    </w:p>
    <w:p>
      <w:pPr>
        <w:pStyle w:val="Compact"/>
        <w:numPr>
          <w:ilvl w:val="0"/>
          <w:numId w:val="1038"/>
        </w:numPr>
      </w:pPr>
      <w:r>
        <w:t xml:space="preserve">Characterize morphology of fungal cultures</w:t>
      </w:r>
    </w:p>
    <w:p>
      <w:pPr>
        <w:pStyle w:val="Compact"/>
        <w:numPr>
          <w:ilvl w:val="0"/>
          <w:numId w:val="1038"/>
        </w:numPr>
      </w:pPr>
      <w:r>
        <w:t xml:space="preserve">Create data spreadsheets</w:t>
      </w:r>
    </w:p>
    <w:p>
      <w:pPr>
        <w:pStyle w:val="Compact"/>
        <w:numPr>
          <w:ilvl w:val="0"/>
          <w:numId w:val="1038"/>
        </w:numPr>
      </w:pPr>
      <w:r>
        <w:t xml:space="preserve">Isolate fungi for molecular extraction and analysis</w:t>
      </w:r>
    </w:p>
    <w:p>
      <w:pPr>
        <w:pStyle w:val="Compact"/>
        <w:numPr>
          <w:ilvl w:val="0"/>
          <w:numId w:val="1038"/>
        </w:numPr>
      </w:pPr>
      <w:r>
        <w:t xml:space="preserve">Create Growth Curves</w:t>
      </w:r>
    </w:p>
    <w:bookmarkEnd w:id="78"/>
    <w:bookmarkStart w:id="79" w:name="student-lab-supplies"/>
    <w:p>
      <w:pPr>
        <w:pStyle w:val="Heading3"/>
      </w:pPr>
      <w:r>
        <w:t xml:space="preserve">Student Lab Supplies</w:t>
      </w:r>
    </w:p>
    <w:p>
      <w:pPr>
        <w:pStyle w:val="Compact"/>
        <w:numPr>
          <w:ilvl w:val="0"/>
          <w:numId w:val="1039"/>
        </w:numPr>
      </w:pPr>
      <w:r>
        <w:t xml:space="preserve">Fungal Endophyte Sample Plates</w:t>
      </w:r>
    </w:p>
    <w:p>
      <w:pPr>
        <w:pStyle w:val="Compact"/>
        <w:numPr>
          <w:ilvl w:val="0"/>
          <w:numId w:val="1039"/>
        </w:numPr>
      </w:pPr>
      <w:r>
        <w:t xml:space="preserve">PDA Plates (60x15mm)</w:t>
      </w:r>
    </w:p>
    <w:p>
      <w:pPr>
        <w:pStyle w:val="Compact"/>
        <w:numPr>
          <w:ilvl w:val="0"/>
          <w:numId w:val="1039"/>
        </w:numPr>
      </w:pPr>
      <w:r>
        <w:t xml:space="preserve">70% ethanol</w:t>
      </w:r>
    </w:p>
    <w:p>
      <w:pPr>
        <w:pStyle w:val="Compact"/>
        <w:numPr>
          <w:ilvl w:val="0"/>
          <w:numId w:val="1039"/>
        </w:numPr>
      </w:pPr>
      <w:r>
        <w:t xml:space="preserve">Kimwipes and Paper Towels</w:t>
      </w:r>
    </w:p>
    <w:p>
      <w:pPr>
        <w:pStyle w:val="Compact"/>
        <w:numPr>
          <w:ilvl w:val="0"/>
          <w:numId w:val="1039"/>
        </w:numPr>
      </w:pPr>
      <w:r>
        <w:t xml:space="preserve">Parafilm</w:t>
      </w:r>
    </w:p>
    <w:p>
      <w:pPr>
        <w:pStyle w:val="Compact"/>
        <w:numPr>
          <w:ilvl w:val="0"/>
          <w:numId w:val="1039"/>
        </w:numPr>
      </w:pPr>
      <w:r>
        <w:t xml:space="preserve">Fine Tip Sharpie</w:t>
      </w:r>
    </w:p>
    <w:p>
      <w:pPr>
        <w:pStyle w:val="Compact"/>
        <w:numPr>
          <w:ilvl w:val="0"/>
          <w:numId w:val="1039"/>
        </w:numPr>
      </w:pPr>
      <w:r>
        <w:t xml:space="preserve">Flame Source for Sterilization (alcohol lamp or Bunsen burner)</w:t>
      </w:r>
    </w:p>
    <w:p>
      <w:pPr>
        <w:pStyle w:val="Compact"/>
        <w:numPr>
          <w:ilvl w:val="0"/>
          <w:numId w:val="1039"/>
        </w:numPr>
      </w:pPr>
      <w:r>
        <w:t xml:space="preserve">Scalpel</w:t>
      </w:r>
    </w:p>
    <w:p>
      <w:pPr>
        <w:pStyle w:val="Compact"/>
        <w:numPr>
          <w:ilvl w:val="0"/>
          <w:numId w:val="1039"/>
        </w:numPr>
      </w:pPr>
      <w:r>
        <w:t xml:space="preserve">Ruler</w:t>
      </w:r>
    </w:p>
    <w:p>
      <w:pPr>
        <w:pStyle w:val="Compact"/>
        <w:numPr>
          <w:ilvl w:val="0"/>
          <w:numId w:val="1039"/>
        </w:numPr>
      </w:pPr>
      <w:r>
        <w:t xml:space="preserve">Forceps</w:t>
      </w:r>
    </w:p>
    <w:bookmarkEnd w:id="79"/>
    <w:bookmarkStart w:id="82" w:name="instructions-1"/>
    <w:p>
      <w:pPr>
        <w:pStyle w:val="Heading3"/>
      </w:pPr>
      <w:r>
        <w:t xml:space="preserve">Instructions</w:t>
      </w:r>
    </w:p>
    <w:bookmarkStart w:id="80" w:name="X2a686204ef2636cfa94f5241192951a8a671134"/>
    <w:p>
      <w:pPr>
        <w:pStyle w:val="Heading4"/>
      </w:pPr>
      <w:r>
        <w:t xml:space="preserve">Part I - Subculturing Fungal Endophytes into Fungal Isolates</w:t>
      </w:r>
    </w:p>
    <w:p>
      <w:pPr>
        <w:pStyle w:val="FirstParagraph"/>
      </w:pPr>
      <w:r>
        <w:t xml:space="preserve">Fungal cultures usually emerge as white fuzz from your leaf discs, however, the hyphae might be pigmented, such as a brown or greenish color. Figure 1 depicts the fungal hyphae in brown and blue emerging from the green leaf tissue. The fungi are utilizing the nutrients available in the leaf tissue for growth as water agar does not contain nutrients. To promote the growth necessary for downstream analyses, it is essential to transfer the fungi to a growth medium that contains nutrients. For our exercise we are using Potato Dextrose Agar (PDA) as nutrient media. These are smaller petri dishes and the media has a yellowish tint (compared to the larger petri dishes containing the clear, or whitish, water agar from your initial isolation). This transfer step also allows for the separation of each fungal isolate to ensure pure cultures.</w:t>
      </w:r>
    </w:p>
    <w:p>
      <w:pPr>
        <w:pStyle w:val="BodyText"/>
      </w:pPr>
      <w:r>
        <w:t xml:space="preserve">Fungal growth from the leaf cuttings may occur over the span of a few weeks, so you may have to transfer several times. Your fungal cultures will be most successful if you transfer them within a few days (1-3) from emergence or detection.</w:t>
      </w:r>
    </w:p>
    <w:p>
      <w:pPr>
        <w:pStyle w:val="Compact"/>
        <w:numPr>
          <w:ilvl w:val="0"/>
          <w:numId w:val="1040"/>
        </w:numPr>
      </w:pPr>
      <w:r>
        <w:t xml:space="preserve">Practice Sterile Technique. Wear gloves. Clean work surface with disinfectant. If available, wipe surfaces with 70% ethanol. Choose a working location with the least amount of airflow to prevent contamination. Decrease the potential of airborne contaminants falling onto your workspace or into your petri dishes.</w:t>
      </w:r>
    </w:p>
    <w:p>
      <w:pPr>
        <w:pStyle w:val="Compact"/>
        <w:numPr>
          <w:ilvl w:val="0"/>
          <w:numId w:val="1040"/>
        </w:numPr>
      </w:pPr>
      <w:r>
        <w:t xml:space="preserve">Label a PDA petri dish with the sample number and date for each isolate (described in Module 1.1 - Metadata). Always label along the bottom edge. This ensures the label stays with the fungus, even if the top lid falls off. Label the edge of the plate because you don’t want to obscure light transmission through the plate. Also, mark lines on the bottom of the plate as shown in Figure 2 to record the growth rate. Be sure to transfer only one fungal isolate to each PDA petri dish.</w:t>
      </w:r>
    </w:p>
    <w:p>
      <w:pPr>
        <w:pStyle w:val="Compact"/>
        <w:numPr>
          <w:ilvl w:val="0"/>
          <w:numId w:val="1040"/>
        </w:numPr>
      </w:pPr>
      <w:r>
        <w:t xml:space="preserve">Use a stefilized scalpel.</w:t>
      </w:r>
    </w:p>
    <w:p>
      <w:pPr>
        <w:pStyle w:val="Compact"/>
        <w:numPr>
          <w:ilvl w:val="0"/>
          <w:numId w:val="1040"/>
        </w:numPr>
      </w:pPr>
      <w:r>
        <w:t xml:space="preserve">Make a</w:t>
      </w:r>
      <w:r>
        <w:t xml:space="preserve"> </w:t>
      </w:r>
      <w:r>
        <w:t xml:space="preserve">“plug”</w:t>
      </w:r>
      <w:r>
        <w:t xml:space="preserve">. Cut a small chunk of water agar containing hyphae of target isolate using a sterilized scalpel. Transfer this plug of agar and hyphae to the PDA plate. Ideally, you will have the least amount of agar transferred to the new petri dish.</w:t>
      </w:r>
    </w:p>
    <w:p>
      <w:pPr>
        <w:pStyle w:val="Compact"/>
        <w:numPr>
          <w:ilvl w:val="1"/>
          <w:numId w:val="1041"/>
        </w:numPr>
      </w:pPr>
      <w:r>
        <w:t xml:space="preserve">Work quickly and cleanly and consider your technique to prevent contamination. Remove Parafilm from the water agar plate.</w:t>
      </w:r>
    </w:p>
    <w:p>
      <w:pPr>
        <w:pStyle w:val="Compact"/>
        <w:numPr>
          <w:ilvl w:val="1"/>
          <w:numId w:val="1041"/>
        </w:numPr>
      </w:pPr>
      <w:r>
        <w:t xml:space="preserve">Tilt or lift the lid of the water agar petri dish as little as possible, try to keep the lid covering or hovering over the plate to prevent airborne contaminants.</w:t>
      </w:r>
    </w:p>
    <w:p>
      <w:pPr>
        <w:pStyle w:val="Compact"/>
        <w:numPr>
          <w:ilvl w:val="1"/>
          <w:numId w:val="1041"/>
        </w:numPr>
      </w:pPr>
      <w:r>
        <w:t xml:space="preserve">Using a sterile scalpel remove the chunk of agar from the target fungal isolate.</w:t>
      </w:r>
    </w:p>
    <w:p>
      <w:pPr>
        <w:pStyle w:val="Compact"/>
        <w:numPr>
          <w:ilvl w:val="1"/>
          <w:numId w:val="1041"/>
        </w:numPr>
      </w:pPr>
      <w:r>
        <w:t xml:space="preserve">Replace the lid of the water agar.</w:t>
      </w:r>
    </w:p>
    <w:p>
      <w:pPr>
        <w:pStyle w:val="Compact"/>
        <w:numPr>
          <w:ilvl w:val="1"/>
          <w:numId w:val="1041"/>
        </w:numPr>
      </w:pPr>
      <w:r>
        <w:t xml:space="preserve">Open the PDA petri dish lid by slightly tilting the lid, or lifting the lid straight up. Place the agar chunk into the middle (or as mid-plate as possible) of the PDA petri dish. The agar will likely stick to the scalpel, so do your best to remove the chunk without contamination.</w:t>
      </w:r>
    </w:p>
    <w:p>
      <w:pPr>
        <w:pStyle w:val="Compact"/>
        <w:numPr>
          <w:ilvl w:val="1"/>
          <w:numId w:val="1041"/>
        </w:numPr>
      </w:pPr>
      <w:r>
        <w:t xml:space="preserve">Close the lid of the PDA petri dish lid as quickly as possible. Seal with parafilm.</w:t>
      </w:r>
    </w:p>
    <w:bookmarkEnd w:id="80"/>
    <w:bookmarkStart w:id="81" w:name="part-ii-measuring-growth-rates"/>
    <w:p>
      <w:pPr>
        <w:pStyle w:val="Heading4"/>
      </w:pPr>
      <w:r>
        <w:t xml:space="preserve">Part II – Measuring Growth Rates</w:t>
      </w:r>
    </w:p>
    <w:p>
      <w:pPr>
        <w:pStyle w:val="Compact"/>
        <w:numPr>
          <w:ilvl w:val="0"/>
          <w:numId w:val="1042"/>
        </w:numPr>
      </w:pPr>
      <w:r>
        <w:t xml:space="preserve">Design a data sheet to record growth.</w:t>
      </w:r>
    </w:p>
    <w:p>
      <w:pPr>
        <w:pStyle w:val="Compact"/>
        <w:numPr>
          <w:ilvl w:val="0"/>
          <w:numId w:val="1042"/>
        </w:numPr>
      </w:pPr>
      <w:r>
        <w:t xml:space="preserve">On the bottom of the plate, trace the edge of your fungal culture using a fine-tip sharpie (Figures 3 and 4).</w:t>
      </w:r>
    </w:p>
    <w:p>
      <w:pPr>
        <w:pStyle w:val="Compact"/>
        <w:numPr>
          <w:ilvl w:val="0"/>
          <w:numId w:val="1042"/>
        </w:numPr>
      </w:pPr>
      <w:r>
        <w:t xml:space="preserve">Measure, in mm, new growth at each of the eight edges along the lines (Figures 3 and 4)</w:t>
      </w:r>
    </w:p>
    <w:p>
      <w:pPr>
        <w:pStyle w:val="Compact"/>
        <w:numPr>
          <w:ilvl w:val="0"/>
          <w:numId w:val="1042"/>
        </w:numPr>
      </w:pPr>
      <w:r>
        <w:t xml:space="preserve">Average the eight measurements to get the average growth (Table 1).</w:t>
      </w:r>
    </w:p>
    <w:p>
      <w:pPr>
        <w:pStyle w:val="FirstParagraph"/>
      </w:pPr>
      <w:r>
        <w:rPr>
          <w:b/>
          <w:bCs/>
        </w:rPr>
        <w:t xml:space="preserve">Table 1: Daily Growth Average</w:t>
      </w:r>
    </w:p>
    <w:p>
      <w:pPr>
        <w:pStyle w:val="TableCaption"/>
      </w:pPr>
      <w:r>
        <w:t xml:space="preserve">Table 1. Daily Growth Average</w:t>
      </w:r>
    </w:p>
    <w:tbl>
      <w:tblPr>
        <w:tblStyle w:val="Table"/>
        <w:tblW w:type="auto" w:w="0"/>
        <w:tblLook w:firstRow="1" w:lastRow="0" w:firstColumn="0" w:lastColumn="0" w:noHBand="0" w:noVBand="0" w:val="0020"/>
        <w:tblCaption w:val="Table 1. Daily Growth Average"/>
      </w:tblPr>
      <w:tblGrid>
        <w:gridCol w:w="3960"/>
        <w:gridCol w:w="3960"/>
      </w:tblGrid>
      <w:tr>
        <w:trPr>
          <w:tblHeader w:val="on"/>
        </w:trPr>
        <w:tc>
          <w:tcPr/>
          <w:p>
            <w:pPr>
              <w:pStyle w:val="Compact"/>
            </w:pPr>
            <w:r>
              <w:t xml:space="preserve">Measurement</w:t>
            </w:r>
          </w:p>
        </w:tc>
        <w:tc>
          <w:tcPr/>
          <w:p>
            <w:pPr>
              <w:pStyle w:val="Compact"/>
            </w:pPr>
            <w:r>
              <w:t xml:space="preserve">Value</w:t>
            </w:r>
          </w:p>
        </w:tc>
      </w:tr>
      <w:tr>
        <w:tc>
          <w:tcPr/>
          <w:p>
            <w:pPr>
              <w:pStyle w:val="Compact"/>
            </w:pPr>
            <w:r>
              <w:t xml:space="preserve">1</w:t>
            </w:r>
          </w:p>
        </w:tc>
        <w:tc>
          <w:tcPr/>
          <w:p>
            <w:pPr>
              <w:pStyle w:val="Compact"/>
            </w:pPr>
            <w:r>
              <w:t xml:space="preserve">3 mm</w:t>
            </w:r>
          </w:p>
        </w:tc>
      </w:tr>
      <w:tr>
        <w:tc>
          <w:tcPr/>
          <w:p>
            <w:pPr>
              <w:pStyle w:val="Compact"/>
            </w:pPr>
            <w:r>
              <w:t xml:space="preserve">2</w:t>
            </w:r>
          </w:p>
        </w:tc>
        <w:tc>
          <w:tcPr/>
          <w:p>
            <w:pPr>
              <w:pStyle w:val="Compact"/>
            </w:pPr>
            <w:r>
              <w:t xml:space="preserve">2.5 mm</w:t>
            </w:r>
          </w:p>
        </w:tc>
      </w:tr>
      <w:tr>
        <w:tc>
          <w:tcPr/>
          <w:p>
            <w:pPr>
              <w:pStyle w:val="Compact"/>
            </w:pPr>
            <w:r>
              <w:t xml:space="preserve">3</w:t>
            </w:r>
          </w:p>
        </w:tc>
        <w:tc>
          <w:tcPr/>
          <w:p>
            <w:pPr>
              <w:pStyle w:val="Compact"/>
            </w:pPr>
            <w:r>
              <w:t xml:space="preserve">2.7 mm</w:t>
            </w:r>
          </w:p>
        </w:tc>
      </w:tr>
      <w:tr>
        <w:tc>
          <w:tcPr/>
          <w:p>
            <w:pPr>
              <w:pStyle w:val="Compact"/>
            </w:pPr>
            <w:r>
              <w:t xml:space="preserve">4</w:t>
            </w:r>
          </w:p>
        </w:tc>
        <w:tc>
          <w:tcPr/>
          <w:p>
            <w:pPr>
              <w:pStyle w:val="Compact"/>
            </w:pPr>
            <w:r>
              <w:t xml:space="preserve">1.8 mm</w:t>
            </w:r>
          </w:p>
        </w:tc>
      </w:tr>
      <w:tr>
        <w:tc>
          <w:tcPr/>
          <w:p>
            <w:pPr>
              <w:pStyle w:val="Compact"/>
            </w:pPr>
            <w:r>
              <w:t xml:space="preserve">5</w:t>
            </w:r>
          </w:p>
        </w:tc>
        <w:tc>
          <w:tcPr/>
          <w:p>
            <w:pPr>
              <w:pStyle w:val="Compact"/>
            </w:pPr>
            <w:r>
              <w:t xml:space="preserve">3.1 mm</w:t>
            </w:r>
          </w:p>
        </w:tc>
      </w:tr>
      <w:tr>
        <w:tc>
          <w:tcPr/>
          <w:p>
            <w:pPr>
              <w:pStyle w:val="Compact"/>
            </w:pPr>
            <w:r>
              <w:t xml:space="preserve">6</w:t>
            </w:r>
          </w:p>
        </w:tc>
        <w:tc>
          <w:tcPr/>
          <w:p>
            <w:pPr>
              <w:pStyle w:val="Compact"/>
            </w:pPr>
            <w:r>
              <w:t xml:space="preserve">2.2 mm</w:t>
            </w:r>
          </w:p>
        </w:tc>
      </w:tr>
      <w:tr>
        <w:tc>
          <w:tcPr/>
          <w:p>
            <w:pPr>
              <w:pStyle w:val="Compact"/>
            </w:pPr>
            <w:r>
              <w:t xml:space="preserve">7</w:t>
            </w:r>
          </w:p>
        </w:tc>
        <w:tc>
          <w:tcPr/>
          <w:p>
            <w:pPr>
              <w:pStyle w:val="Compact"/>
            </w:pPr>
            <w:r>
              <w:t xml:space="preserve">2.6 mm</w:t>
            </w:r>
          </w:p>
        </w:tc>
      </w:tr>
      <w:tr>
        <w:tc>
          <w:tcPr/>
          <w:p>
            <w:pPr>
              <w:pStyle w:val="Compact"/>
            </w:pPr>
            <w:r>
              <w:t xml:space="preserve">8</w:t>
            </w:r>
          </w:p>
        </w:tc>
        <w:tc>
          <w:tcPr/>
          <w:p>
            <w:pPr>
              <w:pStyle w:val="Compact"/>
            </w:pPr>
            <w:r>
              <w:t xml:space="preserve">2.1 mm</w:t>
            </w:r>
          </w:p>
        </w:tc>
      </w:tr>
      <w:tr>
        <w:tc>
          <w:tcPr/>
          <w:p>
            <w:pPr>
              <w:pStyle w:val="Compact"/>
            </w:pPr>
            <w:r>
              <w:t xml:space="preserve">Average</w:t>
            </w:r>
          </w:p>
        </w:tc>
        <w:tc>
          <w:tcPr/>
          <w:p>
            <w:pPr>
              <w:pStyle w:val="Compact"/>
            </w:pPr>
            <w:r>
              <w:t xml:space="preserve">2.5 mm</w:t>
            </w:r>
          </w:p>
        </w:tc>
      </w:tr>
    </w:tbl>
    <w:p>
      <w:pPr>
        <w:pStyle w:val="Compact"/>
        <w:numPr>
          <w:ilvl w:val="0"/>
          <w:numId w:val="1043"/>
        </w:numPr>
      </w:pPr>
      <w:r>
        <w:t xml:space="preserve">Continue to measure average growth in mm 7 days from plating (Figure 4).</w:t>
      </w:r>
    </w:p>
    <w:p>
      <w:pPr>
        <w:pStyle w:val="Compact"/>
        <w:numPr>
          <w:ilvl w:val="0"/>
          <w:numId w:val="1043"/>
        </w:numPr>
      </w:pPr>
      <w:r>
        <w:t xml:space="preserve">Calculate the average growth rate (distance/time).</w:t>
      </w:r>
    </w:p>
    <w:p>
      <w:pPr>
        <w:pStyle w:val="Compact"/>
        <w:numPr>
          <w:ilvl w:val="0"/>
          <w:numId w:val="1043"/>
        </w:numPr>
      </w:pPr>
      <w:r>
        <w:t xml:space="preserve">Plot a graph of your fungal isolate(s) growth rate.</w:t>
      </w:r>
    </w:p>
    <w:p>
      <w:pPr>
        <w:pStyle w:val="Compact"/>
        <w:numPr>
          <w:ilvl w:val="0"/>
          <w:numId w:val="1043"/>
        </w:numPr>
      </w:pPr>
      <w:r>
        <w:t xml:space="preserve">Submit images and your data sheet and a graph of growth rates in your lab blog post for this project. Please take images to add to your blog post.</w:t>
      </w:r>
    </w:p>
    <w:bookmarkEnd w:id="81"/>
    <w:bookmarkEnd w:id="82"/>
    <w:bookmarkEnd w:id="83"/>
    <w:bookmarkEnd w:id="84"/>
    <w:bookmarkStart w:id="92" w:name="module-3-phenotypic-assays"/>
    <w:p>
      <w:pPr>
        <w:pStyle w:val="Heading1"/>
      </w:pPr>
      <w:r>
        <w:t xml:space="preserve">Module 3: Phenotypic Assays</w:t>
      </w:r>
    </w:p>
    <w:bookmarkStart w:id="86" w:name="module-3.1-phenotypic-assays"/>
    <w:p>
      <w:pPr>
        <w:pStyle w:val="Heading2"/>
      </w:pPr>
      <w:r>
        <w:t xml:space="preserve">Module 3.1 – Phenotypic Assays</w:t>
      </w:r>
    </w:p>
    <w:bookmarkStart w:id="85" w:name="X7ceddf16062824a3bde6cd0475f549d1fd9a5ed"/>
    <w:p>
      <w:pPr>
        <w:pStyle w:val="Heading3"/>
      </w:pPr>
      <w:r>
        <w:t xml:space="preserve">Instructor Laboratory Preparation Instructions</w:t>
      </w:r>
    </w:p>
    <w:p>
      <w:pPr>
        <w:pStyle w:val="FirstParagraph"/>
      </w:pPr>
      <w:r>
        <w:rPr>
          <w:b/>
          <w:bCs/>
        </w:rPr>
        <w:t xml:space="preserve">Materials and Equipment:</w:t>
      </w:r>
      <w:r>
        <w:t xml:space="preserve"> </w:t>
      </w:r>
      <w:r>
        <w:t xml:space="preserve">- Autoclave</w:t>
      </w:r>
      <w:r>
        <w:t xml:space="preserve"> </w:t>
      </w:r>
      <w:r>
        <w:t xml:space="preserve">- Laminar Flow Hood (if available)</w:t>
      </w:r>
      <w:r>
        <w:t xml:space="preserve"> </w:t>
      </w:r>
      <w:r>
        <w:t xml:space="preserve">- 60x15mm Petri Dishes</w:t>
      </w:r>
      <w:r>
        <w:t xml:space="preserve"> </w:t>
      </w:r>
      <w:r>
        <w:t xml:space="preserve">- Agar, Bacteriological</w:t>
      </w:r>
      <w:r>
        <w:t xml:space="preserve"> </w:t>
      </w:r>
      <w:r>
        <w:t xml:space="preserve">- Potato Dextrose Agar</w:t>
      </w:r>
      <w:r>
        <w:t xml:space="preserve"> </w:t>
      </w:r>
      <w:r>
        <w:t xml:space="preserve">- Zinc Sulfate</w:t>
      </w:r>
      <w:r>
        <w:t xml:space="preserve"> </w:t>
      </w:r>
      <w:r>
        <w:t xml:space="preserve">- Forceps</w:t>
      </w:r>
      <w:r>
        <w:t xml:space="preserve"> </w:t>
      </w:r>
      <w:r>
        <w:t xml:space="preserve">- Scalpel (sterilized)</w:t>
      </w:r>
    </w:p>
    <w:p>
      <w:pPr>
        <w:pStyle w:val="BodyText"/>
      </w:pPr>
      <w:r>
        <w:rPr>
          <w:b/>
          <w:bCs/>
        </w:rPr>
        <w:t xml:space="preserve">Potato Dextrose Agar (PDA) with Zn Plates for Zn Stress Assay:</w:t>
      </w:r>
      <w:r>
        <w:t xml:space="preserve"> </w:t>
      </w:r>
      <w:r>
        <w:t xml:space="preserve">Suspend 39 grams Potato Dextrose Agar in 1000 ml (1 L) distilled water (or follow the directions on the bottle label). Add the appropriate amount of Zn sulfate to obtain concentrations of 1 mM Zn and 10 mM Zn in the media bottle. Heat to boiling to dissolve the medium completely (in most cases, this step can be skipped as autoclaving will dissolve media). Sterilize by autoclaving at 15 lbs pressure (121°C) for 15 minutes.</w:t>
      </w:r>
    </w:p>
    <w:p>
      <w:pPr>
        <w:pStyle w:val="BodyText"/>
      </w:pPr>
      <w:r>
        <w:rPr>
          <w:b/>
          <w:bCs/>
        </w:rPr>
        <w:t xml:space="preserve">(PDA) Plates for Temperature Assay:</w:t>
      </w:r>
      <w:r>
        <w:t xml:space="preserve"> </w:t>
      </w:r>
      <w:r>
        <w:t xml:space="preserve">Suspend 39 grams Potato Dextrose Agar in 1000 ml (1 L) distilled water (or follow the directions on bottle label).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 mm plates in a sterile environment. Do not let it cool too long before pouring as the media will solidify. Each 60x15 mm plate holds approximately 8 mL of media. If plates will be used immediately smaller amounts of media can be poured into plates. If plates will be stored, use larger amounts. Store plates in original Petri dish sleeve in refrigerator (~4 °C) until use.</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bookmarkEnd w:id="85"/>
    <w:bookmarkEnd w:id="86"/>
    <w:bookmarkStart w:id="91" w:name="module-3.2-phenotypic-assays"/>
    <w:p>
      <w:pPr>
        <w:pStyle w:val="Heading2"/>
      </w:pPr>
      <w:r>
        <w:t xml:space="preserve">Module 3.2 – Phenotypic Assays</w:t>
      </w:r>
    </w:p>
    <w:bookmarkStart w:id="87" w:name="phenotypic-assays"/>
    <w:p>
      <w:pPr>
        <w:pStyle w:val="Heading3"/>
      </w:pPr>
      <w:r>
        <w:t xml:space="preserve">Phenotypic Assays</w:t>
      </w:r>
    </w:p>
    <w:p>
      <w:pPr>
        <w:pStyle w:val="FirstParagraph"/>
      </w:pPr>
      <w:r>
        <w:rPr>
          <w:b/>
          <w:bCs/>
        </w:rPr>
        <w:t xml:space="preserve">Objectives:</w:t>
      </w:r>
      <w:r>
        <w:t xml:space="preserve"> </w:t>
      </w:r>
      <w:r>
        <w:t xml:space="preserve">1. Determine how fungal isolates react to environmental stressors</w:t>
      </w:r>
    </w:p>
    <w:p>
      <w:pPr>
        <w:pStyle w:val="BodyText"/>
      </w:pPr>
      <w:r>
        <w:rPr>
          <w:b/>
          <w:bCs/>
        </w:rPr>
        <w:t xml:space="preserve">Materials:</w:t>
      </w:r>
      <w:r>
        <w:t xml:space="preserve"> </w:t>
      </w:r>
      <w:r>
        <w:t xml:space="preserve">- Student fungal isolates</w:t>
      </w:r>
    </w:p>
    <w:p>
      <w:pPr>
        <w:pStyle w:val="BodyText"/>
      </w:pPr>
      <w:r>
        <w:rPr>
          <w:b/>
          <w:bCs/>
        </w:rPr>
        <w:t xml:space="preserve">Procedures:</w:t>
      </w:r>
      <w:r>
        <w:t xml:space="preserve"> </w:t>
      </w:r>
      <w:r>
        <w:t xml:space="preserve">- Observe your fungal cultures and determine if they are pure cultures</w:t>
      </w:r>
      <w:r>
        <w:t xml:space="preserve"> </w:t>
      </w:r>
      <w:r>
        <w:t xml:space="preserve">- We will use these cultures to set up stress tests (Zn assay and temperature assay) and for molecular identification.</w:t>
      </w:r>
    </w:p>
    <w:bookmarkEnd w:id="87"/>
    <w:bookmarkStart w:id="88" w:name="zn-stress-assay"/>
    <w:p>
      <w:pPr>
        <w:pStyle w:val="Heading3"/>
      </w:pPr>
      <w:r>
        <w:t xml:space="preserve">Zn Stress Assay</w:t>
      </w:r>
    </w:p>
    <w:p>
      <w:pPr>
        <w:pStyle w:val="FirstParagraph"/>
      </w:pPr>
      <w:r>
        <w:t xml:space="preserve">In this lab, we will be investigating the tolerance and growth response of foliar fungal endophytes to varying concentrations of zinc (Zn). Zinc is an essential trace element for many biological processes, but in elevated concentrations, it can become toxic to fungi and other microorganisms. To understand how these fungi cope with different levels of Zn, we will isolate fungal endophytes from plant leaves and subject them to media containing 0 mM, 1 mM, and 10 mM of Zn. By measuring their growth rates over several weeks, we aim to determine the impact of Zn on their growth and survival.</w:t>
      </w:r>
    </w:p>
    <w:p>
      <w:pPr>
        <w:pStyle w:val="BodyText"/>
      </w:pPr>
      <w:r>
        <w:t xml:space="preserve">Testing foliar fungal endophytes for Zn tolerance is particularly relevant as these fungi play crucial roles in plant health and ecosystem functioning. Endophytes can enhance plant growth, provide resistance to pathogens, and contribute to nutrient cycling. Understanding their tolerance to heavy metals like Zn is important for ecological studies, especially in areas affected by pollution or where plants are used in phytoremediation efforts. By assessing their ability to thrive in environments with varying Zn concentrations, we can gain insights into their resilience and potential applications in sustainable agriculture and environmental management.</w:t>
      </w:r>
    </w:p>
    <w:p>
      <w:pPr>
        <w:pStyle w:val="BodyText"/>
      </w:pPr>
      <w:r>
        <w:rPr>
          <w:b/>
          <w:bCs/>
        </w:rPr>
        <w:t xml:space="preserve">Objectives:</w:t>
      </w:r>
      <w:r>
        <w:t xml:space="preserve"> </w:t>
      </w:r>
      <w:r>
        <w:t xml:space="preserve">1. Determine if the fungal isolates are tolerant of Zn.</w:t>
      </w:r>
      <w:r>
        <w:t xml:space="preserve"> </w:t>
      </w:r>
      <w:r>
        <w:t xml:space="preserve">2. Measure how different concentrations of Zn influence fungal growth rates.</w:t>
      </w:r>
    </w:p>
    <w:p>
      <w:pPr>
        <w:pStyle w:val="BodyText"/>
      </w:pPr>
      <w:r>
        <w:rPr>
          <w:b/>
          <w:bCs/>
        </w:rPr>
        <w:t xml:space="preserve">Materials:</w:t>
      </w:r>
      <w:r>
        <w:t xml:space="preserve"> </w:t>
      </w:r>
      <w:r>
        <w:t xml:space="preserve">- Pure fungal cultures</w:t>
      </w:r>
      <w:r>
        <w:t xml:space="preserve"> </w:t>
      </w:r>
      <w:r>
        <w:t xml:space="preserve">- PDA 0 mM Zn + antibiotics</w:t>
      </w:r>
      <w:r>
        <w:t xml:space="preserve"> </w:t>
      </w:r>
      <w:r>
        <w:t xml:space="preserve">- PDA 1 mM Zn + antibiotics</w:t>
      </w:r>
      <w:r>
        <w:t xml:space="preserve"> </w:t>
      </w:r>
      <w:r>
        <w:t xml:space="preserve">- PDA 10 mM Zn + antibiotics</w:t>
      </w:r>
      <w:r>
        <w:t xml:space="preserve"> </w:t>
      </w:r>
      <w:r>
        <w:t xml:space="preserve">- Fine tip Sharpie or marker</w:t>
      </w:r>
      <w:r>
        <w:t xml:space="preserve"> </w:t>
      </w:r>
      <w:r>
        <w:t xml:space="preserve">- Agar cutting tool</w:t>
      </w:r>
      <w:r>
        <w:t xml:space="preserve"> </w:t>
      </w:r>
      <w:r>
        <w:t xml:space="preserve">- Ethanol jar</w:t>
      </w:r>
    </w:p>
    <w:p>
      <w:pPr>
        <w:pStyle w:val="BodyText"/>
      </w:pPr>
      <w:r>
        <w:rPr>
          <w:b/>
          <w:bCs/>
        </w:rPr>
        <w:t xml:space="preserve">Procedures:</w:t>
      </w:r>
      <w:r>
        <w:t xml:space="preserve"> </w:t>
      </w:r>
      <w:r>
        <w:t xml:space="preserve">- Label your plates with identifying information</w:t>
      </w:r>
      <w:r>
        <w:t xml:space="preserve"> </w:t>
      </w:r>
      <w:r>
        <w:t xml:space="preserve">- On the bottom of each plate, draw four lines that intersect in the center of the plate (Figure 1)</w:t>
      </w:r>
      <w:r>
        <w:t xml:space="preserve"> </w:t>
      </w:r>
      <w:r>
        <w:t xml:space="preserve">- Cut out three 0.5 cm² chunks from the edge of your pure culture and place one in the center of each of the Zn plates</w:t>
      </w:r>
      <w:r>
        <w:t xml:space="preserve"> </w:t>
      </w:r>
      <w:r>
        <w:t xml:space="preserve">- Close and parafilm your plates</w:t>
      </w:r>
      <w:r>
        <w:t xml:space="preserve"> </w:t>
      </w:r>
      <w:r>
        <w:t xml:space="preserve">- Carefully, flip the plates over and trace the cube using a fine tip Sharpie</w:t>
      </w:r>
      <w:r>
        <w:t xml:space="preserve"> </w:t>
      </w:r>
      <w:r>
        <w:t xml:space="preserve">- Place the plate (unflipped) at room temperature in the dark and observe growth over the next few weeks</w:t>
      </w:r>
    </w:p>
    <w:bookmarkEnd w:id="88"/>
    <w:bookmarkStart w:id="89" w:name="temperature-assays"/>
    <w:p>
      <w:pPr>
        <w:pStyle w:val="Heading3"/>
      </w:pPr>
      <w:r>
        <w:t xml:space="preserve">Temperature Assays</w:t>
      </w:r>
    </w:p>
    <w:p>
      <w:pPr>
        <w:pStyle w:val="FirstParagraph"/>
      </w:pPr>
      <w:r>
        <w:t xml:space="preserve">In this lab, we will explore the effects of temperature on the growth and survival of foliar fungal endophytes. Temperature is a critical environmental factor that influences fungal physiology and ecological dynamics. To investigate how these fungi respond to different thermal conditions, we will isolate fungal endophytes from plant leaves and cultivate them at three distinct temperatures: 4°C, room temperature (approximately 20°C), and 28°C. By measuring their growth rates over several weeks, we will better understand their tolerance to different temperatures.</w:t>
      </w:r>
    </w:p>
    <w:p>
      <w:pPr>
        <w:pStyle w:val="BodyText"/>
      </w:pPr>
      <w:r>
        <w:rPr>
          <w:b/>
          <w:bCs/>
        </w:rPr>
        <w:t xml:space="preserve">Objectives:</w:t>
      </w:r>
      <w:r>
        <w:t xml:space="preserve"> </w:t>
      </w:r>
      <w:r>
        <w:t xml:space="preserve">1. Determine optimal growth temperature.</w:t>
      </w:r>
      <w:r>
        <w:t xml:space="preserve"> </w:t>
      </w:r>
      <w:r>
        <w:t xml:space="preserve">2. Measure how different temperatures influence fungal growth rates.</w:t>
      </w:r>
    </w:p>
    <w:p>
      <w:pPr>
        <w:pStyle w:val="BodyText"/>
      </w:pPr>
      <w:r>
        <w:rPr>
          <w:b/>
          <w:bCs/>
        </w:rPr>
        <w:t xml:space="preserve">Materials:</w:t>
      </w:r>
      <w:r>
        <w:t xml:space="preserve"> </w:t>
      </w:r>
      <w:r>
        <w:t xml:space="preserve">- Pure cultures (2 per student)</w:t>
      </w:r>
      <w:r>
        <w:t xml:space="preserve"> </w:t>
      </w:r>
      <w:r>
        <w:t xml:space="preserve">- PDA with antibiotics (6 per student)</w:t>
      </w:r>
      <w:r>
        <w:t xml:space="preserve"> </w:t>
      </w:r>
      <w:r>
        <w:t xml:space="preserve">- Fine tip Sharpie or marker</w:t>
      </w:r>
      <w:r>
        <w:t xml:space="preserve"> </w:t>
      </w:r>
      <w:r>
        <w:t xml:space="preserve">- Culture cutting tool</w:t>
      </w:r>
      <w:r>
        <w:t xml:space="preserve"> </w:t>
      </w:r>
      <w:r>
        <w:t xml:space="preserve">- Ethanol jar</w:t>
      </w:r>
    </w:p>
    <w:p>
      <w:pPr>
        <w:pStyle w:val="BodyText"/>
      </w:pPr>
      <w:r>
        <w:rPr>
          <w:b/>
          <w:bCs/>
        </w:rPr>
        <w:t xml:space="preserve">Procedures:</w:t>
      </w:r>
      <w:r>
        <w:t xml:space="preserve"> </w:t>
      </w:r>
      <w:r>
        <w:t xml:space="preserve">- Label your plates with identifying information and growth temperatures (2 per temp.)</w:t>
      </w:r>
      <w:r>
        <w:t xml:space="preserve"> </w:t>
      </w:r>
      <w:r>
        <w:t xml:space="preserve">- On the bottom of each plate, draw four lines that intersect in the center of the plate (Figure 6.1)</w:t>
      </w:r>
      <w:r>
        <w:t xml:space="preserve"> </w:t>
      </w:r>
      <w:r>
        <w:t xml:space="preserve">- Cut out three 0.5 cm chunks from the edge of your pure culture and place one in the center of each of the temperature plates</w:t>
      </w:r>
      <w:r>
        <w:t xml:space="preserve"> </w:t>
      </w:r>
      <w:r>
        <w:t xml:space="preserve">- Close and parafilm your plates</w:t>
      </w:r>
      <w:r>
        <w:t xml:space="preserve"> </w:t>
      </w:r>
      <w:r>
        <w:t xml:space="preserve">- Carefully, flip the plates over and trace the cube using a fine-tip Sharpie</w:t>
      </w:r>
      <w:r>
        <w:t xml:space="preserve"> </w:t>
      </w:r>
      <w:r>
        <w:t xml:space="preserve">- Bring your plates to the front of the class and place them (unflipped) in the correct box for incubation</w:t>
      </w:r>
    </w:p>
    <w:bookmarkEnd w:id="89"/>
    <w:bookmarkStart w:id="90" w:name="measuring-fungal-growth"/>
    <w:p>
      <w:pPr>
        <w:pStyle w:val="Heading3"/>
      </w:pPr>
      <w:r>
        <w:t xml:space="preserve">Measuring Fungal Growth</w:t>
      </w:r>
    </w:p>
    <w:p>
      <w:pPr>
        <w:pStyle w:val="FirstParagraph"/>
      </w:pPr>
      <w:r>
        <w:rPr>
          <w:b/>
          <w:bCs/>
        </w:rPr>
        <w:t xml:space="preserve">Objectives:</w:t>
      </w:r>
      <w:r>
        <w:t xml:space="preserve"> </w:t>
      </w:r>
      <w:r>
        <w:t xml:space="preserve">1. Measure growth for Zn stress assay</w:t>
      </w:r>
      <w:r>
        <w:t xml:space="preserve"> </w:t>
      </w:r>
      <w:r>
        <w:t xml:space="preserve">2. Measure growth for temperature assay</w:t>
      </w:r>
    </w:p>
    <w:p>
      <w:pPr>
        <w:pStyle w:val="BodyText"/>
      </w:pPr>
      <w:r>
        <w:rPr>
          <w:b/>
          <w:bCs/>
        </w:rPr>
        <w:t xml:space="preserve">Materials:</w:t>
      </w:r>
      <w:r>
        <w:t xml:space="preserve"> </w:t>
      </w:r>
      <w:r>
        <w:t xml:space="preserve">- Fine tip Sharpie</w:t>
      </w:r>
      <w:r>
        <w:t xml:space="preserve"> </w:t>
      </w:r>
      <w:r>
        <w:t xml:space="preserve">- Three Zn culture plates</w:t>
      </w:r>
      <w:r>
        <w:t xml:space="preserve"> </w:t>
      </w:r>
      <w:r>
        <w:t xml:space="preserve">- Three temperature culture plates</w:t>
      </w:r>
      <w:r>
        <w:t xml:space="preserve"> </w:t>
      </w:r>
      <w:r>
        <w:t xml:space="preserve">- Ruler to measure growth in mm (mm ruler)</w:t>
      </w:r>
    </w:p>
    <w:p>
      <w:pPr>
        <w:pStyle w:val="BodyText"/>
      </w:pPr>
      <w:r>
        <w:rPr>
          <w:b/>
          <w:bCs/>
        </w:rPr>
        <w:t xml:space="preserve">Procedures:</w:t>
      </w:r>
      <w:r>
        <w:t xml:space="preserve"> </w:t>
      </w:r>
      <w:r>
        <w:t xml:space="preserve">- On the bottom of the plate, trace the edge of your fungal culture</w:t>
      </w:r>
      <w:r>
        <w:t xml:space="preserve"> </w:t>
      </w:r>
      <w:r>
        <w:t xml:space="preserve">- Measure, in mm, new growth at each of the four edges along the lines</w:t>
      </w:r>
      <w:r>
        <w:t xml:space="preserve"> </w:t>
      </w:r>
      <w:r>
        <w:t xml:space="preserve">- Average the eight measurements to get the average growth and determine the average growth rate (distance/time)</w:t>
      </w:r>
    </w:p>
    <w:bookmarkEnd w:id="90"/>
    <w:bookmarkEnd w:id="91"/>
    <w:bookmarkEnd w:id="92"/>
    <w:bookmarkStart w:id="117" w:name="module-4-dna-sequencing"/>
    <w:p>
      <w:pPr>
        <w:pStyle w:val="Heading1"/>
      </w:pPr>
      <w:r>
        <w:t xml:space="preserve">Module 4: DNA Sequencing</w:t>
      </w:r>
    </w:p>
    <w:bookmarkStart w:id="94" w:name="X1f9141d941555e98bd81ab73b3543cfd3247ac1"/>
    <w:p>
      <w:pPr>
        <w:pStyle w:val="Heading2"/>
      </w:pPr>
      <w:r>
        <w:t xml:space="preserve">Module 4.1 – DNA Sequencing and Species Identification Instructor Resources</w:t>
      </w:r>
    </w:p>
    <w:bookmarkStart w:id="93" w:name="Xf2d43db359788ca93a2d8fe43440f1f2685953f"/>
    <w:p>
      <w:pPr>
        <w:pStyle w:val="Heading3"/>
      </w:pPr>
      <w:r>
        <w:t xml:space="preserve">Instructor Laboratory Preparation Instructions</w:t>
      </w:r>
    </w:p>
    <w:p>
      <w:pPr>
        <w:pStyle w:val="FirstParagraph"/>
      </w:pPr>
      <w:r>
        <w:rPr>
          <w:b/>
          <w:bCs/>
        </w:rPr>
        <w:t xml:space="preserve">Materials needed:</w:t>
      </w:r>
      <w:r>
        <w:t xml:space="preserve"> </w:t>
      </w:r>
      <w:r>
        <w:t xml:space="preserve">This list may vary depending on your preferred extraction, amplification, and sequencing protocols.</w:t>
      </w:r>
      <w:r>
        <w:t xml:space="preserve"> </w:t>
      </w:r>
      <w:r>
        <w:t xml:space="preserve">* Gloves</w:t>
      </w:r>
      <w:r>
        <w:t xml:space="preserve"> </w:t>
      </w:r>
      <w:r>
        <w:t xml:space="preserve">* Sharpie</w:t>
      </w:r>
      <w:r>
        <w:t xml:space="preserve"> </w:t>
      </w:r>
      <w:r>
        <w:t xml:space="preserve">* Thermal cycler</w:t>
      </w:r>
      <w:r>
        <w:t xml:space="preserve"> </w:t>
      </w:r>
      <w:r>
        <w:t xml:space="preserve">* Vortex</w:t>
      </w:r>
      <w:r>
        <w:t xml:space="preserve"> </w:t>
      </w:r>
      <w:r>
        <w:t xml:space="preserve">* Centrifuge for PCR and microfuge tubes</w:t>
      </w:r>
      <w:r>
        <w:t xml:space="preserve"> </w:t>
      </w:r>
      <w:r>
        <w:t xml:space="preserve">* Heat block/thermomixer for 1.5-2.0 ml microfuge tubes</w:t>
      </w:r>
      <w:r>
        <w:t xml:space="preserve"> </w:t>
      </w:r>
      <w:r>
        <w:t xml:space="preserve">* 1.5mL microcentrifuge tubes (Eppendorf DNA LoBind)</w:t>
      </w:r>
      <w:r>
        <w:t xml:space="preserve"> </w:t>
      </w:r>
      <w:r>
        <w:t xml:space="preserve">* 0.2 mL PCR tubes</w:t>
      </w:r>
      <w:r>
        <w:t xml:space="preserve"> </w:t>
      </w:r>
      <w:r>
        <w:t xml:space="preserve">* Microfuge and PCR tube racks</w:t>
      </w:r>
      <w:r>
        <w:t xml:space="preserve"> </w:t>
      </w:r>
      <w:r>
        <w:t xml:space="preserve">* Labeling tape</w:t>
      </w:r>
      <w:r>
        <w:t xml:space="preserve"> </w:t>
      </w:r>
      <w:r>
        <w:t xml:space="preserve">* Monarch® Spin gDNA Extraction Kit (New England BioLabs,T3010S)</w:t>
      </w:r>
      <w:r>
        <w:t xml:space="preserve"> </w:t>
      </w:r>
      <w:r>
        <w:t xml:space="preserve">* MetaPolyzyme, DNA free (Millipore Sigma, MAC4LDF-5X1VL)</w:t>
      </w:r>
      <w:r>
        <w:t xml:space="preserve"> </w:t>
      </w:r>
      <w:r>
        <w:t xml:space="preserve">* TE Buffer</w:t>
      </w:r>
      <w:r>
        <w:t xml:space="preserve"> </w:t>
      </w:r>
      <w:r>
        <w:t xml:space="preserve">* CTAB solution (100 ml, Promega, MC1411)</w:t>
      </w:r>
      <w:r>
        <w:t xml:space="preserve"> </w:t>
      </w:r>
      <w:r>
        <w:t xml:space="preserve">* Parafilm</w:t>
      </w:r>
      <w:r>
        <w:t xml:space="preserve"> </w:t>
      </w:r>
      <w:r>
        <w:t xml:space="preserve">* 70% ETOH</w:t>
      </w:r>
      <w:r>
        <w:t xml:space="preserve"> </w:t>
      </w:r>
      <w:r>
        <w:t xml:space="preserve">* 1-10, 20-200, and 100-1000 µL micropipettors</w:t>
      </w:r>
      <w:r>
        <w:t xml:space="preserve"> </w:t>
      </w:r>
      <w:r>
        <w:t xml:space="preserve">* 1-10, 20-200, and 100-1000 µL micropipette tips (preferably filtered)</w:t>
      </w:r>
      <w:r>
        <w:t xml:space="preserve"> </w:t>
      </w:r>
      <w:r>
        <w:t xml:space="preserve">* Kimwipes</w:t>
      </w:r>
      <w:r>
        <w:t xml:space="preserve"> </w:t>
      </w:r>
      <w:r>
        <w:t xml:space="preserve">* PCR primers (ITS1f, ITS4, 5.8SR, fITS7) ordered from Integrated DNA Technologies (IDT) or similar supplier normalized to 100 µM in TE buffer. The following primers are commonly used for fungal DNA barcoding:</w:t>
      </w:r>
      <w:r>
        <w:t xml:space="preserve"> </w:t>
      </w:r>
      <w:r>
        <w:t xml:space="preserve">+ ITS1f: 5’-CTTGGTCATTTAGAGGAAGTAA-3’</w:t>
      </w:r>
      <w:r>
        <w:t xml:space="preserve"> </w:t>
      </w:r>
      <w:r>
        <w:t xml:space="preserve">+ ITS4: 5’-TCCTCCGCTTATTGATATGC</w:t>
      </w:r>
      <w:r>
        <w:t xml:space="preserve"> </w:t>
      </w:r>
      <w:r>
        <w:t xml:space="preserve">+ 5.8SR: 5’-CGCTGCGTTCTTCATCG-3’</w:t>
      </w:r>
      <w:r>
        <w:t xml:space="preserve"> </w:t>
      </w:r>
      <w:r>
        <w:t xml:space="preserve">+ fITS7: 5’-GTGARTCATCGAATCTTTG-3’</w:t>
      </w:r>
      <w:r>
        <w:t xml:space="preserve"> </w:t>
      </w:r>
      <w:r>
        <w:t xml:space="preserve">* Q5® Hot Start High-Fidelity 2X Master Mix - 100 reactions(New England BioLabs, M0494S)</w:t>
      </w:r>
      <w:r>
        <w:t xml:space="preserve"> </w:t>
      </w:r>
      <w:r>
        <w:t xml:space="preserve">* PCR water (New England BioLabs, B1500S)</w:t>
      </w:r>
      <w:r>
        <w:t xml:space="preserve"> </w:t>
      </w:r>
      <w:r>
        <w:t xml:space="preserve">* Exo-CIP Rapid PCR Cleanup Kit - 100 reactions (New England BioLabs, E1050S)</w:t>
      </w:r>
      <w:r>
        <w:t xml:space="preserve"> </w:t>
      </w:r>
      <w:r>
        <w:t xml:space="preserve">* E-Gel system with 1.2% agarose gels (ThermoFisher, G4010010) or similar gel electrophoresis system</w:t>
      </w:r>
      <w:r>
        <w:t xml:space="preserve"> </w:t>
      </w:r>
      <w:r>
        <w:t xml:space="preserve">* E-Gel™ Sizing DNA Ladder (ThermoFisher, 10488100)</w:t>
      </w:r>
      <w:r>
        <w:t xml:space="preserve"> </w:t>
      </w:r>
      <w:r>
        <w:t xml:space="preserve">* DNA quantification system (for example, Qubit Fluorometer with dsDNA HS Assay Kit, ThermoFisher, Q32851)</w:t>
      </w:r>
      <w:r>
        <w:t xml:space="preserve"> </w:t>
      </w:r>
      <w:r>
        <w:t xml:space="preserve">* Access to Sanger sequencing services (for example, Genewiz, Eurofins, Eton, or similar provider).</w:t>
      </w:r>
      <w:r>
        <w:t xml:space="preserve"> </w:t>
      </w:r>
      <w:r>
        <w:t xml:space="preserve">* Rapid Barcoding Kit v14 (Oxford Nanopore Technologies), SQK-RBK114.24 or similar kit for long-read sequencing (optional)</w:t>
      </w:r>
      <w:r>
        <w:t xml:space="preserve"> </w:t>
      </w:r>
      <w:r>
        <w:t xml:space="preserve">* MinION sequencing device</w:t>
      </w:r>
      <w:r>
        <w:t xml:space="preserve"> </w:t>
      </w:r>
      <w:r>
        <w:t xml:space="preserve">* MinION flow cells (R10.4.1 or similar, Oxford Nanopore Technologies, FLO-MIN114)</w:t>
      </w:r>
      <w:r>
        <w:t xml:space="preserve"> </w:t>
      </w:r>
      <w:r>
        <w:t xml:space="preserve">* Ultrapure BSA 50mg/ml (ThermoFisher, AM2616) for long-read sequencing</w:t>
      </w:r>
      <w:r>
        <w:t xml:space="preserve"> </w:t>
      </w:r>
      <w:r>
        <w:t xml:space="preserve">* 1.5mL microcentrifuge tubes (Eppendorf DNA LoBind) for long-read sequencing</w:t>
      </w:r>
      <w:r>
        <w:t xml:space="preserve"> </w:t>
      </w:r>
      <w:r>
        <w:t xml:space="preserve">* 0.2 mL PCR tubes for long-read sequencing</w:t>
      </w:r>
      <w:r>
        <w:t xml:space="preserve"> </w:t>
      </w:r>
      <w:r>
        <w:t xml:space="preserve">* Magnetic rack for 1.5ml microcentrifuge tubes (for example, ThermoFisher DynaMag-2, 12321D) for long-read sequencing</w:t>
      </w:r>
      <w:r>
        <w:t xml:space="preserve"> </w:t>
      </w:r>
      <w:r>
        <w:t xml:space="preserve">* Nuclease-free water and 100% ethanol to prepare 80&amp; ethanol for long-read sequencing</w:t>
      </w:r>
    </w:p>
    <w:p>
      <w:pPr>
        <w:pStyle w:val="BodyText"/>
      </w:pPr>
      <w:r>
        <w:rPr>
          <w:b/>
          <w:bCs/>
        </w:rPr>
        <w:t xml:space="preserve">DNA Extraction Buffer (ES)</w:t>
      </w:r>
    </w:p>
    <w:p>
      <w:pPr>
        <w:pStyle w:val="BodyText"/>
      </w:pPr>
      <w:r>
        <w:rPr>
          <w:b/>
          <w:bCs/>
        </w:rPr>
        <w:t xml:space="preserve">1M Tris Stock Solution (1 mole (M) of Tris = 121.14 grams)</w:t>
      </w:r>
      <w:r>
        <w:t xml:space="preserve"> </w:t>
      </w:r>
      <w:r>
        <w:t xml:space="preserve">1. Add 121.14 grams of Tris to 1000 mL of water (adjust quantity to lab needs)</w:t>
      </w:r>
      <w:r>
        <w:t xml:space="preserve"> </w:t>
      </w:r>
      <w:r>
        <w:t xml:space="preserve">2. Add a magnetic stir bar to the beaker and put the beaker on a hot plate/stir plate and set the heat and stirring to medium-low to facilitate the dissolving of the Tris.</w:t>
      </w:r>
    </w:p>
    <w:p>
      <w:pPr>
        <w:pStyle w:val="BodyText"/>
      </w:pPr>
      <w:r>
        <w:rPr>
          <w:b/>
          <w:bCs/>
        </w:rPr>
        <w:t xml:space="preserve">Prepare Extraction Buffer (ES)</w:t>
      </w:r>
      <w:r>
        <w:t xml:space="preserve"> </w:t>
      </w:r>
      <w:r>
        <w:t xml:space="preserve">1. Add 10 mL of Tris stock solution to a 250 mL beaker.</w:t>
      </w:r>
      <w:r>
        <w:t xml:space="preserve"> </w:t>
      </w:r>
      <w:r>
        <w:t xml:space="preserve">2. Weigh and add 1.86 g KCl to the beaker.</w:t>
      </w:r>
      <w:r>
        <w:t xml:space="preserve"> </w:t>
      </w:r>
      <w:r>
        <w:t xml:space="preserve">3. Weigh and add 0.37 g EDTA.</w:t>
      </w:r>
      <w:r>
        <w:t xml:space="preserve"> </w:t>
      </w:r>
      <w:r>
        <w:t xml:space="preserve">4. Top up with 80 mL of distilled water.</w:t>
      </w:r>
      <w:r>
        <w:t xml:space="preserve"> </w:t>
      </w:r>
      <w:r>
        <w:t xml:space="preserve">5. Place on a hot/stir plate with a magnetic stir bar over medium-low heat and speed. Wait until dissolved.</w:t>
      </w:r>
      <w:r>
        <w:t xml:space="preserve"> </w:t>
      </w:r>
      <w:r>
        <w:t xml:space="preserve">6. Top up to 100mL total with distilled water and stir briefly.</w:t>
      </w:r>
      <w:r>
        <w:t xml:space="preserve"> </w:t>
      </w:r>
      <w:r>
        <w:t xml:space="preserve">7. Dispense 1000 µL into 1.5 mL microcentrifuge tubes and label the tubes</w:t>
      </w:r>
      <w:r>
        <w:t xml:space="preserve"> </w:t>
      </w:r>
      <w:r>
        <w:t xml:space="preserve">“ES”</w:t>
      </w:r>
      <w:r>
        <w:t xml:space="preserve"> </w:t>
      </w:r>
      <w:r>
        <w:t xml:space="preserve">for Extraction Solution.</w:t>
      </w:r>
      <w:r>
        <w:t xml:space="preserve"> </w:t>
      </w:r>
      <w:r>
        <w:t xml:space="preserve">8. Place tubes in a rack labeled</w:t>
      </w:r>
      <w:r>
        <w:t xml:space="preserve"> </w:t>
      </w:r>
      <w:r>
        <w:t xml:space="preserve">“Mycology DNA Extraction Reagents”</w:t>
      </w:r>
      <w:r>
        <w:t xml:space="preserve"> </w:t>
      </w:r>
      <w:r>
        <w:t xml:space="preserve">and store in the Freezer.</w:t>
      </w:r>
    </w:p>
    <w:p>
      <w:pPr>
        <w:pStyle w:val="BodyText"/>
      </w:pPr>
      <w:r>
        <w:rPr>
          <w:b/>
          <w:bCs/>
        </w:rPr>
        <w:t xml:space="preserve">Dilution Solution (DS) (3% BSA) Prep</w:t>
      </w:r>
      <w:r>
        <w:t xml:space="preserve"> </w:t>
      </w:r>
      <w:r>
        <w:t xml:space="preserve">1. Add 3 g BSA (Bovine Serum Albumin) to 250 mL beaker.</w:t>
      </w:r>
      <w:r>
        <w:t xml:space="preserve"> </w:t>
      </w:r>
      <w:r>
        <w:t xml:space="preserve">2. Add 100 mL of distilled water.</w:t>
      </w:r>
      <w:r>
        <w:t xml:space="preserve"> </w:t>
      </w:r>
      <w:r>
        <w:t xml:space="preserve">3. Shake/stir to dissolve the BSA into solution. DO NOT HEAT!</w:t>
      </w:r>
      <w:r>
        <w:t xml:space="preserve"> </w:t>
      </w:r>
      <w:r>
        <w:t xml:space="preserve">4. Dispense 1000 µL into 1.5 mL microcentrifuge tubes and label the tubes</w:t>
      </w:r>
      <w:r>
        <w:t xml:space="preserve"> </w:t>
      </w:r>
      <w:r>
        <w:t xml:space="preserve">“DS”</w:t>
      </w:r>
      <w:r>
        <w:t xml:space="preserve">.</w:t>
      </w:r>
      <w:r>
        <w:t xml:space="preserve"> </w:t>
      </w:r>
      <w:r>
        <w:t xml:space="preserve">5. Place tubes in a rack labeled</w:t>
      </w:r>
      <w:r>
        <w:t xml:space="preserve"> </w:t>
      </w:r>
      <w:r>
        <w:t xml:space="preserve">“Mycology DNA Extraction Reagents”</w:t>
      </w:r>
      <w:r>
        <w:t xml:space="preserve"> </w:t>
      </w:r>
      <w:r>
        <w:t xml:space="preserve">and store them in the Freezer.</w:t>
      </w:r>
    </w:p>
    <w:p>
      <w:pPr>
        <w:pStyle w:val="BodyText"/>
      </w:pPr>
      <w:r>
        <w:rPr>
          <w:b/>
          <w:bCs/>
        </w:rPr>
        <w:t xml:space="preserve">Diluting and prepping PCR primers</w:t>
      </w:r>
      <w:r>
        <w:t xml:space="preserve"> </w:t>
      </w:r>
      <w:r>
        <w:t xml:space="preserve">1. To dilute the vial to a stock concentration of 100 picomols/microliter first read the number of µmols present in the tube.</w:t>
      </w:r>
      <w:r>
        <w:t xml:space="preserve"> </w:t>
      </w:r>
      <w:r>
        <w:t xml:space="preserve">a. Using this number, divide by 10, and add that many µL of PCR pure water to the tubes. This will give you a concentration of 100 pmol/µL</w:t>
      </w:r>
      <w:r>
        <w:t xml:space="preserve"> </w:t>
      </w:r>
      <w:r>
        <w:t xml:space="preserve">2. To make PCR ready primers we need to dilute the concentration to 10 pmol/µL.</w:t>
      </w:r>
      <w:r>
        <w:t xml:space="preserve"> </w:t>
      </w:r>
      <w:r>
        <w:t xml:space="preserve">a. Add 180 µL PCR pure water to a 1.5 mL microcentrifuge tube.</w:t>
      </w:r>
      <w:r>
        <w:t xml:space="preserve"> </w:t>
      </w:r>
      <w:r>
        <w:t xml:space="preserve">b. Label the tube according to the primer being added.</w:t>
      </w:r>
      <w:r>
        <w:t xml:space="preserve"> </w:t>
      </w:r>
      <w:r>
        <w:t xml:space="preserve">c. Add 20 µL of the 100 pmol/µL concentration primer.</w:t>
      </w:r>
    </w:p>
    <w:bookmarkEnd w:id="93"/>
    <w:bookmarkEnd w:id="94"/>
    <w:bookmarkStart w:id="116" w:name="X84ab9f30f319591ed283388a48344a8ca0af377"/>
    <w:p>
      <w:pPr>
        <w:pStyle w:val="Heading2"/>
      </w:pPr>
      <w:r>
        <w:t xml:space="preserve">Module 4.2 – DNA Sequencing and Species Identification</w:t>
      </w:r>
    </w:p>
    <w:bookmarkStart w:id="95" w:name="purpose-2"/>
    <w:p>
      <w:pPr>
        <w:pStyle w:val="Heading3"/>
      </w:pPr>
      <w:r>
        <w:t xml:space="preserve">Purpose</w:t>
      </w:r>
    </w:p>
    <w:p>
      <w:pPr>
        <w:pStyle w:val="FirstParagraph"/>
      </w:pPr>
      <w:r>
        <w:t xml:space="preserve">The purpose of this module is to molecularly identify fungal isolates using the Internal Transcribed Spacer (ITS) rDNA region, also known as the fungal barcode. You will extract genomic DNA (gDNA) from your isolates, amplify the ITS rDNA using polymerase chain reaction (PCR), clean PCR product, Sanger sequence PCR product, and use DNA sequence to obtain a name for your isolate.</w:t>
      </w:r>
    </w:p>
    <w:bookmarkEnd w:id="95"/>
    <w:bookmarkStart w:id="96" w:name="learning-goals-2"/>
    <w:p>
      <w:pPr>
        <w:pStyle w:val="Heading3"/>
      </w:pPr>
      <w:r>
        <w:t xml:space="preserve">Learning Goals</w:t>
      </w:r>
    </w:p>
    <w:p>
      <w:pPr>
        <w:pStyle w:val="Compact"/>
        <w:numPr>
          <w:ilvl w:val="0"/>
          <w:numId w:val="1044"/>
        </w:numPr>
      </w:pPr>
      <w:r>
        <w:t xml:space="preserve">Practice extracting fungal DNA</w:t>
      </w:r>
    </w:p>
    <w:p>
      <w:pPr>
        <w:pStyle w:val="Compact"/>
        <w:numPr>
          <w:ilvl w:val="0"/>
          <w:numId w:val="1044"/>
        </w:numPr>
      </w:pPr>
      <w:r>
        <w:t xml:space="preserve">Successfully PCR amplify fungal ITS</w:t>
      </w:r>
    </w:p>
    <w:p>
      <w:pPr>
        <w:pStyle w:val="Compact"/>
        <w:numPr>
          <w:ilvl w:val="0"/>
          <w:numId w:val="1044"/>
        </w:numPr>
      </w:pPr>
      <w:r>
        <w:t xml:space="preserve">Learn to BLAST ITS sequence to identify fungal isolates</w:t>
      </w:r>
    </w:p>
    <w:bookmarkEnd w:id="96"/>
    <w:bookmarkStart w:id="100" w:name="part-i-dna-extraction"/>
    <w:p>
      <w:pPr>
        <w:pStyle w:val="Heading3"/>
      </w:pPr>
      <w:r>
        <w:t xml:space="preserve">Part I: DNA Extraction</w:t>
      </w:r>
    </w:p>
    <w:bookmarkStart w:id="97" w:name="introduction-3"/>
    <w:p>
      <w:pPr>
        <w:pStyle w:val="Heading4"/>
      </w:pPr>
      <w:r>
        <w:t xml:space="preserve">Introduction</w:t>
      </w:r>
    </w:p>
    <w:p>
      <w:pPr>
        <w:pStyle w:val="FirstParagraph"/>
      </w:pPr>
      <w:r>
        <w:t xml:space="preserve">Identification of fungal cultures requires knowledge and techniques beyond the scope of this course. Luckily, we can use DNA sequencing of the fungal barcode region (ITS rDNA region) to obtain an identification for our isolates. To do this, you must (1) extract gDNA from a pure culture of your fungal isolate; (2) specifically amplify (make millions of copies) a portion of the ITS rDNA region using polymerase chain reaction (PCR); (3) sequence the PCR product using Sanger sequencing; and (4) submit your sequences for comparison against an online gene database (NCBI’s GenBank).</w:t>
      </w:r>
    </w:p>
    <w:p>
      <w:pPr>
        <w:pStyle w:val="BodyText"/>
      </w:pPr>
      <w:r>
        <w:t xml:space="preserve">In this part of the module, you will extract DNA from your fungal isolates. There are many ways to isolate DNA from fungi. Here we will use a very simple kit that uses an alkaline (pH 9.5-10) extraction solution at high heat to disrupt cells and release gDNA.</w:t>
      </w:r>
    </w:p>
    <w:bookmarkEnd w:id="97"/>
    <w:bookmarkStart w:id="98" w:name="materials"/>
    <w:p>
      <w:pPr>
        <w:pStyle w:val="Heading4"/>
      </w:pPr>
      <w:r>
        <w:t xml:space="preserve">Materials:</w:t>
      </w:r>
    </w:p>
    <w:p>
      <w:pPr>
        <w:pStyle w:val="Compact"/>
        <w:numPr>
          <w:ilvl w:val="0"/>
          <w:numId w:val="1045"/>
        </w:numPr>
      </w:pPr>
      <w:r>
        <w:t xml:space="preserve">Fungal isolates</w:t>
      </w:r>
    </w:p>
    <w:p>
      <w:pPr>
        <w:pStyle w:val="Compact"/>
        <w:numPr>
          <w:ilvl w:val="0"/>
          <w:numId w:val="1045"/>
        </w:numPr>
      </w:pPr>
      <w:r>
        <w:t xml:space="preserve">0.2 mL PCR tubes</w:t>
      </w:r>
    </w:p>
    <w:p>
      <w:pPr>
        <w:pStyle w:val="Compact"/>
        <w:numPr>
          <w:ilvl w:val="0"/>
          <w:numId w:val="1045"/>
        </w:numPr>
      </w:pPr>
      <w:r>
        <w:t xml:space="preserve">P20 micropipette with tips</w:t>
      </w:r>
    </w:p>
    <w:p>
      <w:pPr>
        <w:pStyle w:val="Compact"/>
        <w:numPr>
          <w:ilvl w:val="0"/>
          <w:numId w:val="1045"/>
        </w:numPr>
      </w:pPr>
      <w:r>
        <w:t xml:space="preserve">DNA extraction solution (ES)</w:t>
      </w:r>
    </w:p>
    <w:p>
      <w:pPr>
        <w:pStyle w:val="Compact"/>
        <w:numPr>
          <w:ilvl w:val="0"/>
          <w:numId w:val="1045"/>
        </w:numPr>
      </w:pPr>
      <w:r>
        <w:t xml:space="preserve">DNA dilution solution (DS)</w:t>
      </w:r>
    </w:p>
    <w:p>
      <w:pPr>
        <w:pStyle w:val="Compact"/>
        <w:numPr>
          <w:ilvl w:val="0"/>
          <w:numId w:val="1045"/>
        </w:numPr>
      </w:pPr>
      <w:r>
        <w:t xml:space="preserve">Ethanol jar</w:t>
      </w:r>
    </w:p>
    <w:p>
      <w:pPr>
        <w:pStyle w:val="Compact"/>
        <w:numPr>
          <w:ilvl w:val="0"/>
          <w:numId w:val="1045"/>
        </w:numPr>
      </w:pPr>
      <w:r>
        <w:t xml:space="preserve">Loop, pick, and forceps</w:t>
      </w:r>
    </w:p>
    <w:bookmarkEnd w:id="98"/>
    <w:bookmarkStart w:id="99" w:name="procedures"/>
    <w:p>
      <w:pPr>
        <w:pStyle w:val="Heading4"/>
      </w:pPr>
      <w:r>
        <w:t xml:space="preserve">Procedures:</w:t>
      </w:r>
    </w:p>
    <w:p>
      <w:pPr>
        <w:pStyle w:val="Compact"/>
        <w:numPr>
          <w:ilvl w:val="0"/>
          <w:numId w:val="1046"/>
        </w:numPr>
      </w:pPr>
      <w:r>
        <w:t xml:space="preserve">Using the micropipette, aliquot 20 µL of ES into 0.2 mL snap-cap PCR tubes. We will run DNA extraction in duplicates, so fill two PCR tubes per culture.</w:t>
      </w:r>
      <w:r>
        <w:t xml:space="preserve"> </w:t>
      </w:r>
      <w:r>
        <w:t xml:space="preserve">NOTE: Label your tubes before adding ES. Label on both the cap and side of the tubes, so you can identify the samples as yours and can differentiate to which culture they belong.</w:t>
      </w:r>
    </w:p>
    <w:p>
      <w:pPr>
        <w:pStyle w:val="Compact"/>
        <w:numPr>
          <w:ilvl w:val="0"/>
          <w:numId w:val="1046"/>
        </w:numPr>
      </w:pPr>
      <w:r>
        <w:t xml:space="preserve">Place the tissue sample into the ES. Submerge and smash the sample against the tube wall if possible.</w:t>
      </w:r>
      <w:r>
        <w:t xml:space="preserve"> </w:t>
      </w:r>
      <w:r>
        <w:t xml:space="preserve">NOTE: be careful not to add any agar to the ES as this will impact the pH of the solution and the extraction of gDNA.</w:t>
      </w:r>
    </w:p>
    <w:p>
      <w:pPr>
        <w:pStyle w:val="Compact"/>
        <w:numPr>
          <w:ilvl w:val="0"/>
          <w:numId w:val="1046"/>
        </w:numPr>
      </w:pPr>
      <w:r>
        <w:t xml:space="preserve">Close the snap-caps and incubate at 65 °C for 10 minutes followed by 95 °C for 10 minutes.</w:t>
      </w:r>
    </w:p>
    <w:p>
      <w:pPr>
        <w:pStyle w:val="Compact"/>
        <w:numPr>
          <w:ilvl w:val="0"/>
          <w:numId w:val="1046"/>
        </w:numPr>
      </w:pPr>
      <w:r>
        <w:t xml:space="preserve">Using the micropipette, aliquot an equal volume of DS (20 µL) to your extracts. Ensure that you can still read the labels and store in the freezer until next week. We will use these extractions to amplify the fungal ITS rDNA region using PCR.</w:t>
      </w:r>
    </w:p>
    <w:bookmarkEnd w:id="99"/>
    <w:bookmarkEnd w:id="100"/>
    <w:bookmarkStart w:id="105" w:name="part-ii-polymerase-chain-reaction-pcr"/>
    <w:p>
      <w:pPr>
        <w:pStyle w:val="Heading3"/>
      </w:pPr>
      <w:r>
        <w:t xml:space="preserve">Part II: Polymerase Chain Reaction (PCR)</w:t>
      </w:r>
    </w:p>
    <w:bookmarkStart w:id="101" w:name="introduction-to-pcr"/>
    <w:p>
      <w:pPr>
        <w:pStyle w:val="Heading4"/>
      </w:pPr>
      <w:r>
        <w:t xml:space="preserve">Introduction to PCR</w:t>
      </w:r>
    </w:p>
    <w:p>
      <w:pPr>
        <w:pStyle w:val="FirstParagraph"/>
      </w:pPr>
      <w:r>
        <w:t xml:space="preserve">The polymerase chain reaction (PCR), developed in the mid-1980s, amplifies a specific DNA region by creating millions or billions of copies by</w:t>
      </w:r>
      <w:r>
        <w:t xml:space="preserve"> </w:t>
      </w:r>
      <w:r>
        <w:t xml:space="preserve">‘in vitro DNA replication’</w:t>
      </w:r>
      <w:r>
        <w:t xml:space="preserve">. It uses a thermostable form of bacterial DNA polymerase, the enzyme that copies DNA, isolated from Thermus aquaticum, a thermophilic bacterium isolated from a Yellowstone hot spring. This enzyme,</w:t>
      </w:r>
      <w:r>
        <w:t xml:space="preserve"> </w:t>
      </w:r>
      <w:r>
        <w:t xml:space="preserve">‘Taq polymerase’</w:t>
      </w:r>
      <w:r>
        <w:t xml:space="preserve">, is active at 72 °C and can withstand brief heating to 95 °C. Thus, the PCR reaction is an example of how environmental microbes have benefited biotechnology and revolutionized biology.</w:t>
      </w:r>
    </w:p>
    <w:p>
      <w:pPr>
        <w:pStyle w:val="BodyText"/>
      </w:pPr>
      <w:r>
        <w:t xml:space="preserve">The PCR reaction consists of mixing your template DNA with two primers: short sequences of DNA that are complementary to the ends of the region you want to amplify. The forward primer binds to one strand at the beginning of the region, and the reverse primer binds to the complementary strand at the end of the region. Primers are designed using computer databases of gene sequences, and synthesized chemically. In addition to the primers, Taq polymerase (or a synthetic polymerase enzyme), and your DNA, the PCR reaction also needs a buffer containing MgCl2 and dNTPs (the four bases of DNA). The reaction is run on a machine called a thermal cycler, which automatically heats the reaction first to 95 °C to melt the double-stranded DNA (break H-bonds between strands), then to about 53 °C to allow the primers to anneal to the template DNA, and finally to 72 °C to allow the polymerase to add dNTPs and extend the product. Typically, scientists run 25-35 cycles of this reaction, producing 225 - 235 copies of the target region.</w:t>
      </w:r>
    </w:p>
    <w:p>
      <w:pPr>
        <w:pStyle w:val="BodyText"/>
      </w:pPr>
      <w:r>
        <w:t xml:space="preserve">Figure 1: rDNA region containing the variable regions ITS-1 and ITS-2. Our forward primer (ITS-1F) will target a portion of the SSU and our reverse primer (ITS4) will target a portion of the LSU. Thereby, amplifying both variable regions and the 5.8S subunit.</w:t>
      </w:r>
    </w:p>
    <w:bookmarkEnd w:id="101"/>
    <w:bookmarkStart w:id="102" w:name="materials-1"/>
    <w:p>
      <w:pPr>
        <w:pStyle w:val="Heading4"/>
      </w:pPr>
      <w:r>
        <w:t xml:space="preserve">Materials:</w:t>
      </w:r>
    </w:p>
    <w:p>
      <w:pPr>
        <w:pStyle w:val="Compact"/>
        <w:numPr>
          <w:ilvl w:val="0"/>
          <w:numId w:val="1047"/>
        </w:numPr>
      </w:pPr>
      <w:r>
        <w:t xml:space="preserve">DNA extractions with DS</w:t>
      </w:r>
    </w:p>
    <w:p>
      <w:pPr>
        <w:pStyle w:val="Compact"/>
        <w:numPr>
          <w:ilvl w:val="0"/>
          <w:numId w:val="1047"/>
        </w:numPr>
      </w:pPr>
      <w:r>
        <w:t xml:space="preserve">Control DNA sample</w:t>
      </w:r>
    </w:p>
    <w:p>
      <w:pPr>
        <w:pStyle w:val="Compact"/>
        <w:numPr>
          <w:ilvl w:val="0"/>
          <w:numId w:val="1047"/>
        </w:numPr>
      </w:pPr>
      <w:r>
        <w:t xml:space="preserve">0.2 mL PCR tubes</w:t>
      </w:r>
    </w:p>
    <w:p>
      <w:pPr>
        <w:pStyle w:val="Compact"/>
        <w:numPr>
          <w:ilvl w:val="0"/>
          <w:numId w:val="1047"/>
        </w:numPr>
      </w:pPr>
      <w:r>
        <w:t xml:space="preserve">P10 micropipette with tips</w:t>
      </w:r>
    </w:p>
    <w:p>
      <w:pPr>
        <w:pStyle w:val="Compact"/>
        <w:numPr>
          <w:ilvl w:val="0"/>
          <w:numId w:val="1047"/>
        </w:numPr>
      </w:pPr>
      <w:r>
        <w:t xml:space="preserve">P20 micropipette with tips</w:t>
      </w:r>
    </w:p>
    <w:p>
      <w:pPr>
        <w:pStyle w:val="Compact"/>
        <w:numPr>
          <w:ilvl w:val="0"/>
          <w:numId w:val="1047"/>
        </w:numPr>
      </w:pPr>
      <w:r>
        <w:t xml:space="preserve">P200 micropipette with tips</w:t>
      </w:r>
    </w:p>
    <w:p>
      <w:pPr>
        <w:pStyle w:val="Compact"/>
        <w:numPr>
          <w:ilvl w:val="0"/>
          <w:numId w:val="1047"/>
        </w:numPr>
      </w:pPr>
      <w:r>
        <w:t xml:space="preserve">P1000 micropipette with tips</w:t>
      </w:r>
    </w:p>
    <w:p>
      <w:pPr>
        <w:pStyle w:val="Compact"/>
        <w:numPr>
          <w:ilvl w:val="0"/>
          <w:numId w:val="1047"/>
        </w:numPr>
      </w:pPr>
      <w:r>
        <w:t xml:space="preserve">Master mix containing buffer (MgCl2, dNTPs, primers, polymerase enzyme)</w:t>
      </w:r>
    </w:p>
    <w:p>
      <w:pPr>
        <w:pStyle w:val="Compact"/>
        <w:numPr>
          <w:ilvl w:val="0"/>
          <w:numId w:val="1047"/>
        </w:numPr>
      </w:pPr>
      <w:r>
        <w:t xml:space="preserve">PCR tube centrifuge</w:t>
      </w:r>
    </w:p>
    <w:p>
      <w:pPr>
        <w:pStyle w:val="Compact"/>
        <w:numPr>
          <w:ilvl w:val="0"/>
          <w:numId w:val="1047"/>
        </w:numPr>
      </w:pPr>
      <w:r>
        <w:t xml:space="preserve">Thermal cycler</w:t>
      </w:r>
    </w:p>
    <w:bookmarkEnd w:id="102"/>
    <w:bookmarkStart w:id="103" w:name="procedures-1"/>
    <w:p>
      <w:pPr>
        <w:pStyle w:val="Heading4"/>
      </w:pPr>
      <w:r>
        <w:t xml:space="preserve">Procedures:</w:t>
      </w:r>
    </w:p>
    <w:p>
      <w:pPr>
        <w:pStyle w:val="FirstParagraph"/>
      </w:pPr>
      <w:r>
        <w:t xml:space="preserve">We will run 20 µL PCR reactions</w:t>
      </w:r>
      <w:r>
        <w:t xml:space="preserve"> </w:t>
      </w:r>
      <w:r>
        <w:t xml:space="preserve">1. Add 18 µL of PCR master mix (contains PCR buffer, polymerase enzyme, dNTPs, and primers) to one PCR tube per sample. You can use the same pipette tip to aliquot master mix to PCR tubes.</w:t>
      </w:r>
      <w:r>
        <w:t xml:space="preserve"> </w:t>
      </w:r>
      <w:r>
        <w:t xml:space="preserve">NOTE: Cap all PCR tubes when not in use to avoid cross-contamination.</w:t>
      </w:r>
      <w:r>
        <w:t xml:space="preserve"> </w:t>
      </w:r>
      <w:r>
        <w:t xml:space="preserve">2. Dilute DNA 1:10 (2 µl of DNA + 18 µL of DS)</w:t>
      </w:r>
      <w:r>
        <w:t xml:space="preserve"> </w:t>
      </w:r>
      <w:r>
        <w:t xml:space="preserve">3. Transfer 2 µL of your 1:10 diluted DNA to one PCR tube containing master mix.</w:t>
      </w:r>
      <w:r>
        <w:t xml:space="preserve"> </w:t>
      </w:r>
      <w:r>
        <w:t xml:space="preserve">NOTE: Only one sample per tube and make sure to use a fresh tip for each sample to avoid cross-contamination.</w:t>
      </w:r>
      <w:r>
        <w:t xml:space="preserve"> </w:t>
      </w:r>
      <w:r>
        <w:t xml:space="preserve">4. Spin down your tubes before placing them in the thermal cycler. Run the reaction and observe the temperature cycles. After the reactions are finished, we will store your PCR products at -20 °C.</w:t>
      </w:r>
    </w:p>
    <w:bookmarkEnd w:id="103"/>
    <w:bookmarkStart w:id="104" w:name="X7a9437114b66a535474c7c1f8d36e2e2fb635f1"/>
    <w:p>
      <w:pPr>
        <w:pStyle w:val="Heading4"/>
      </w:pPr>
      <w:r>
        <w:t xml:space="preserve">PCR Troubleshooting after Gel Electrophoresis</w:t>
      </w:r>
    </w:p>
    <w:p>
      <w:pPr>
        <w:pStyle w:val="Compact"/>
        <w:numPr>
          <w:ilvl w:val="0"/>
          <w:numId w:val="1048"/>
        </w:numPr>
      </w:pPr>
      <w:r>
        <w:t xml:space="preserve">No amplification on any samples: check primers, polymerase, and other reagents.</w:t>
      </w:r>
    </w:p>
    <w:p>
      <w:pPr>
        <w:pStyle w:val="Compact"/>
        <w:numPr>
          <w:ilvl w:val="0"/>
          <w:numId w:val="1048"/>
        </w:numPr>
      </w:pPr>
      <w:r>
        <w:t xml:space="preserve">Positive control OK, but samples show no amplification: Try dilutions of samples to check for inhibitors. Try a control with a primer set for common organisms to check that you can PCR something. Check the DNA amount.</w:t>
      </w:r>
    </w:p>
    <w:p>
      <w:pPr>
        <w:pStyle w:val="Compact"/>
        <w:numPr>
          <w:ilvl w:val="0"/>
          <w:numId w:val="1048"/>
        </w:numPr>
      </w:pPr>
      <w:r>
        <w:t xml:space="preserve">Weak or multiple bands, smear: Mispriming from the incorrect program. Check primer concentration: an imbalance of primers can lead to multiple bands.</w:t>
      </w:r>
    </w:p>
    <w:bookmarkEnd w:id="104"/>
    <w:bookmarkEnd w:id="105"/>
    <w:bookmarkStart w:id="110" w:name="Xa56d1bcb59fce4b4b930a83e03267d90d70e02d"/>
    <w:p>
      <w:pPr>
        <w:pStyle w:val="Heading3"/>
      </w:pPr>
      <w:r>
        <w:t xml:space="preserve">Part III: Gel Electrophoresis Introduction</w:t>
      </w:r>
    </w:p>
    <w:p>
      <w:pPr>
        <w:pStyle w:val="FirstParagraph"/>
      </w:pPr>
      <w:r>
        <w:t xml:space="preserve">Gel electrophoresis is a technique used to separate and analyze DNA based on fragment sizes and to verify the success of PCR. Gel electrophoresis separates DNA molecules based on size by applying an electrical current to either side of the gel. Since DNA is negatively charged, we load our DNA on the positive side of the gel to allow it to run toward the positive side of the gel when power is applied. The agarose gel allows the separation of DNA fragments based on size as the polysaccharide matrix acts as a sieve allowing small fragments to migrate faster and larger fragments slower.</w:t>
      </w:r>
    </w:p>
    <w:p>
      <w:pPr>
        <w:pStyle w:val="BodyText"/>
      </w:pPr>
      <w:r>
        <w:t xml:space="preserve">Today, we will use gel electrophoresis to verify the success of our PCR reaction. We are looking for PCR product bands between</w:t>
      </w:r>
    </w:p>
    <w:bookmarkStart w:id="106" w:name="X1d0f71b5e6ce6f8901c0f085ed862647f0d1b0d"/>
    <w:p>
      <w:pPr>
        <w:pStyle w:val="Heading4"/>
      </w:pPr>
      <w:r>
        <w:t xml:space="preserve">Prep 1% agarose gels for gel electrophoresis</w:t>
      </w:r>
    </w:p>
    <w:p>
      <w:pPr>
        <w:pStyle w:val="FirstParagraph"/>
      </w:pPr>
      <w:r>
        <w:t xml:space="preserve">To give enough time for the gel to cool and solidify, this task should be done in the first hour of the lab.</w:t>
      </w:r>
    </w:p>
    <w:bookmarkEnd w:id="106"/>
    <w:bookmarkStart w:id="107" w:name="materials-needed"/>
    <w:p>
      <w:pPr>
        <w:pStyle w:val="Heading4"/>
      </w:pPr>
      <w:r>
        <w:t xml:space="preserve">Materials needed:</w:t>
      </w:r>
    </w:p>
    <w:p>
      <w:pPr>
        <w:pStyle w:val="Compact"/>
        <w:numPr>
          <w:ilvl w:val="0"/>
          <w:numId w:val="1049"/>
        </w:numPr>
      </w:pPr>
      <w:r>
        <w:t xml:space="preserve">Agarose</w:t>
      </w:r>
    </w:p>
    <w:p>
      <w:pPr>
        <w:pStyle w:val="Compact"/>
        <w:numPr>
          <w:ilvl w:val="0"/>
          <w:numId w:val="1049"/>
        </w:numPr>
      </w:pPr>
      <w:r>
        <w:t xml:space="preserve">1X TAE (or TE, TBE, or SB) buffer to make gels and running buffer</w:t>
      </w:r>
      <w:r>
        <w:t xml:space="preserve"> </w:t>
      </w:r>
      <w:r>
        <w:t xml:space="preserve">Note: Use the same buffer for making and running the gel</w:t>
      </w:r>
    </w:p>
    <w:p>
      <w:pPr>
        <w:pStyle w:val="Compact"/>
        <w:numPr>
          <w:ilvl w:val="0"/>
          <w:numId w:val="1049"/>
        </w:numPr>
      </w:pPr>
      <w:r>
        <w:t xml:space="preserve">SYBR Safe to visualize DNA</w:t>
      </w:r>
    </w:p>
    <w:p>
      <w:pPr>
        <w:pStyle w:val="Compact"/>
        <w:numPr>
          <w:ilvl w:val="0"/>
          <w:numId w:val="1049"/>
        </w:numPr>
      </w:pPr>
      <w:r>
        <w:t xml:space="preserve">250 mL Erlenmeyer Flask</w:t>
      </w:r>
    </w:p>
    <w:p>
      <w:pPr>
        <w:pStyle w:val="Compact"/>
        <w:numPr>
          <w:ilvl w:val="0"/>
          <w:numId w:val="1049"/>
        </w:numPr>
      </w:pPr>
      <w:r>
        <w:t xml:space="preserve">P20 micropipette with tips</w:t>
      </w:r>
    </w:p>
    <w:p>
      <w:pPr>
        <w:pStyle w:val="Compact"/>
        <w:numPr>
          <w:ilvl w:val="0"/>
          <w:numId w:val="1049"/>
        </w:numPr>
      </w:pPr>
      <w:r>
        <w:t xml:space="preserve">PCR products</w:t>
      </w:r>
    </w:p>
    <w:p>
      <w:pPr>
        <w:pStyle w:val="Compact"/>
        <w:numPr>
          <w:ilvl w:val="0"/>
          <w:numId w:val="1049"/>
        </w:numPr>
      </w:pPr>
      <w:r>
        <w:t xml:space="preserve">100 bp Ladder</w:t>
      </w:r>
    </w:p>
    <w:p>
      <w:pPr>
        <w:pStyle w:val="Compact"/>
        <w:numPr>
          <w:ilvl w:val="0"/>
          <w:numId w:val="1049"/>
        </w:numPr>
      </w:pPr>
      <w:r>
        <w:t xml:space="preserve">Digital Balance</w:t>
      </w:r>
    </w:p>
    <w:p>
      <w:pPr>
        <w:pStyle w:val="Compact"/>
        <w:numPr>
          <w:ilvl w:val="0"/>
          <w:numId w:val="1049"/>
        </w:numPr>
      </w:pPr>
      <w:r>
        <w:t xml:space="preserve">Weigh Boats</w:t>
      </w:r>
    </w:p>
    <w:p>
      <w:pPr>
        <w:pStyle w:val="Compact"/>
        <w:numPr>
          <w:ilvl w:val="0"/>
          <w:numId w:val="1049"/>
        </w:numPr>
      </w:pPr>
      <w:r>
        <w:t xml:space="preserve">Gel rigs</w:t>
      </w:r>
    </w:p>
    <w:p>
      <w:pPr>
        <w:pStyle w:val="Compact"/>
        <w:numPr>
          <w:ilvl w:val="0"/>
          <w:numId w:val="1049"/>
        </w:numPr>
      </w:pPr>
      <w:r>
        <w:t xml:space="preserve">Gel comb</w:t>
      </w:r>
    </w:p>
    <w:p>
      <w:pPr>
        <w:pStyle w:val="Compact"/>
        <w:numPr>
          <w:ilvl w:val="0"/>
          <w:numId w:val="1049"/>
        </w:numPr>
      </w:pPr>
      <w:r>
        <w:t xml:space="preserve">Power source</w:t>
      </w:r>
    </w:p>
    <w:bookmarkEnd w:id="107"/>
    <w:bookmarkStart w:id="108" w:name="X27e3611931edb00682f71c58d3e85dfeecf25c4"/>
    <w:p>
      <w:pPr>
        <w:pStyle w:val="Heading4"/>
      </w:pPr>
      <w:r>
        <w:t xml:space="preserve">Gel Preparation Protocol (Prep gel at least 20 minutes prior to use)</w:t>
      </w:r>
    </w:p>
    <w:p>
      <w:pPr>
        <w:pStyle w:val="Compact"/>
        <w:numPr>
          <w:ilvl w:val="0"/>
          <w:numId w:val="1050"/>
        </w:numPr>
      </w:pPr>
      <w:r>
        <w:t xml:space="preserve">Measure 100 mL of 1x TE buffer in an Erlenmeyer flask.</w:t>
      </w:r>
    </w:p>
    <w:p>
      <w:pPr>
        <w:pStyle w:val="Compact"/>
        <w:numPr>
          <w:ilvl w:val="0"/>
          <w:numId w:val="1050"/>
        </w:numPr>
      </w:pPr>
      <w:r>
        <w:t xml:space="preserve">Add 1 gram of agarose to the buffer.</w:t>
      </w:r>
    </w:p>
    <w:p>
      <w:pPr>
        <w:pStyle w:val="Compact"/>
        <w:numPr>
          <w:ilvl w:val="0"/>
          <w:numId w:val="1050"/>
        </w:numPr>
      </w:pPr>
      <w:r>
        <w:t xml:space="preserve">Microwave for 30-second intervals.</w:t>
      </w:r>
    </w:p>
    <w:p>
      <w:pPr>
        <w:pStyle w:val="Compact"/>
        <w:numPr>
          <w:ilvl w:val="0"/>
          <w:numId w:val="1050"/>
        </w:numPr>
      </w:pPr>
      <w:r>
        <w:t xml:space="preserve">Remove and swirl after each interval. If you still see un-melted agarose, continue in 30-second intervals until completely melted. If the agarose starts to boil, stop the microwave immediately to prevent it from boiling over.</w:t>
      </w:r>
    </w:p>
    <w:p>
      <w:pPr>
        <w:pStyle w:val="Compact"/>
        <w:numPr>
          <w:ilvl w:val="0"/>
          <w:numId w:val="1050"/>
        </w:numPr>
      </w:pPr>
      <w:r>
        <w:t xml:space="preserve">Once all the agarose is melted, let sit on the counter until it cools enough to handle. Don’t let it cool too long as it will solidify.</w:t>
      </w:r>
    </w:p>
    <w:p>
      <w:pPr>
        <w:pStyle w:val="Compact"/>
        <w:numPr>
          <w:ilvl w:val="0"/>
          <w:numId w:val="1050"/>
        </w:numPr>
      </w:pPr>
      <w:r>
        <w:t xml:space="preserve">Set up the agarose mold and add a comb.</w:t>
      </w:r>
    </w:p>
    <w:p>
      <w:pPr>
        <w:pStyle w:val="Compact"/>
        <w:numPr>
          <w:ilvl w:val="0"/>
          <w:numId w:val="1050"/>
        </w:numPr>
      </w:pPr>
      <w:r>
        <w:t xml:space="preserve">Once the agarose has cooled to the touch. Pour into the mold. Make sure the agarose is approximately 1/3 to 1/2 way up the combs.</w:t>
      </w:r>
    </w:p>
    <w:p>
      <w:pPr>
        <w:pStyle w:val="Compact"/>
        <w:numPr>
          <w:ilvl w:val="0"/>
          <w:numId w:val="1050"/>
        </w:numPr>
      </w:pPr>
      <w:r>
        <w:t xml:space="preserve">If bubbles are present, use a micropipette tip to draw them to the sides of the gel.</w:t>
      </w:r>
    </w:p>
    <w:p>
      <w:pPr>
        <w:pStyle w:val="Compact"/>
        <w:numPr>
          <w:ilvl w:val="0"/>
          <w:numId w:val="1050"/>
        </w:numPr>
      </w:pPr>
      <w:r>
        <w:t xml:space="preserve">Allow approximately 20 minutes for the gel to solidify and become somewhat translucent.</w:t>
      </w:r>
    </w:p>
    <w:p>
      <w:pPr>
        <w:pStyle w:val="Compact"/>
        <w:numPr>
          <w:ilvl w:val="0"/>
          <w:numId w:val="1050"/>
        </w:numPr>
      </w:pPr>
      <w:r>
        <w:t xml:space="preserve">Gently remove the comb.</w:t>
      </w:r>
    </w:p>
    <w:p>
      <w:pPr>
        <w:pStyle w:val="Compact"/>
        <w:numPr>
          <w:ilvl w:val="0"/>
          <w:numId w:val="1050"/>
        </w:numPr>
      </w:pPr>
      <w:r>
        <w:t xml:space="preserve">Remove gel from casting mold and place in gel rig. The gel rig is oriented to</w:t>
      </w:r>
      <w:r>
        <w:t xml:space="preserve"> </w:t>
      </w:r>
      <w:r>
        <w:t xml:space="preserve">“run to red.”</w:t>
      </w:r>
      <w:r>
        <w:t xml:space="preserve"> </w:t>
      </w:r>
      <w:r>
        <w:t xml:space="preserve">Place the wells created from the comb towards the black electrode, opposite the red electrode.</w:t>
      </w:r>
    </w:p>
    <w:p>
      <w:pPr>
        <w:pStyle w:val="Compact"/>
        <w:numPr>
          <w:ilvl w:val="0"/>
          <w:numId w:val="1050"/>
        </w:numPr>
      </w:pPr>
      <w:r>
        <w:t xml:space="preserve">Gels can be wrapped in saran wrap and stored for approximately 1 week.</w:t>
      </w:r>
    </w:p>
    <w:bookmarkEnd w:id="108"/>
    <w:bookmarkStart w:id="109" w:name="gel-loading"/>
    <w:p>
      <w:pPr>
        <w:pStyle w:val="Heading4"/>
      </w:pPr>
      <w:r>
        <w:t xml:space="preserve">Gel Loading:</w:t>
      </w:r>
    </w:p>
    <w:p>
      <w:pPr>
        <w:pStyle w:val="Compact"/>
        <w:numPr>
          <w:ilvl w:val="0"/>
          <w:numId w:val="1051"/>
        </w:numPr>
      </w:pPr>
      <w:r>
        <w:t xml:space="preserve">Fill the gel rig with 1X TAE (or equivalent) buffer until it covers the surface of the gel.</w:t>
      </w:r>
    </w:p>
    <w:p>
      <w:pPr>
        <w:pStyle w:val="Compact"/>
        <w:numPr>
          <w:ilvl w:val="0"/>
          <w:numId w:val="1051"/>
        </w:numPr>
      </w:pPr>
      <w:r>
        <w:t xml:space="preserve">Make a map of your samples in your gel.</w:t>
      </w:r>
    </w:p>
    <w:p>
      <w:pPr>
        <w:pStyle w:val="Compact"/>
        <w:numPr>
          <w:ilvl w:val="0"/>
          <w:numId w:val="1051"/>
        </w:numPr>
      </w:pPr>
      <w:r>
        <w:t xml:space="preserve">Load Gel</w:t>
      </w:r>
    </w:p>
    <w:p>
      <w:pPr>
        <w:pStyle w:val="Compact"/>
        <w:numPr>
          <w:ilvl w:val="1"/>
          <w:numId w:val="1052"/>
        </w:numPr>
      </w:pPr>
      <w:r>
        <w:t xml:space="preserve">PCR product without loading dye: Using a micropipettor add drops (less than 1 μL) of loading dye to the plastic side of parafilm. Add 5 μL PCR product to loading dye. Swirl with pipette tip. Draw up the product and proceed to step 4.</w:t>
      </w:r>
    </w:p>
    <w:p>
      <w:pPr>
        <w:pStyle w:val="Compact"/>
        <w:numPr>
          <w:ilvl w:val="1"/>
          <w:numId w:val="1052"/>
        </w:numPr>
      </w:pPr>
      <w:r>
        <w:t xml:space="preserve">PCR product with loading dye: Draw up 5 μL of PCR product using micropipette.</w:t>
      </w:r>
    </w:p>
    <w:p>
      <w:pPr>
        <w:pStyle w:val="Compact"/>
        <w:numPr>
          <w:ilvl w:val="0"/>
          <w:numId w:val="1051"/>
        </w:numPr>
      </w:pPr>
      <w:r>
        <w:t xml:space="preserve">Dip pipette tip into the submerged well very carefully, without piercing through the gel. Depress the pipette slowly. Too much pressure or speed will force the sample out of the well. Without releasing the plunger, draw out the pipette. If you release the plunger, you will draw your sample back into the pipette.</w:t>
      </w:r>
    </w:p>
    <w:p>
      <w:pPr>
        <w:pStyle w:val="Compact"/>
        <w:numPr>
          <w:ilvl w:val="0"/>
          <w:numId w:val="1051"/>
        </w:numPr>
      </w:pPr>
      <w:r>
        <w:t xml:space="preserve">Be sure to reserve one well per row for a standardized DNA ladder.</w:t>
      </w:r>
    </w:p>
    <w:p>
      <w:pPr>
        <w:pStyle w:val="Compact"/>
        <w:numPr>
          <w:ilvl w:val="0"/>
          <w:numId w:val="1051"/>
        </w:numPr>
      </w:pPr>
      <w:r>
        <w:t xml:space="preserve">Run at 300 volts for about 15 minutes</w:t>
      </w:r>
    </w:p>
    <w:p>
      <w:pPr>
        <w:pStyle w:val="Compact"/>
        <w:numPr>
          <w:ilvl w:val="1"/>
          <w:numId w:val="1053"/>
        </w:numPr>
      </w:pPr>
      <w:r>
        <w:t xml:space="preserve">Keep an eye on the migration of your PCR product across the gel to ensure it doesn’t run off the other end of the gel.</w:t>
      </w:r>
    </w:p>
    <w:p>
      <w:pPr>
        <w:pStyle w:val="Compact"/>
        <w:numPr>
          <w:ilvl w:val="0"/>
          <w:numId w:val="1051"/>
        </w:numPr>
      </w:pPr>
      <w:r>
        <w:t xml:space="preserve">Visualize with UV light.</w:t>
      </w:r>
    </w:p>
    <w:bookmarkEnd w:id="109"/>
    <w:bookmarkEnd w:id="110"/>
    <w:bookmarkStart w:id="111" w:name="part-iv-pcr-cleanup"/>
    <w:p>
      <w:pPr>
        <w:pStyle w:val="Heading3"/>
      </w:pPr>
      <w:r>
        <w:t xml:space="preserve">Part IV: PCR Cleanup</w:t>
      </w:r>
    </w:p>
    <w:p>
      <w:pPr>
        <w:pStyle w:val="FirstParagraph"/>
      </w:pPr>
      <w:r>
        <w:t xml:space="preserve">In order to sequence PCR products, the primers and other contaminants must be removed.</w:t>
      </w:r>
      <w:r>
        <w:t xml:space="preserve"> </w:t>
      </w:r>
      <w:r>
        <w:t xml:space="preserve">1. Remove ExoSAP-IT™ reagent from –20 °C freezer and keep on ice throughout this procedure.</w:t>
      </w:r>
      <w:r>
        <w:t xml:space="preserve"> </w:t>
      </w:r>
      <w:r>
        <w:t xml:space="preserve">2. Mix 5 µL of a post-PCR reaction product with 2 µL of ExoSAPIT™ reagent for a combined 7 µL reaction volume. When treating PCR product volumes greater than 5 µL, simply increase the amount of ExoSAP-IT™ reagent proportionally.</w:t>
      </w:r>
      <w:r>
        <w:t xml:space="preserve"> </w:t>
      </w:r>
      <w:r>
        <w:t xml:space="preserve">3. Incubate at 37 °C for 15 minutes to degrade remaining primers and nucleotides.</w:t>
      </w:r>
      <w:r>
        <w:t xml:space="preserve"> </w:t>
      </w:r>
      <w:r>
        <w:t xml:space="preserve">4. Incubate at 80 °C for 15 minutes to inactivate ExoSAP-IT™ reagent.</w:t>
      </w:r>
      <w:r>
        <w:t xml:space="preserve"> </w:t>
      </w:r>
      <w:r>
        <w:t xml:space="preserve">5. The PCR product is now ready for use in DNA sequencing. Treated PCR products may be stored at –20°C until required</w:t>
      </w:r>
    </w:p>
    <w:bookmarkEnd w:id="111"/>
    <w:bookmarkStart w:id="112" w:name="part-v-sanger-sequencing"/>
    <w:p>
      <w:pPr>
        <w:pStyle w:val="Heading3"/>
      </w:pPr>
      <w:r>
        <w:t xml:space="preserve">Part V: Sanger Sequencing</w:t>
      </w:r>
    </w:p>
    <w:p>
      <w:pPr>
        <w:pStyle w:val="FirstParagraph"/>
      </w:pPr>
      <w:r>
        <w:t xml:space="preserve">Your cleaned PCR product will be sent to an external facility for Sanger sequencing.</w:t>
      </w:r>
    </w:p>
    <w:bookmarkEnd w:id="112"/>
    <w:bookmarkStart w:id="114" w:name="X119230681215c553508703bd9b858aabc863314"/>
    <w:p>
      <w:pPr>
        <w:pStyle w:val="Heading3"/>
      </w:pPr>
      <w:r>
        <w:t xml:space="preserve">Part VI: Identifying Species using DNA Barcode</w:t>
      </w:r>
    </w:p>
    <w:bookmarkStart w:id="113" w:name="identify-your-sequence-data-using-blast"/>
    <w:p>
      <w:pPr>
        <w:pStyle w:val="Heading4"/>
      </w:pPr>
      <w:r>
        <w:t xml:space="preserve">Identify your sequence data using BLAST</w:t>
      </w:r>
    </w:p>
    <w:p>
      <w:pPr>
        <w:pStyle w:val="FirstParagraph"/>
      </w:pPr>
      <w:r>
        <w:t xml:space="preserve">To identify the sequence you’ve produced and determine if it represents the specimen you’ve sequenced and not some other contaminant, you can compare the sequence to a database of reference sequences. This is from the National Center for Biotechnology Information’s (NCBI) Genbank database.</w:t>
      </w:r>
    </w:p>
    <w:p>
      <w:pPr>
        <w:pStyle w:val="Compact"/>
        <w:numPr>
          <w:ilvl w:val="0"/>
          <w:numId w:val="1054"/>
        </w:numPr>
      </w:pPr>
      <w:r>
        <w:t xml:space="preserve">Go to NCBI: https://www.ncbi.nlm.nih.gov/.</w:t>
      </w:r>
    </w:p>
    <w:p>
      <w:pPr>
        <w:pStyle w:val="Compact"/>
        <w:numPr>
          <w:ilvl w:val="0"/>
          <w:numId w:val="1054"/>
        </w:numPr>
      </w:pPr>
      <w:r>
        <w:t xml:space="preserve">Click on</w:t>
      </w:r>
      <w:r>
        <w:t xml:space="preserve"> </w:t>
      </w:r>
      <w:r>
        <w:t xml:space="preserve">“BLAST”</w:t>
      </w:r>
      <w:r>
        <w:t xml:space="preserve"> </w:t>
      </w:r>
      <w:r>
        <w:t xml:space="preserve">in the right-hand column under</w:t>
      </w:r>
      <w:r>
        <w:t xml:space="preserve"> </w:t>
      </w:r>
      <w:r>
        <w:t xml:space="preserve">“Popular Resources”</w:t>
      </w:r>
    </w:p>
    <w:p>
      <w:pPr>
        <w:pStyle w:val="Compact"/>
        <w:numPr>
          <w:ilvl w:val="1"/>
          <w:numId w:val="1055"/>
        </w:numPr>
      </w:pPr>
      <w:r>
        <w:t xml:space="preserve">BLAST = Basic Local Alignment Search Tool</w:t>
      </w:r>
    </w:p>
    <w:p>
      <w:pPr>
        <w:pStyle w:val="Compact"/>
        <w:numPr>
          <w:ilvl w:val="0"/>
          <w:numId w:val="1054"/>
        </w:numPr>
      </w:pPr>
      <w:r>
        <w:t xml:space="preserve">Click on the Nucleotide BLAST image.</w:t>
      </w:r>
    </w:p>
    <w:p>
      <w:pPr>
        <w:pStyle w:val="Compact"/>
        <w:numPr>
          <w:ilvl w:val="1"/>
          <w:numId w:val="1056"/>
        </w:numPr>
      </w:pPr>
      <w:r>
        <w:t xml:space="preserve">There are numerous BLAST options depending on the data you are working with. The two basics are nucleotides and amino acid (=Protein) sequence BLASTS. The blastx and blastn options allow you to convert these sequences into the complementary format.</w:t>
      </w:r>
    </w:p>
    <w:p>
      <w:pPr>
        <w:pStyle w:val="Compact"/>
        <w:numPr>
          <w:ilvl w:val="0"/>
          <w:numId w:val="1054"/>
        </w:numPr>
      </w:pPr>
      <w:r>
        <w:t xml:space="preserve">Paste your sequence data into the big space under</w:t>
      </w:r>
      <w:r>
        <w:t xml:space="preserve"> </w:t>
      </w:r>
      <w:r>
        <w:t xml:space="preserve">“Enter Query Sequence”</w:t>
      </w:r>
      <w:r>
        <w:t xml:space="preserve">.</w:t>
      </w:r>
    </w:p>
    <w:p>
      <w:pPr>
        <w:pStyle w:val="Compact"/>
        <w:numPr>
          <w:ilvl w:val="1"/>
          <w:numId w:val="1057"/>
        </w:numPr>
      </w:pPr>
      <w:r>
        <w:t xml:space="preserve">Open your FASTA file and select your sequences. This is the DNA sequence from the beginning of the</w:t>
      </w:r>
      <w:r>
        <w:t xml:space="preserve"> </w:t>
      </w:r>
      <w:r>
        <w:t xml:space="preserve">“&gt;”</w:t>
      </w:r>
      <w:r>
        <w:t xml:space="preserve"> </w:t>
      </w:r>
      <w:r>
        <w:t xml:space="preserve">symbol, all the way to the end (e.g., the beginning of the next</w:t>
      </w:r>
      <w:r>
        <w:t xml:space="preserve"> </w:t>
      </w:r>
      <w:r>
        <w:t xml:space="preserve">“&gt;”</w:t>
      </w:r>
      <w:r>
        <w:t xml:space="preserve"> </w:t>
      </w:r>
      <w:r>
        <w:t xml:space="preserve">symbol).</w:t>
      </w:r>
    </w:p>
    <w:p>
      <w:pPr>
        <w:pStyle w:val="Compact"/>
        <w:numPr>
          <w:ilvl w:val="0"/>
          <w:numId w:val="1054"/>
        </w:numPr>
      </w:pPr>
      <w:r>
        <w:t xml:space="preserve">Under Choose Search Set you can keep it under</w:t>
      </w:r>
      <w:r>
        <w:t xml:space="preserve"> </w:t>
      </w:r>
      <w:r>
        <w:t xml:space="preserve">“Standard databases (nr etc.)”</w:t>
      </w:r>
      <w:r>
        <w:t xml:space="preserve">.</w:t>
      </w:r>
    </w:p>
    <w:p>
      <w:pPr>
        <w:pStyle w:val="Compact"/>
        <w:numPr>
          <w:ilvl w:val="1"/>
          <w:numId w:val="1058"/>
        </w:numPr>
      </w:pPr>
      <w:r>
        <w:t xml:space="preserve">You can come back and re-perform the BLAST using the</w:t>
      </w:r>
      <w:r>
        <w:t xml:space="preserve"> </w:t>
      </w:r>
      <w:r>
        <w:t xml:space="preserve">“rRNA/ITS databases”</w:t>
      </w:r>
      <w:r>
        <w:t xml:space="preserve">. After selecting this, choose</w:t>
      </w:r>
      <w:r>
        <w:t xml:space="preserve"> </w:t>
      </w:r>
      <w:r>
        <w:t xml:space="preserve">“Internal transcribed spacer region (ITS) from Fungi type and reference material”</w:t>
      </w:r>
      <w:r>
        <w:t xml:space="preserve">. This will be a much narrower database and set of comparisons, but the confidence in the results providing a correct ID will be</w:t>
      </w:r>
      <w:r>
        <w:t xml:space="preserve"> </w:t>
      </w:r>
      <w:r>
        <w:rPr>
          <w:i/>
          <w:iCs/>
        </w:rPr>
        <w:t xml:space="preserve">MUCH</w:t>
      </w:r>
      <w:r>
        <w:t xml:space="preserve"> </w:t>
      </w:r>
      <w:r>
        <w:t xml:space="preserve">higher.</w:t>
      </w:r>
    </w:p>
    <w:p>
      <w:pPr>
        <w:pStyle w:val="Compact"/>
        <w:numPr>
          <w:ilvl w:val="0"/>
          <w:numId w:val="1054"/>
        </w:numPr>
      </w:pPr>
      <w:r>
        <w:t xml:space="preserve">Select the</w:t>
      </w:r>
      <w:r>
        <w:t xml:space="preserve"> </w:t>
      </w:r>
      <w:r>
        <w:t xml:space="preserve">“BLAST”</w:t>
      </w:r>
      <w:r>
        <w:t xml:space="preserve"> </w:t>
      </w:r>
      <w:r>
        <w:t xml:space="preserve">button at the end.</w:t>
      </w:r>
    </w:p>
    <w:p>
      <w:pPr>
        <w:pStyle w:val="Compact"/>
        <w:numPr>
          <w:ilvl w:val="1"/>
          <w:numId w:val="1059"/>
        </w:numPr>
      </w:pPr>
      <w:r>
        <w:t xml:space="preserve">Genbank will then begin to query your sequence against sequences in the database. The top hit that comes back will be the sequence that is most like your sequence based on several stats.</w:t>
      </w:r>
    </w:p>
    <w:p>
      <w:pPr>
        <w:pStyle w:val="Compact"/>
        <w:numPr>
          <w:ilvl w:val="1"/>
          <w:numId w:val="1059"/>
        </w:numPr>
      </w:pPr>
      <w:r>
        <w:t xml:space="preserve">Percent Identity = What percent of your sequence (query sequence) is identical to the matched sequence.</w:t>
      </w:r>
    </w:p>
    <w:p>
      <w:pPr>
        <w:pStyle w:val="Compact"/>
        <w:numPr>
          <w:ilvl w:val="1"/>
          <w:numId w:val="1059"/>
        </w:numPr>
      </w:pPr>
      <w:r>
        <w:t xml:space="preserve">Query Cover = How much of the query sequence covers the matched sequence.</w:t>
      </w:r>
    </w:p>
    <w:p>
      <w:pPr>
        <w:pStyle w:val="Compact"/>
        <w:numPr>
          <w:ilvl w:val="1"/>
          <w:numId w:val="1059"/>
        </w:numPr>
      </w:pPr>
      <w:r>
        <w:t xml:space="preserve">E value = The probability that this match occurred by chance in the provided database.</w:t>
      </w:r>
    </w:p>
    <w:p>
      <w:pPr>
        <w:pStyle w:val="Compact"/>
        <w:numPr>
          <w:ilvl w:val="0"/>
          <w:numId w:val="1054"/>
        </w:numPr>
      </w:pPr>
      <w:r>
        <w:t xml:space="preserve">Review the results.</w:t>
      </w:r>
    </w:p>
    <w:p>
      <w:pPr>
        <w:pStyle w:val="Compact"/>
        <w:numPr>
          <w:ilvl w:val="1"/>
          <w:numId w:val="1060"/>
        </w:numPr>
      </w:pPr>
      <w:r>
        <w:t xml:space="preserve">What is the</w:t>
      </w:r>
      <w:r>
        <w:t xml:space="preserve"> </w:t>
      </w:r>
      <w:r>
        <w:t xml:space="preserve">“top hit”</w:t>
      </w:r>
      <w:r>
        <w:t xml:space="preserve">?</w:t>
      </w:r>
    </w:p>
    <w:p>
      <w:pPr>
        <w:pStyle w:val="Compact"/>
        <w:numPr>
          <w:ilvl w:val="1"/>
          <w:numId w:val="1060"/>
        </w:numPr>
      </w:pPr>
      <w:r>
        <w:t xml:space="preserve">How much support is provided for this hit given the current database used?</w:t>
      </w:r>
    </w:p>
    <w:p>
      <w:pPr>
        <w:pStyle w:val="Compact"/>
        <w:numPr>
          <w:ilvl w:val="1"/>
          <w:numId w:val="1060"/>
        </w:numPr>
      </w:pPr>
      <w:r>
        <w:t xml:space="preserve">What is the taxonomic ID of this result? What kind of fungi are these?</w:t>
      </w:r>
    </w:p>
    <w:p>
      <w:pPr>
        <w:pStyle w:val="Compact"/>
        <w:numPr>
          <w:ilvl w:val="1"/>
          <w:numId w:val="1060"/>
        </w:numPr>
      </w:pPr>
      <w:r>
        <w:t xml:space="preserve">You may google the names and search under Wikipedia to get a better understanding of these organisms and what is known.</w:t>
      </w:r>
    </w:p>
    <w:bookmarkEnd w:id="113"/>
    <w:bookmarkEnd w:id="114"/>
    <w:bookmarkStart w:id="115" w:name="Xcb8d6e6bb4bb243cf7eddf79d1da1ef522e8a0a"/>
    <w:p>
      <w:pPr>
        <w:pStyle w:val="Heading3"/>
      </w:pPr>
      <w:r>
        <w:t xml:space="preserve">Part VII: Data Management - Spreadsheets and iNaturalist</w:t>
      </w:r>
    </w:p>
    <w:p>
      <w:pPr>
        <w:pStyle w:val="FirstParagraph"/>
      </w:pPr>
      <w:r>
        <w:t xml:space="preserve">[Content for this part would continue from the protocols, but it’s cut off in the text]</w:t>
      </w:r>
    </w:p>
    <w:bookmarkEnd w:id="115"/>
    <w:bookmarkEnd w:id="116"/>
    <w:bookmarkEnd w:id="117"/>
    <w:bookmarkStart w:id="128" w:name="module-5-tissue-preparation"/>
    <w:p>
      <w:pPr>
        <w:pStyle w:val="Heading1"/>
      </w:pPr>
      <w:r>
        <w:t xml:space="preserve">1. Module 5: Tissue Preparation</w:t>
      </w:r>
    </w:p>
    <w:bookmarkStart w:id="119" w:name="X0d17ba572a281133a22d073b368b9fbe73454ca"/>
    <w:p>
      <w:pPr>
        <w:pStyle w:val="Heading2"/>
      </w:pPr>
      <w:r>
        <w:t xml:space="preserve">1.1 Module 5.1 – Tissue Preparation for Genome Sequencing</w:t>
      </w:r>
    </w:p>
    <w:bookmarkStart w:id="118" w:name="Xaadd1af7be5342dd14d66f9d9ba06249647885a"/>
    <w:p>
      <w:pPr>
        <w:pStyle w:val="Heading3"/>
      </w:pPr>
      <w:r>
        <w:t xml:space="preserve">1.1.1 Instructor Laboratory Preparation Instructions</w:t>
      </w:r>
    </w:p>
    <w:p>
      <w:pPr>
        <w:pStyle w:val="FirstParagraph"/>
      </w:pPr>
      <w:r>
        <w:rPr>
          <w:b/>
          <w:bCs/>
        </w:rPr>
        <w:t xml:space="preserve">Materials and Equipment:</w:t>
      </w:r>
      <w:r>
        <w:t xml:space="preserve"> </w:t>
      </w:r>
      <w:r>
        <w:t xml:space="preserve">- Autoclave</w:t>
      </w:r>
      <w:r>
        <w:t xml:space="preserve"> </w:t>
      </w:r>
      <w:r>
        <w:t xml:space="preserve">- Laminar Flow Hood (if available)</w:t>
      </w:r>
      <w:r>
        <w:t xml:space="preserve"> </w:t>
      </w:r>
      <w:r>
        <w:t xml:space="preserve">- Cellophane</w:t>
      </w:r>
      <w:r>
        <w:t xml:space="preserve"> </w:t>
      </w:r>
      <w:r>
        <w:t xml:space="preserve">- 100x15mm Petri Dishes</w:t>
      </w:r>
      <w:r>
        <w:t xml:space="preserve"> </w:t>
      </w:r>
      <w:r>
        <w:t xml:space="preserve">- 60x15mm Petri Dishes</w:t>
      </w:r>
      <w:r>
        <w:t xml:space="preserve"> </w:t>
      </w:r>
      <w:r>
        <w:t xml:space="preserve">- Agar, Bacteriological</w:t>
      </w:r>
      <w:r>
        <w:t xml:space="preserve"> </w:t>
      </w:r>
      <w:r>
        <w:t xml:space="preserve">- Potato Dextrose Agar</w:t>
      </w:r>
      <w:r>
        <w:t xml:space="preserve"> </w:t>
      </w:r>
      <w:r>
        <w:t xml:space="preserve">- Alcohol Lamp or Bunsen Burner</w:t>
      </w:r>
      <w:r>
        <w:t xml:space="preserve"> </w:t>
      </w:r>
      <w:r>
        <w:t xml:space="preserve">- Forceps</w:t>
      </w:r>
      <w:r>
        <w:t xml:space="preserve"> </w:t>
      </w:r>
      <w:r>
        <w:t xml:space="preserve">- Scalpel (make sure the handle is metal, as it will be flame sterilized and plastic will melt)</w:t>
      </w:r>
    </w:p>
    <w:p>
      <w:pPr>
        <w:pStyle w:val="BodyText"/>
      </w:pPr>
      <w:r>
        <w:rPr>
          <w:b/>
          <w:bCs/>
        </w:rPr>
        <w:t xml:space="preserve">Sterility:</w:t>
      </w:r>
      <w:r>
        <w:t xml:space="preserve"> </w:t>
      </w:r>
      <w:r>
        <w:t xml:space="preserve">If you don’t have a laminar flow hood, you may create a similar environment by setting up 2 torches over your work space. First, clean your work area with bleach, and/or ethanol. Set the torches facing each other with enough space to work underneath. Light the torches and pour media into plates under the flames.</w:t>
      </w:r>
    </w:p>
    <w:p>
      <w:pPr>
        <w:pStyle w:val="BodyText"/>
      </w:pPr>
      <w:r>
        <w:rPr>
          <w:b/>
          <w:bCs/>
        </w:rPr>
        <w:t xml:space="preserve">Potato Dextrose Agar (PDA) Plates:</w:t>
      </w:r>
      <w:r>
        <w:t xml:space="preserve"> </w:t>
      </w:r>
      <w:r>
        <w:t xml:space="preserve">Fungi cultured from leaves on water agar are transferred to nutrient Potato Dextrose Agar (PDA) plates. We use one 60x15 mm Petri dish for each fungal isolate.</w:t>
      </w:r>
    </w:p>
    <w:p>
      <w:pPr>
        <w:pStyle w:val="BodyText"/>
      </w:pPr>
      <w:r>
        <w:rPr>
          <w:b/>
          <w:bCs/>
        </w:rPr>
        <w:t xml:space="preserve">Potato Dextrose Agar Recipe:</w:t>
      </w:r>
      <w:r>
        <w:t xml:space="preserve"> </w:t>
      </w:r>
      <w:r>
        <w:t xml:space="preserve">Suspend 39 grams Agar, Bacteriological in 1000 ml (1 L) distilled water.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60x15mm plates in a sterile environment. Do not let it cool too long as the media will solidify. Each 60x15mm plate holds approximately 8 ml media. If plates will be used immediately smaller amounts of media can be poured into plates. If plates will be stored, use larger amounts. Store plates in the original Petri dish sleeve in the refrigerator (~4 °C) until use.</w:t>
      </w:r>
    </w:p>
    <w:p>
      <w:pPr>
        <w:pStyle w:val="BodyText"/>
      </w:pPr>
      <w:r>
        <w:rPr>
          <w:b/>
          <w:bCs/>
        </w:rPr>
        <w:t xml:space="preserve">Cellophane Plates:</w:t>
      </w:r>
      <w:r>
        <w:t xml:space="preserve"> </w:t>
      </w:r>
      <w:r>
        <w:t xml:space="preserve">Fungal tissue can be harvested from cellophane plates. Cut cellophane discs slightly smaller than the Petri dish so that they lay flat on the PDA media. Using the bottom of the Petri dish as a template, draw a circle on the cellophane and the cut out discs on the inside of the line.</w:t>
      </w:r>
    </w:p>
    <w:p>
      <w:pPr>
        <w:pStyle w:val="BodyText"/>
      </w:pPr>
      <w:r>
        <w:t xml:space="preserve">Place cellophane discs into an autoclavable container with water. Place each cellophane disc individually into the water and try to stagger them in the water. This staggering step ensures that you can more easily remove the discs from the water. Cover your container with foil and sterilize by autoclaving at 15 lbs pressure (121°C) for 15 minutes.</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bookmarkEnd w:id="118"/>
    <w:bookmarkEnd w:id="119"/>
    <w:bookmarkStart w:id="127" w:name="Xc8205bcafd44c2f0f2777871d0b670e5430cb18"/>
    <w:p>
      <w:pPr>
        <w:pStyle w:val="Heading2"/>
      </w:pPr>
      <w:r>
        <w:t xml:space="preserve">1.2 Module 5.2 – Tissue Preparation for Genome Sequencing</w:t>
      </w:r>
    </w:p>
    <w:bookmarkStart w:id="120" w:name="purpose-3"/>
    <w:p>
      <w:pPr>
        <w:pStyle w:val="Heading3"/>
      </w:pPr>
      <w:r>
        <w:t xml:space="preserve">1.2.1 Purpose</w:t>
      </w:r>
    </w:p>
    <w:p>
      <w:pPr>
        <w:pStyle w:val="FirstParagraph"/>
      </w:pPr>
      <w:r>
        <w:t xml:space="preserve">This protocol guides you through the culturing and harvesting of fungal tissue for molecular applications.</w:t>
      </w:r>
    </w:p>
    <w:bookmarkEnd w:id="120"/>
    <w:bookmarkStart w:id="121" w:name="introduction-4"/>
    <w:p>
      <w:pPr>
        <w:pStyle w:val="Heading3"/>
      </w:pPr>
      <w:r>
        <w:t xml:space="preserve">1.2.2 Introduction</w:t>
      </w:r>
    </w:p>
    <w:p>
      <w:pPr>
        <w:pStyle w:val="FirstParagraph"/>
      </w:pPr>
      <w:r>
        <w:t xml:space="preserve">The long-term goal of this endophyte isolation project is to develop a robust dataset of fungal genomes. We are piloting this project in our course to determine if whole genome extractions are possible using home laboratory techniques. If successful, the project will be expanded in several directions. Any data generated from this project will be made available on the Mycocosm Web Portal. These data can then be used by students and researchers to analyze fungal genomes. Beyond phylogenetic inferences and evolutionary reconstructions, a variety of research questions can be addressed using fungal genomic data. Genomic data can elucidate the functions of these fungi and contribute to an understanding of their biology. In addition, if this pilot project is successful, future studies will incorporate stress factors, such as salts, metals, or temperatures, to understand the morphological, physiological and genetic responses of fungi to environmental stressors.</w:t>
      </w:r>
    </w:p>
    <w:p>
      <w:pPr>
        <w:pStyle w:val="BodyText"/>
      </w:pPr>
      <w:r>
        <w:t xml:space="preserve">This pilot project is being conducted in collaboration with mycologists and mycology students across North America. In addition to Oregon State University, students from the University of Colorado, both Denver and Boulder, Denver Botanic Gardens, Colorado State University, and Duke University, are collecting tissue and isolating fungal endophytes from plant hosts. Genomic data will be generated by the Joint Genome Institute. This is the first project of its kind and the most comprehensive project investigating endophytes on a large geographic and taxonomic scale.</w:t>
      </w:r>
    </w:p>
    <w:p>
      <w:pPr>
        <w:pStyle w:val="BodyText"/>
      </w:pPr>
      <w:r>
        <w:t xml:space="preserve">To prepare your fungal tissue for full genome sequencing, you will transfer some mycelia to a Petri dish with cellophane.</w:t>
      </w:r>
    </w:p>
    <w:p>
      <w:pPr>
        <w:pStyle w:val="BodyText"/>
      </w:pPr>
      <w:r>
        <w:t xml:space="preserve">Once fungal endophytes have been cultured from host plants, these fungal cultures will be identified using ITS (the fungal barcode region) sequencing. The ITS sequence will provide some level of taxonomic placement of your isolate, perhaps even to species. This ITS identification step also allows the determination of which fungal cultures to submit for full genome sequencing.</w:t>
      </w:r>
    </w:p>
    <w:bookmarkEnd w:id="121"/>
    <w:bookmarkStart w:id="122" w:name="sub-culturing-on-cellophane"/>
    <w:p>
      <w:pPr>
        <w:pStyle w:val="Heading3"/>
      </w:pPr>
      <w:r>
        <w:t xml:space="preserve">1.2.3 Sub-Culturing on Cellophane</w:t>
      </w:r>
    </w:p>
    <w:p>
      <w:pPr>
        <w:pStyle w:val="Compact"/>
        <w:numPr>
          <w:ilvl w:val="0"/>
          <w:numId w:val="1061"/>
        </w:numPr>
      </w:pPr>
      <w:r>
        <w:t xml:space="preserve">Clean your workspace as described previously. Work under flames or in a laminar flow hood if available.</w:t>
      </w:r>
    </w:p>
    <w:p>
      <w:pPr>
        <w:pStyle w:val="Compact"/>
        <w:numPr>
          <w:ilvl w:val="0"/>
          <w:numId w:val="1061"/>
        </w:numPr>
      </w:pPr>
      <w:r>
        <w:t xml:space="preserve">Label your Cellophane lined Petri Dish appropriately.</w:t>
      </w:r>
    </w:p>
    <w:p>
      <w:pPr>
        <w:pStyle w:val="Compact"/>
        <w:numPr>
          <w:ilvl w:val="0"/>
          <w:numId w:val="1061"/>
        </w:numPr>
      </w:pPr>
      <w:r>
        <w:t xml:space="preserve">Sterilize implements (forceps and scalpel).</w:t>
      </w:r>
    </w:p>
    <w:p>
      <w:pPr>
        <w:pStyle w:val="Compact"/>
        <w:numPr>
          <w:ilvl w:val="0"/>
          <w:numId w:val="1061"/>
        </w:numPr>
      </w:pPr>
      <w:r>
        <w:t xml:space="preserve">Scrape mycelia from PDA plates that you have been growing. Be sure to avoid transferring any media as much as possible.</w:t>
      </w:r>
    </w:p>
    <w:p>
      <w:pPr>
        <w:pStyle w:val="Compact"/>
        <w:numPr>
          <w:ilvl w:val="1"/>
          <w:numId w:val="1062"/>
        </w:numPr>
      </w:pPr>
      <w:r>
        <w:t xml:space="preserve">Leaving the assay plate on the bench space, remove the parafilm of the inoculation plate and slightly crack open the lid using your non-dominant hand.</w:t>
      </w:r>
    </w:p>
    <w:p>
      <w:pPr>
        <w:pStyle w:val="Compact"/>
        <w:numPr>
          <w:ilvl w:val="1"/>
          <w:numId w:val="1062"/>
        </w:numPr>
      </w:pPr>
      <w:r>
        <w:t xml:space="preserve">Insert your forceps into the crack of the Petri dish and attempt to sample some mycelium.</w:t>
      </w:r>
    </w:p>
    <w:p>
      <w:pPr>
        <w:pStyle w:val="Compact"/>
        <w:numPr>
          <w:ilvl w:val="2"/>
          <w:numId w:val="1063"/>
        </w:numPr>
      </w:pPr>
      <w:r>
        <w:t xml:space="preserve">If you are unable to remove mycelia with your forceps, use your scalpel to remove mycelia with the least amount of agar possible.</w:t>
      </w:r>
    </w:p>
    <w:p>
      <w:pPr>
        <w:pStyle w:val="Compact"/>
        <w:numPr>
          <w:ilvl w:val="0"/>
          <w:numId w:val="1061"/>
        </w:numPr>
      </w:pPr>
      <w:r>
        <w:t xml:space="preserve">Transfer the mycelia to a Petri dish with cellophane.</w:t>
      </w:r>
    </w:p>
    <w:p>
      <w:pPr>
        <w:pStyle w:val="Compact"/>
        <w:numPr>
          <w:ilvl w:val="1"/>
          <w:numId w:val="1064"/>
        </w:numPr>
      </w:pPr>
      <w:r>
        <w:t xml:space="preserve">Carefully remove the chunk of agar. Replace the lid. Slide the sample plate away. Slide a cellophane plate towards you.</w:t>
      </w:r>
    </w:p>
    <w:p>
      <w:pPr>
        <w:pStyle w:val="Compact"/>
        <w:numPr>
          <w:ilvl w:val="1"/>
          <w:numId w:val="1064"/>
        </w:numPr>
      </w:pPr>
      <w:r>
        <w:t xml:space="preserve">Crack open the cellophane plate using your non-dominant hand, and carefully insert the forceps with the agar and mycelium.</w:t>
      </w:r>
    </w:p>
    <w:p>
      <w:pPr>
        <w:pStyle w:val="Compact"/>
        <w:numPr>
          <w:ilvl w:val="1"/>
          <w:numId w:val="1064"/>
        </w:numPr>
      </w:pPr>
      <w:r>
        <w:t xml:space="preserve">To deposit the agar onto the PDA agar, submerge the forceps into the agar on the plate. This should force the agar and mycelium from your forceps, onto the PDA agar.</w:t>
      </w:r>
    </w:p>
    <w:p>
      <w:pPr>
        <w:pStyle w:val="Compact"/>
        <w:numPr>
          <w:ilvl w:val="1"/>
          <w:numId w:val="1064"/>
        </w:numPr>
      </w:pPr>
      <w:r>
        <w:t xml:space="preserve">Pull your forceps straight out to leave the agar and mycelium on the plate.</w:t>
      </w:r>
    </w:p>
    <w:p>
      <w:pPr>
        <w:pStyle w:val="Compact"/>
        <w:numPr>
          <w:ilvl w:val="1"/>
          <w:numId w:val="1064"/>
        </w:numPr>
      </w:pPr>
      <w:r>
        <w:t xml:space="preserve">The mycelia will be sticky, so you might need to scrape it off using sterile implements. If you’re using forceps to transfer, use the sterilized scalpel to scrape mycelia off the forceps onto cellophane in the Petri dish.</w:t>
      </w:r>
    </w:p>
    <w:p>
      <w:pPr>
        <w:pStyle w:val="Compact"/>
        <w:numPr>
          <w:ilvl w:val="0"/>
          <w:numId w:val="1061"/>
        </w:numPr>
      </w:pPr>
      <w:r>
        <w:t xml:space="preserve">Seal Petri dish with parafilm.</w:t>
      </w:r>
    </w:p>
    <w:p>
      <w:pPr>
        <w:pStyle w:val="Compact"/>
        <w:numPr>
          <w:ilvl w:val="0"/>
          <w:numId w:val="1061"/>
        </w:numPr>
      </w:pPr>
      <w:r>
        <w:t xml:space="preserve">Allow fungi to fill the cellophane.</w:t>
      </w:r>
    </w:p>
    <w:p>
      <w:pPr>
        <w:pStyle w:val="Compact"/>
        <w:numPr>
          <w:ilvl w:val="0"/>
          <w:numId w:val="1061"/>
        </w:numPr>
      </w:pPr>
      <w:r>
        <w:t xml:space="preserve">Repeat this process with all fungal isolates that will be sent for genome sequencing.</w:t>
      </w:r>
    </w:p>
    <w:bookmarkEnd w:id="122"/>
    <w:bookmarkStart w:id="123" w:name="X10145d54968745cf30d23b42f07bebdb1cea736"/>
    <w:p>
      <w:pPr>
        <w:pStyle w:val="Heading3"/>
      </w:pPr>
      <w:r>
        <w:t xml:space="preserve">1.2.4 Harvesting Mycelia for Genome Sequencing Instructions</w:t>
      </w:r>
    </w:p>
    <w:p>
      <w:pPr>
        <w:pStyle w:val="FirstParagraph"/>
      </w:pPr>
      <w:r>
        <w:t xml:space="preserve">Full genome sequencing requires large amounts of tissue to be successful. The tissue grown on the cellophane plates will be harvested, dried, and sent for genome sequencing.</w:t>
      </w:r>
    </w:p>
    <w:bookmarkEnd w:id="123"/>
    <w:bookmarkStart w:id="124" w:name="student-lab-supplies-1"/>
    <w:p>
      <w:pPr>
        <w:pStyle w:val="Heading3"/>
      </w:pPr>
      <w:r>
        <w:t xml:space="preserve">1.2.5 Student Lab Supplies</w:t>
      </w:r>
    </w:p>
    <w:p>
      <w:pPr>
        <w:pStyle w:val="Compact"/>
        <w:numPr>
          <w:ilvl w:val="0"/>
          <w:numId w:val="1065"/>
        </w:numPr>
      </w:pPr>
      <w:r>
        <w:t xml:space="preserve">1.5 ml Eppendorf tubes</w:t>
      </w:r>
    </w:p>
    <w:p>
      <w:pPr>
        <w:pStyle w:val="Compact"/>
        <w:numPr>
          <w:ilvl w:val="0"/>
          <w:numId w:val="1065"/>
        </w:numPr>
      </w:pPr>
      <w:r>
        <w:t xml:space="preserve">Sharpie</w:t>
      </w:r>
    </w:p>
    <w:p>
      <w:pPr>
        <w:pStyle w:val="Compact"/>
        <w:numPr>
          <w:ilvl w:val="0"/>
          <w:numId w:val="1065"/>
        </w:numPr>
      </w:pPr>
      <w:r>
        <w:t xml:space="preserve">Scalpel</w:t>
      </w:r>
    </w:p>
    <w:p>
      <w:pPr>
        <w:pStyle w:val="Compact"/>
        <w:numPr>
          <w:ilvl w:val="0"/>
          <w:numId w:val="1065"/>
        </w:numPr>
      </w:pPr>
      <w:r>
        <w:t xml:space="preserve">Forceps</w:t>
      </w:r>
    </w:p>
    <w:p>
      <w:pPr>
        <w:pStyle w:val="Compact"/>
        <w:numPr>
          <w:ilvl w:val="0"/>
          <w:numId w:val="1065"/>
        </w:numPr>
      </w:pPr>
      <w:r>
        <w:t xml:space="preserve">Silica</w:t>
      </w:r>
    </w:p>
    <w:p>
      <w:pPr>
        <w:pStyle w:val="Compact"/>
        <w:numPr>
          <w:ilvl w:val="0"/>
          <w:numId w:val="1065"/>
        </w:numPr>
      </w:pPr>
      <w:r>
        <w:t xml:space="preserve">Probe</w:t>
      </w:r>
    </w:p>
    <w:bookmarkEnd w:id="124"/>
    <w:bookmarkStart w:id="125" w:name="overview-1"/>
    <w:p>
      <w:pPr>
        <w:pStyle w:val="Heading3"/>
      </w:pPr>
      <w:r>
        <w:t xml:space="preserve">1.2.6 Overview</w:t>
      </w:r>
    </w:p>
    <w:p>
      <w:pPr>
        <w:pStyle w:val="FirstParagraph"/>
      </w:pPr>
      <w:r>
        <w:t xml:space="preserve">The goal of this supplement is to prepare fungal tissue for DNA extraction and sequencing. The cellophane overlay method was implemented to obtain pure tissue conducive to clean DNA extractions (Fig. 1).</w:t>
      </w:r>
    </w:p>
    <w:p>
      <w:pPr>
        <w:pStyle w:val="BodyText"/>
      </w:pPr>
      <w:r>
        <w:t xml:space="preserve">Figure 1 - Using aseptic techniques (step 1), prepare agar plates and arrange a sterile location for transfer. Add one disk of sterile cellophane to each plate (step 2) and inoculate with the fungal isolate, avoiding the transfer of residual agar, in the center of the disk (step 3). Allow the fungus to grow on top of the cellophane in a dark incubator at 26°C(step 4). Take the initial weight of the empty Eppendorf tube. After the cellophane disk is covered, peel the tissue to remove it and place it in the empty Eppendorf tube. Place the open tube in a jar with silica gel in the bottom. Cover the jar. Allow the tissue to dry for 4-7 days (step 5). Once the tissue is dry, close the tube and take the final weight. 1-2 grams of tissue should be recovered. Store the sample in a clean place. It is now ready for in-house DNA extraction or shipping. Figure created in BioRender. Knight, C. (2025) https://BioRender.com/s61a377</w:t>
      </w:r>
    </w:p>
    <w:bookmarkEnd w:id="125"/>
    <w:bookmarkStart w:id="126" w:name="instructions-2"/>
    <w:p>
      <w:pPr>
        <w:pStyle w:val="Heading3"/>
      </w:pPr>
      <w:r>
        <w:t xml:space="preserve">1.2.7 Instructions</w:t>
      </w:r>
    </w:p>
    <w:p>
      <w:pPr>
        <w:pStyle w:val="Compact"/>
        <w:numPr>
          <w:ilvl w:val="0"/>
          <w:numId w:val="1066"/>
        </w:numPr>
      </w:pPr>
      <w:r>
        <w:t xml:space="preserve">You will be harvesting fungal tissue from the cellophane PDA petri dishes.</w:t>
      </w:r>
    </w:p>
    <w:p>
      <w:pPr>
        <w:pStyle w:val="Compact"/>
        <w:numPr>
          <w:ilvl w:val="0"/>
          <w:numId w:val="1066"/>
        </w:numPr>
      </w:pPr>
      <w:r>
        <w:t xml:space="preserve">Use a laminar flow hood or set up flames to create a sterile environment. Clean your sterile area.</w:t>
      </w:r>
    </w:p>
    <w:p>
      <w:pPr>
        <w:pStyle w:val="Compact"/>
        <w:numPr>
          <w:ilvl w:val="0"/>
          <w:numId w:val="1066"/>
        </w:numPr>
      </w:pPr>
      <w:r>
        <w:t xml:space="preserve">Light your flame source. Dip your harvesting implement(s) (scalpel, forceps, and/or probe) into alcohol. Flame your implements and let it cool.</w:t>
      </w:r>
    </w:p>
    <w:p>
      <w:pPr>
        <w:pStyle w:val="Compact"/>
        <w:numPr>
          <w:ilvl w:val="0"/>
          <w:numId w:val="1066"/>
        </w:numPr>
      </w:pPr>
      <w:r>
        <w:t xml:space="preserve">Once cool, open your petri dish lid, and lay this facing upward on your workspace. Remove fungal tissue by scraping from cellophane. In some cases, the entire fungal tissue will easily peel from the cellophane. In some cases, the mycelia will be stuck to the cellophane. In this case, you will need to use some combination of instruments to remove the fungi from the cellophane (Figs 2 and 3, Videos 1 and 2).</w:t>
      </w:r>
    </w:p>
    <w:p>
      <w:pPr>
        <w:pStyle w:val="Compact"/>
        <w:numPr>
          <w:ilvl w:val="0"/>
          <w:numId w:val="1066"/>
        </w:numPr>
      </w:pPr>
      <w:r>
        <w:t xml:space="preserve">Place Eppendorf tubes into a jar filled with silica. The silica will allow you to stand up the tubes in the jar. Keep the lids of the Eppendorf tubes open to allow the tissue to dry.</w:t>
      </w:r>
    </w:p>
    <w:p>
      <w:pPr>
        <w:pStyle w:val="Compact"/>
        <w:numPr>
          <w:ilvl w:val="0"/>
          <w:numId w:val="1066"/>
        </w:numPr>
      </w:pPr>
      <w:r>
        <w:t xml:space="preserve">Seal silica-filled jar with the lid. Allow the tissue to dry for 5-10 days.</w:t>
      </w:r>
    </w:p>
    <w:p>
      <w:pPr>
        <w:pStyle w:val="Compact"/>
        <w:numPr>
          <w:ilvl w:val="0"/>
          <w:numId w:val="1066"/>
        </w:numPr>
      </w:pPr>
      <w:r>
        <w:t xml:space="preserve">Once the tissue is dry, remove the Eppendorf tubes from the silica jar and close the lids.</w:t>
      </w:r>
    </w:p>
    <w:p>
      <w:pPr>
        <w:pStyle w:val="Compact"/>
        <w:numPr>
          <w:ilvl w:val="0"/>
          <w:numId w:val="1066"/>
        </w:numPr>
      </w:pPr>
      <w:r>
        <w:t xml:space="preserve">Proceed to the Sample submission module.</w:t>
      </w:r>
    </w:p>
    <w:bookmarkEnd w:id="126"/>
    <w:bookmarkEnd w:id="127"/>
    <w:bookmarkEnd w:id="128"/>
    <w:bookmarkStart w:id="135" w:name="module-6-sample-submission-1"/>
    <w:p>
      <w:pPr>
        <w:pStyle w:val="Heading1"/>
      </w:pPr>
      <w:r>
        <w:t xml:space="preserve">Module 6: Sample Submission</w:t>
      </w:r>
    </w:p>
    <w:bookmarkStart w:id="134" w:name="module-6.1-myco-ed-sample-submission-sop"/>
    <w:p>
      <w:pPr>
        <w:pStyle w:val="Heading2"/>
      </w:pPr>
      <w:r>
        <w:t xml:space="preserve">Module 6.1 – Myco-Ed Sample Submission SOP</w:t>
      </w:r>
    </w:p>
    <w:bookmarkStart w:id="129" w:name="overview-2"/>
    <w:p>
      <w:pPr>
        <w:pStyle w:val="Heading3"/>
      </w:pPr>
      <w:r>
        <w:t xml:space="preserve">Overview</w:t>
      </w:r>
    </w:p>
    <w:p>
      <w:pPr>
        <w:pStyle w:val="FirstParagraph"/>
      </w:pPr>
      <w:r>
        <w:t xml:space="preserve">Use this document to submit fungal samples to Arizona Genomics Institute (AGI) for DNA extraction.</w:t>
      </w:r>
    </w:p>
    <w:bookmarkEnd w:id="129"/>
    <w:bookmarkStart w:id="130" w:name="definitions"/>
    <w:p>
      <w:pPr>
        <w:pStyle w:val="Heading3"/>
      </w:pPr>
      <w:r>
        <w:t xml:space="preserve">Definitions</w:t>
      </w:r>
    </w:p>
    <w:p>
      <w:pPr>
        <w:pStyle w:val="Compact"/>
        <w:numPr>
          <w:ilvl w:val="0"/>
          <w:numId w:val="1067"/>
        </w:numPr>
      </w:pPr>
      <w:r>
        <w:t xml:space="preserve">JGI = Joint Genomics Institute</w:t>
      </w:r>
    </w:p>
    <w:p>
      <w:pPr>
        <w:pStyle w:val="Compact"/>
        <w:numPr>
          <w:ilvl w:val="0"/>
          <w:numId w:val="1067"/>
        </w:numPr>
      </w:pPr>
      <w:r>
        <w:t xml:space="preserve">AGI = Arizona Genome Institute</w:t>
      </w:r>
    </w:p>
    <w:bookmarkEnd w:id="130"/>
    <w:bookmarkStart w:id="131" w:name="associated-documents"/>
    <w:p>
      <w:pPr>
        <w:pStyle w:val="Heading3"/>
      </w:pPr>
      <w:r>
        <w:t xml:space="preserve">Associated Documents</w:t>
      </w:r>
    </w:p>
    <w:p>
      <w:pPr>
        <w:pStyle w:val="FirstParagraph"/>
      </w:pPr>
      <w:r>
        <w:t xml:space="preserve">MycoEd Metadata Form</w:t>
      </w:r>
    </w:p>
    <w:bookmarkEnd w:id="131"/>
    <w:bookmarkStart w:id="132" w:name="process-steps"/>
    <w:p>
      <w:pPr>
        <w:pStyle w:val="Heading3"/>
      </w:pPr>
      <w:r>
        <w:t xml:space="preserve">Process Steps</w:t>
      </w:r>
    </w:p>
    <w:p>
      <w:pPr>
        <w:pStyle w:val="Compact"/>
        <w:numPr>
          <w:ilvl w:val="0"/>
          <w:numId w:val="1068"/>
        </w:numPr>
      </w:pPr>
      <w:r>
        <w:t xml:space="preserve">Create a JGI Single Sign on Account</w:t>
      </w:r>
    </w:p>
    <w:p>
      <w:pPr>
        <w:pStyle w:val="Compact"/>
        <w:numPr>
          <w:ilvl w:val="0"/>
          <w:numId w:val="1068"/>
        </w:numPr>
      </w:pPr>
      <w:r>
        <w:t xml:space="preserve">Email photos of the live tissue you intend to send AGI before collection to JTALAG@email.arizona.edu and kwbarry@lbl.gov.</w:t>
      </w:r>
    </w:p>
    <w:p>
      <w:pPr>
        <w:pStyle w:val="Compact"/>
        <w:numPr>
          <w:ilvl w:val="0"/>
          <w:numId w:val="1068"/>
        </w:numPr>
      </w:pPr>
      <w:r>
        <w:t xml:space="preserve">Make a copy of the MycoEd Metadata Form</w:t>
      </w:r>
    </w:p>
    <w:p>
      <w:pPr>
        <w:pStyle w:val="Compact"/>
        <w:numPr>
          <w:ilvl w:val="1"/>
          <w:numId w:val="1069"/>
        </w:numPr>
      </w:pPr>
      <w:r>
        <w:t xml:space="preserve">Click on MycoEd Metadata Form link</w:t>
      </w:r>
    </w:p>
    <w:p>
      <w:pPr>
        <w:pStyle w:val="Compact"/>
        <w:numPr>
          <w:ilvl w:val="1"/>
          <w:numId w:val="1069"/>
        </w:numPr>
      </w:pPr>
      <w:r>
        <w:t xml:space="preserve">Under file, select Make a Copy</w:t>
      </w:r>
    </w:p>
    <w:p>
      <w:pPr>
        <w:pStyle w:val="Compact"/>
        <w:numPr>
          <w:ilvl w:val="1"/>
          <w:numId w:val="1069"/>
        </w:numPr>
      </w:pPr>
      <w:r>
        <w:t xml:space="preserve">Rename your new copy [University][Instructor Last Name][MycoEd Metadata][Date]</w:t>
      </w:r>
    </w:p>
    <w:p>
      <w:pPr>
        <w:pStyle w:val="Compact"/>
        <w:numPr>
          <w:ilvl w:val="0"/>
          <w:numId w:val="1068"/>
        </w:numPr>
      </w:pPr>
      <w:r>
        <w:t xml:space="preserve">Fill out your copy of the MycoEd Metadata Form</w:t>
      </w:r>
    </w:p>
    <w:p>
      <w:pPr>
        <w:pStyle w:val="Compact"/>
        <w:numPr>
          <w:ilvl w:val="1"/>
          <w:numId w:val="1070"/>
        </w:numPr>
      </w:pPr>
      <w:r>
        <w:t xml:space="preserve">Professor is the instructor for the class and their email address</w:t>
      </w:r>
    </w:p>
    <w:p>
      <w:pPr>
        <w:pStyle w:val="Compact"/>
        <w:numPr>
          <w:ilvl w:val="1"/>
          <w:numId w:val="1070"/>
        </w:numPr>
      </w:pPr>
      <w:r>
        <w:t xml:space="preserve">Name of the University/Institution is your University/Institution</w:t>
      </w:r>
    </w:p>
    <w:p>
      <w:pPr>
        <w:pStyle w:val="Compact"/>
        <w:numPr>
          <w:ilvl w:val="1"/>
          <w:numId w:val="1070"/>
        </w:numPr>
      </w:pPr>
      <w:r>
        <w:t xml:space="preserve">Date submitted/shipped is the date you ship the samples to AGI</w:t>
      </w:r>
    </w:p>
    <w:p>
      <w:pPr>
        <w:pStyle w:val="Compact"/>
        <w:numPr>
          <w:ilvl w:val="1"/>
          <w:numId w:val="1070"/>
        </w:numPr>
      </w:pPr>
      <w:r>
        <w:t xml:space="preserve">JGI proposal name &amp; number is DS 509937 (already provided)</w:t>
      </w:r>
    </w:p>
    <w:p>
      <w:pPr>
        <w:pStyle w:val="Compact"/>
        <w:numPr>
          <w:ilvl w:val="0"/>
          <w:numId w:val="1068"/>
        </w:numPr>
      </w:pPr>
      <w:r>
        <w:t xml:space="preserve">Fill out Sample Table</w:t>
      </w:r>
    </w:p>
    <w:p>
      <w:pPr>
        <w:pStyle w:val="Compact"/>
        <w:numPr>
          <w:ilvl w:val="1"/>
          <w:numId w:val="1071"/>
        </w:numPr>
      </w:pPr>
      <w:r>
        <w:t xml:space="preserve">Enter requested metadata into the table</w:t>
      </w:r>
    </w:p>
    <w:p>
      <w:pPr>
        <w:pStyle w:val="Compact"/>
        <w:numPr>
          <w:ilvl w:val="1"/>
          <w:numId w:val="1071"/>
        </w:numPr>
      </w:pPr>
      <w:r>
        <w:t xml:space="preserve">Use one row per sample/tube</w:t>
      </w:r>
    </w:p>
    <w:p>
      <w:pPr>
        <w:pStyle w:val="Compact"/>
        <w:numPr>
          <w:ilvl w:val="1"/>
          <w:numId w:val="1071"/>
        </w:numPr>
      </w:pPr>
      <w:r>
        <w:t xml:space="preserve">Insert additional rows if needed</w:t>
      </w:r>
    </w:p>
    <w:p>
      <w:pPr>
        <w:pStyle w:val="Compact"/>
        <w:numPr>
          <w:ilvl w:val="1"/>
          <w:numId w:val="1071"/>
        </w:numPr>
      </w:pPr>
      <w:r>
        <w:t xml:space="preserve">Columns with gray field headers, B and D, will be filled out by JGI</w:t>
      </w:r>
    </w:p>
    <w:p>
      <w:pPr>
        <w:pStyle w:val="Compact"/>
        <w:numPr>
          <w:ilvl w:val="1"/>
          <w:numId w:val="1071"/>
        </w:numPr>
      </w:pPr>
      <w:r>
        <w:t xml:space="preserve">For Column C, Sample Name - please use below convention for naming: [University][Plant][Plant tissue] Metagenome [Sample ID]</w:t>
      </w:r>
    </w:p>
    <w:p>
      <w:pPr>
        <w:pStyle w:val="Compact"/>
        <w:numPr>
          <w:ilvl w:val="1"/>
          <w:numId w:val="1071"/>
        </w:numPr>
      </w:pPr>
      <w:r>
        <w:t xml:space="preserve">Column G is only needed if you are sending more than 22 samples</w:t>
      </w:r>
    </w:p>
    <w:p>
      <w:pPr>
        <w:pStyle w:val="Compact"/>
        <w:numPr>
          <w:ilvl w:val="1"/>
          <w:numId w:val="1071"/>
        </w:numPr>
      </w:pPr>
      <w:r>
        <w:t xml:space="preserve">Student is the full name of student that collected the sample and their email address</w:t>
      </w:r>
    </w:p>
    <w:p>
      <w:pPr>
        <w:pStyle w:val="Compact"/>
        <w:numPr>
          <w:ilvl w:val="1"/>
          <w:numId w:val="1071"/>
        </w:numPr>
      </w:pPr>
      <w:r>
        <w:t xml:space="preserve">Columns with Yellow Header, X-AF, will be filled out by AGI after DNA extraction</w:t>
      </w:r>
    </w:p>
    <w:p>
      <w:pPr>
        <w:pStyle w:val="Compact"/>
        <w:numPr>
          <w:ilvl w:val="0"/>
          <w:numId w:val="1068"/>
        </w:numPr>
      </w:pPr>
      <w:r>
        <w:t xml:space="preserve">Email form to AGI &amp; JGI</w:t>
      </w:r>
    </w:p>
    <w:p>
      <w:pPr>
        <w:pStyle w:val="Compact"/>
        <w:numPr>
          <w:ilvl w:val="1"/>
          <w:numId w:val="1072"/>
        </w:numPr>
      </w:pPr>
      <w:r>
        <w:t xml:space="preserve">Once all required metadata is provided, download a copy to excel</w:t>
      </w:r>
    </w:p>
    <w:p>
      <w:pPr>
        <w:pStyle w:val="Compact"/>
        <w:numPr>
          <w:ilvl w:val="1"/>
          <w:numId w:val="1072"/>
        </w:numPr>
      </w:pPr>
      <w:r>
        <w:t xml:space="preserve">Email a copy to Jayson at (jtalag@ag.arizona.edu ) and Kerrie (kwbarry@lbl.gov).</w:t>
      </w:r>
    </w:p>
    <w:p>
      <w:pPr>
        <w:pStyle w:val="Compact"/>
        <w:numPr>
          <w:ilvl w:val="1"/>
          <w:numId w:val="1072"/>
        </w:numPr>
      </w:pPr>
      <w:r>
        <w:t xml:space="preserve">Include in the subject line of your email</w:t>
      </w:r>
      <w:r>
        <w:t xml:space="preserve"> </w:t>
      </w:r>
      <w:r>
        <w:t xml:space="preserve">“MyCoEd 509937”</w:t>
      </w:r>
      <w:r>
        <w:t xml:space="preserve"> </w:t>
      </w:r>
      <w:r>
        <w:t xml:space="preserve">[Professor’s Name][University/Institution]</w:t>
      </w:r>
      <w:r>
        <w:t xml:space="preserve"> </w:t>
      </w:r>
      <w:r>
        <w:t xml:space="preserve">“Sample Submission”</w:t>
      </w:r>
    </w:p>
    <w:p>
      <w:pPr>
        <w:pStyle w:val="Compact"/>
        <w:numPr>
          <w:ilvl w:val="1"/>
          <w:numId w:val="1072"/>
        </w:numPr>
      </w:pPr>
      <w:r>
        <w:t xml:space="preserve">Include in your email your name, your college/university, the exact name of your samples (column D) that are ready to ship to AGI (and the rows in this sheet).</w:t>
      </w:r>
    </w:p>
    <w:p>
      <w:pPr>
        <w:pStyle w:val="Compact"/>
        <w:numPr>
          <w:ilvl w:val="1"/>
          <w:numId w:val="1072"/>
        </w:numPr>
      </w:pPr>
      <w:r>
        <w:t xml:space="preserve">Wait for approval/confirmation from AGI &amp; JGI.</w:t>
      </w:r>
    </w:p>
    <w:p>
      <w:pPr>
        <w:pStyle w:val="Compact"/>
        <w:numPr>
          <w:ilvl w:val="2"/>
          <w:numId w:val="1073"/>
        </w:numPr>
      </w:pPr>
      <w:r>
        <w:t xml:space="preserve">If needed make requested changed and email updated copy</w:t>
      </w:r>
    </w:p>
    <w:p>
      <w:pPr>
        <w:pStyle w:val="Compact"/>
        <w:numPr>
          <w:ilvl w:val="0"/>
          <w:numId w:val="1068"/>
        </w:numPr>
      </w:pPr>
      <w:r>
        <w:t xml:space="preserve">Prepare samples for shipment</w:t>
      </w:r>
    </w:p>
    <w:p>
      <w:pPr>
        <w:pStyle w:val="Compact"/>
        <w:numPr>
          <w:ilvl w:val="1"/>
          <w:numId w:val="1074"/>
        </w:numPr>
      </w:pPr>
    </w:p>
    <w:p>
      <w:pPr>
        <w:pStyle w:val="Compact"/>
        <w:numPr>
          <w:ilvl w:val="2"/>
          <w:numId w:val="1075"/>
        </w:numPr>
      </w:pPr>
      <w:r>
        <w:t xml:space="preserve">Print out (in Landscape orientation) the paper copy of the Myco-Ed Metadata Form and put it with the shipment and also email the completed sheet to: JTALAG@email.arizona.edu, and kwbarry@lbl.gov</w:t>
      </w:r>
    </w:p>
    <w:p>
      <w:pPr>
        <w:pStyle w:val="Compact"/>
        <w:numPr>
          <w:ilvl w:val="1"/>
          <w:numId w:val="1074"/>
        </w:numPr>
      </w:pPr>
      <w:r>
        <w:t xml:space="preserve">Email FEDEX tracking # when your shipment is picked up.</w:t>
      </w:r>
    </w:p>
    <w:p>
      <w:pPr>
        <w:pStyle w:val="Compact"/>
        <w:numPr>
          <w:ilvl w:val="1"/>
          <w:numId w:val="1074"/>
        </w:numPr>
      </w:pPr>
      <w:r>
        <w:t xml:space="preserve">Ship samples to</w:t>
      </w:r>
      <w:r>
        <w:t xml:space="preserve"> </w:t>
      </w:r>
      <w:r>
        <w:t xml:space="preserve">Jayson Talag</w:t>
      </w:r>
      <w:r>
        <w:t xml:space="preserve"> </w:t>
      </w:r>
      <w:r>
        <w:t xml:space="preserve">1657 E. Helen St.</w:t>
      </w:r>
      <w:r>
        <w:t xml:space="preserve"> </w:t>
      </w:r>
      <w:r>
        <w:t xml:space="preserve">The University of Arizona</w:t>
      </w:r>
      <w:r>
        <w:t xml:space="preserve"> </w:t>
      </w:r>
      <w:r>
        <w:t xml:space="preserve">Tucson, AZ 85721</w:t>
      </w:r>
      <w:r>
        <w:t xml:space="preserve"> </w:t>
      </w:r>
      <w:r>
        <w:t xml:space="preserve">United States</w:t>
      </w:r>
      <w:r>
        <w:t xml:space="preserve"> </w:t>
      </w:r>
      <w:r>
        <w:t xml:space="preserve">Ph: 520-626-9596</w:t>
      </w:r>
    </w:p>
    <w:bookmarkEnd w:id="132"/>
    <w:bookmarkStart w:id="133" w:name="high-molecular-dna-extraction-protocol"/>
    <w:p>
      <w:pPr>
        <w:pStyle w:val="Heading3"/>
      </w:pPr>
      <w:r>
        <w:t xml:space="preserve">High Molecular DNA Extraction Protocol</w:t>
      </w:r>
    </w:p>
    <w:p>
      <w:pPr>
        <w:pStyle w:val="FirstParagraph"/>
      </w:pPr>
      <w:r>
        <w:t xml:space="preserve">The AGI uses the following high molecular DNA extraction protocol:</w:t>
      </w:r>
    </w:p>
    <w:p>
      <w:pPr>
        <w:pStyle w:val="BodyText"/>
      </w:pPr>
      <w:r>
        <w:t xml:space="preserve">High molecular weight DNA is extracted from (biomass) using the protocol of</w:t>
      </w:r>
      <w:r>
        <w:t xml:space="preserve"> </w:t>
      </w:r>
      <w:r>
        <w:t xml:space="preserve">Doyle and Doyle (1987)</w:t>
      </w:r>
      <w:r>
        <w:t xml:space="preserve"> </w:t>
      </w:r>
      <w:r>
        <w:t xml:space="preserve">with minor modifications. Flash-frozen biomass is ground to a fine powder in a frozen mortar with liquid nitrogen followed by very gentle extraction in 2% CTAB buffer (that includes proteinase K, PVP-40 and beta-mercaptoethanol) for 30min to 1h at 50 °C. After centrifugation, the supernatant is transferred to a new tube, treated with 200ul 50mM PSMF for 10 minutes at room temperature then gently extracted twice with 24:1 Chloroform : Isoamyl alcohol. The upper phase is transferred to a new tube and 1/10th volume 3 M Sodium acetate is added, gently mixed, and DNA precipitated with iso-propanol. DNA precipitate is collected by centrifugation, washed with 70% ethanol, air dried for 5-10 minutes and dissolved thoroughly in elution buffer at room temperature followed by RNAse treatment. DNA purity is measured with Nanodrop, DNA concentration measured with Qubit HS kit (Invitrogen) and DNA size is validated by Femto Pulse System (Agilent).</w:t>
      </w:r>
    </w:p>
    <w:bookmarkEnd w:id="133"/>
    <w:bookmarkEnd w:id="134"/>
    <w:bookmarkEnd w:id="135"/>
    <w:bookmarkStart w:id="153" w:name="module-7-genomic-analyses-1"/>
    <w:p>
      <w:pPr>
        <w:pStyle w:val="Heading1"/>
      </w:pPr>
      <w:r>
        <w:t xml:space="preserve">2. Module 7: Genomic Analyses</w:t>
      </w:r>
    </w:p>
    <w:bookmarkStart w:id="143" w:name="X46999d4e04aaa0bd6e7f1cf0936f3283e50c93c"/>
    <w:p>
      <w:pPr>
        <w:pStyle w:val="Heading2"/>
      </w:pPr>
      <w:r>
        <w:t xml:space="preserve">2.1 Module 7.1 – Sexual Reproduction in Ascomycota Genomic Analysis</w:t>
      </w:r>
    </w:p>
    <w:bookmarkStart w:id="136" w:name="introduction-5"/>
    <w:p>
      <w:pPr>
        <w:pStyle w:val="Heading3"/>
      </w:pPr>
      <w:r>
        <w:t xml:space="preserve">2.1.1 Introduction</w:t>
      </w:r>
    </w:p>
    <w:p>
      <w:pPr>
        <w:pStyle w:val="FirstParagraph"/>
      </w:pPr>
      <w:r>
        <w:t xml:space="preserve">Fungal sexual reproduction is complicated. Unlike animals, where usually only 2 opposite mates are observed, some fungi can have hundreds to thousands of different mates (Casselton &amp; Olesnicky, 1998)! Beyond granting the ability to mix genetic material, sexual reproduction has additional importance in fungi since reproductive structures are often more hearty and capable of overwintering, meaning their presence can seriously complicate disease management practices. Undergoing sexual reproduction also provides an important cleaning mechanism for some fungi, enabling them to treat their genomes and remove transposons using processes like Repeat Induced Point mutations, or RIP (Cambareri et al., 1991). In this exercise, we will learn how to determine mating types in Ascomycota using MycoCosm. Compared to most other fungi, Ascomycetes have a relatively simple mating system, where only two types are observed. Here, we will focus on the genus Neurospora where the mating types are simply named</w:t>
      </w:r>
      <w:r>
        <w:t xml:space="preserve"> </w:t>
      </w:r>
      <w:r>
        <w:t xml:space="preserve">“A”</w:t>
      </w:r>
      <w:r>
        <w:t xml:space="preserve"> </w:t>
      </w:r>
      <w:r>
        <w:t xml:space="preserve">and</w:t>
      </w:r>
      <w:r>
        <w:t xml:space="preserve"> </w:t>
      </w:r>
      <w:r>
        <w:t xml:space="preserve">“a”</w:t>
      </w:r>
      <w:r>
        <w:t xml:space="preserve"> </w:t>
      </w:r>
      <w:r>
        <w:t xml:space="preserve">(Metzenberg &amp; Glass, 1990).</w:t>
      </w:r>
    </w:p>
    <w:p>
      <w:pPr>
        <w:pStyle w:val="BodyText"/>
      </w:pPr>
      <w:r>
        <w:t xml:space="preserve">What we know for this exercise: Several mating type-related genes have already been identified. These control the initiation of sexual reproduction. They are mostly transcription factors, which you can think of as highly specialized workers: each has a unique</w:t>
      </w:r>
      <w:r>
        <w:t xml:space="preserve"> </w:t>
      </w:r>
      <w:r>
        <w:t xml:space="preserve">‘skillset’</w:t>
      </w:r>
      <w:r>
        <w:t xml:space="preserve"> </w:t>
      </w:r>
      <w:r>
        <w:t xml:space="preserve">(genes) that they control (turn on or off) to perform some task (in this case, regulate reproduction-related machinery).</w:t>
      </w:r>
    </w:p>
    <w:p>
      <w:pPr>
        <w:pStyle w:val="BodyText"/>
      </w:pPr>
      <w:r>
        <w:t xml:space="preserve">How are mating types determined in fungi? Are the same genes found in both mating types, but regulated differently? Or, are there genes unique to each mating type that are responsible for this? Using comparative genomic approaches, let’s try and find out!</w:t>
      </w:r>
    </w:p>
    <w:p>
      <w:pPr>
        <w:pStyle w:val="BodyText"/>
      </w:pPr>
      <w:r>
        <w:t xml:space="preserve">Beginning with known mating type-related genes collected from NCBI, we will use MycoCosm to branch out into related fungi, identify opposite mates, then formulate hypotheses and learn about the genetics underlying fungal sexual regulation. This approach can be directly applied to predict mating types in other fungi, or used to explore presence/absence of other types of genes!</w:t>
      </w:r>
    </w:p>
    <w:bookmarkEnd w:id="136"/>
    <w:bookmarkStart w:id="137" w:name="references"/>
    <w:p>
      <w:pPr>
        <w:pStyle w:val="Heading3"/>
      </w:pPr>
      <w:r>
        <w:t xml:space="preserve">2.1.2 References:</w:t>
      </w:r>
    </w:p>
    <w:p>
      <w:pPr>
        <w:pStyle w:val="Compact"/>
        <w:numPr>
          <w:ilvl w:val="0"/>
          <w:numId w:val="1076"/>
        </w:numPr>
      </w:pPr>
      <w:r>
        <w:t xml:space="preserve">Casselton, L.A., Olesnicky, N.S., 1998. Molecular Genetics of Mating Recognition in Basidiomycete Fungi. Microbiol Mol Biol Rev., 62(1): 55–70. doi: 10.1128/mmbr.62.1.55-70.1998</w:t>
      </w:r>
    </w:p>
    <w:p>
      <w:pPr>
        <w:pStyle w:val="Compact"/>
        <w:numPr>
          <w:ilvl w:val="0"/>
          <w:numId w:val="1076"/>
        </w:numPr>
      </w:pPr>
      <w:r>
        <w:t xml:space="preserve">Cambareri, E.B., Singer, M.J., Selker, E.U., 1991. Recurrence of repeat-induced point mutation (RIP) in Neurospora crassa. Genetics, 127(4):699-710. doi: 10.1093/genetics/127.4.699.</w:t>
      </w:r>
    </w:p>
    <w:p>
      <w:pPr>
        <w:pStyle w:val="Compact"/>
        <w:numPr>
          <w:ilvl w:val="0"/>
          <w:numId w:val="1076"/>
        </w:numPr>
      </w:pPr>
      <w:r>
        <w:t xml:space="preserve">Metzenberg, R.L., Glass, N.L., 1990. Mating type and mating strategies in Neurospora. Bioessays. 1990 Feb;12(2):53-9. doi: 10.1002/bies.950120202.</w:t>
      </w:r>
    </w:p>
    <w:bookmarkEnd w:id="137"/>
    <w:bookmarkStart w:id="142" w:name="finding-mat-a"/>
    <w:p>
      <w:pPr>
        <w:pStyle w:val="Heading3"/>
      </w:pPr>
      <w:r>
        <w:t xml:space="preserve">2.1.3 Finding mat A</w:t>
      </w:r>
    </w:p>
    <w:bookmarkStart w:id="138" w:name="X7f096d5f839edc277e9e3518d4dabc1a4e71251"/>
    <w:p>
      <w:pPr>
        <w:pStyle w:val="Heading4"/>
      </w:pPr>
      <w:r>
        <w:t xml:space="preserve">2.1.3.1 Locate mat A locus in the Neurospora crassa OR74A genome</w:t>
      </w:r>
    </w:p>
    <w:p>
      <w:pPr>
        <w:pStyle w:val="FirstParagraph"/>
      </w:pPr>
      <w:r>
        <w:t xml:space="preserve">To guide our exploration, let’s create a testable hypothesis. Being informative and straightforward, let’s hypothesize that mating type is determined by the presence/absence of specific genes. Given what we know about mating in Neurospora, a good starting point would be the mat A locus. It is composed of 3 genes, mat A-1, mat A-2, and mat A-3.</w:t>
      </w:r>
    </w:p>
    <w:p>
      <w:pPr>
        <w:pStyle w:val="Compact"/>
        <w:numPr>
          <w:ilvl w:val="0"/>
          <w:numId w:val="1077"/>
        </w:numPr>
      </w:pPr>
      <w:r>
        <w:t xml:space="preserve">Start by visiting NCBI (https://www.ncbi.nlm.nih.gov/) and collecting a reference sequence. Go to the nucleotide database and search for</w:t>
      </w:r>
      <w:r>
        <w:t xml:space="preserve"> </w:t>
      </w:r>
      <w:r>
        <w:t xml:space="preserve">“Neurospora crassa OR74A mating-type protein A-1 (matA-1), mRNA”</w:t>
      </w:r>
      <w:r>
        <w:t xml:space="preserve">.</w:t>
      </w:r>
    </w:p>
    <w:p>
      <w:pPr>
        <w:pStyle w:val="Compact"/>
        <w:numPr>
          <w:ilvl w:val="0"/>
          <w:numId w:val="1077"/>
        </w:numPr>
      </w:pPr>
      <w:r>
        <w:t xml:space="preserve">Find the matching record,</w:t>
      </w:r>
      <w:r>
        <w:t xml:space="preserve"> </w:t>
      </w:r>
      <w:r>
        <w:t xml:space="preserve">“Neurospora crassa OR74A mating-type protein A-1 (matA-1), mRNA”</w:t>
      </w:r>
      <w:r>
        <w:t xml:space="preserve"> </w:t>
      </w:r>
      <w:r>
        <w:t xml:space="preserve">and collect the corresponding nucleotide sequence by clicking the</w:t>
      </w:r>
      <w:r>
        <w:t xml:space="preserve"> </w:t>
      </w:r>
      <w:r>
        <w:t xml:space="preserve">‘FASTA’</w:t>
      </w:r>
      <w:r>
        <w:t xml:space="preserve"> </w:t>
      </w:r>
      <w:r>
        <w:t xml:space="preserve">link (see below), then select and copy the sequence.</w:t>
      </w:r>
    </w:p>
    <w:p>
      <w:pPr>
        <w:pStyle w:val="Compact"/>
        <w:numPr>
          <w:ilvl w:val="0"/>
          <w:numId w:val="1077"/>
        </w:numPr>
      </w:pPr>
      <w:r>
        <w:t xml:space="preserve">Let’s find the location of this gene in the genome! Go to the Neucr2 MycoCosm portal (https://mycocosm.jgi.doe.gov/Neucr2) and search for it using the BLAST tool.</w:t>
      </w:r>
    </w:p>
    <w:p>
      <w:pPr>
        <w:pStyle w:val="Compact"/>
        <w:numPr>
          <w:ilvl w:val="0"/>
          <w:numId w:val="1077"/>
        </w:numPr>
      </w:pPr>
      <w:r>
        <w:t xml:space="preserve">Click the BLAST tab, paste your sequence into the query sequence box. Using blastn, select the filtered model transcripts set and click the</w:t>
      </w:r>
      <w:r>
        <w:t xml:space="preserve"> </w:t>
      </w:r>
      <w:r>
        <w:t xml:space="preserve">‘Run blastn’</w:t>
      </w:r>
      <w:r>
        <w:t xml:space="preserve"> </w:t>
      </w:r>
      <w:r>
        <w:t xml:space="preserve">button.</w:t>
      </w:r>
    </w:p>
    <w:p>
      <w:pPr>
        <w:pStyle w:val="Compact"/>
        <w:numPr>
          <w:ilvl w:val="0"/>
          <w:numId w:val="1077"/>
        </w:numPr>
      </w:pPr>
      <w:r>
        <w:t xml:space="preserve">You should see two hits, each shown in a separate row.</w:t>
      </w:r>
    </w:p>
    <w:p>
      <w:pPr>
        <w:pStyle w:val="Compact"/>
        <w:numPr>
          <w:ilvl w:val="1"/>
          <w:numId w:val="1078"/>
        </w:numPr>
      </w:pPr>
      <w:r>
        <w:t xml:space="preserve">The first column shows the portal ID and transcript ID (since we are searching against nucleotides) of the hit. Portal IDs are unique identifiers assigned to each genome. For example, Neucr2 is the portal ID for Neurospora crassa OR74A, and it can be used to access the portal (e.g. https://mycocosm.jgi.doe.gov/Neucr2). This unique identifier is also displayed across various portal pages to label data from a particular organism.</w:t>
      </w:r>
    </w:p>
    <w:p>
      <w:pPr>
        <w:pStyle w:val="Compact"/>
        <w:numPr>
          <w:ilvl w:val="1"/>
          <w:numId w:val="1078"/>
        </w:numPr>
      </w:pPr>
      <w:r>
        <w:t xml:space="preserve">The second column shows an alignment of that sequence against your query, which is helpful for seeing how well hits cover your query sequence.</w:t>
      </w:r>
    </w:p>
    <w:p>
      <w:pPr>
        <w:pStyle w:val="Compact"/>
        <w:numPr>
          <w:ilvl w:val="1"/>
          <w:numId w:val="1078"/>
        </w:numPr>
      </w:pPr>
      <w:r>
        <w:t xml:space="preserve">The score and EValue columns are also useful when assessing hit quality. Higher scores are better, and conversely, lower e-values are better.</w:t>
      </w:r>
    </w:p>
    <w:p>
      <w:pPr>
        <w:pStyle w:val="Compact"/>
        <w:numPr>
          <w:ilvl w:val="0"/>
          <w:numId w:val="1077"/>
        </w:numPr>
      </w:pPr>
      <w:r>
        <w:t xml:space="preserve">The first hit looks better. You can tell because the hit covers more of our query and the score is higher. Let’s explore the protein page for the best hit and look for evidence that this is actually mat A-1. Click on the identifier in the first column to access this page.</w:t>
      </w:r>
    </w:p>
    <w:p>
      <w:pPr>
        <w:pStyle w:val="Compact"/>
        <w:numPr>
          <w:ilvl w:val="0"/>
          <w:numId w:val="1077"/>
        </w:numPr>
      </w:pPr>
      <w:r>
        <w:t xml:space="preserve">Let’s explore the genome browser by clicking on the genome coordinates at the top of the page, in the</w:t>
      </w:r>
      <w:r>
        <w:t xml:space="preserve"> </w:t>
      </w:r>
      <w:r>
        <w:t xml:space="preserve">‘Location’</w:t>
      </w:r>
      <w:r>
        <w:t xml:space="preserve"> </w:t>
      </w:r>
      <w:r>
        <w:t xml:space="preserve">section (Above image, red arrow).</w:t>
      </w:r>
    </w:p>
    <w:p>
      <w:pPr>
        <w:pStyle w:val="Compact"/>
        <w:numPr>
          <w:ilvl w:val="0"/>
          <w:numId w:val="1077"/>
        </w:numPr>
      </w:pPr>
      <w:r>
        <w:t xml:space="preserve">After loading is complete (this might take a little while, lots of data are on this browser!), click on the -10x in the top middle portion of the page to get a bigger view (see image below).</w:t>
      </w:r>
    </w:p>
    <w:p>
      <w:pPr>
        <w:pStyle w:val="Compact"/>
        <w:numPr>
          <w:ilvl w:val="0"/>
          <w:numId w:val="1077"/>
        </w:numPr>
      </w:pPr>
      <w:r>
        <w:t xml:space="preserve">The genome browser will show you information we have available for a particular stretch of DNA sequence in your assembly. It contains details on whether we observed the same (or similar) stretch of DNA in a related organism (Vista tracks), predicted genes in that region/locus, and any other information we have. Other information can include messenger RNA expression (mRNA) levels, locations of blast hits for proteins from other fungi, and more! All of these other tracks can provide valuable information to understand fungal biology as well as evidence for validating gene predictions.</w:t>
      </w:r>
    </w:p>
    <w:p>
      <w:pPr>
        <w:pStyle w:val="Compact"/>
        <w:numPr>
          <w:ilvl w:val="0"/>
          <w:numId w:val="1077"/>
        </w:numPr>
      </w:pPr>
      <w:r>
        <w:t xml:space="preserve">You just found the mat A locus in N. crassa! In the position box in the upper left corner, you can see your location: Supercontig_1:1853928-1868957. Remember, if you are lost, every MycoCosm page has a HELP! tab you can access from the menu bar.</w:t>
      </w:r>
    </w:p>
    <w:p>
      <w:pPr>
        <w:pStyle w:val="Compact"/>
        <w:numPr>
          <w:ilvl w:val="0"/>
          <w:numId w:val="1077"/>
        </w:numPr>
      </w:pPr>
      <w:r>
        <w:t xml:space="preserve">Now that we are at the mating type locus, let’s look at the genes. In this case, genes were predicted at the Broad Institute instead of the JGI. Click on the small</w:t>
      </w:r>
      <w:r>
        <w:t xml:space="preserve"> </w:t>
      </w:r>
      <w:r>
        <w:t xml:space="preserve">‘+’</w:t>
      </w:r>
      <w:r>
        <w:t xml:space="preserve"> </w:t>
      </w:r>
      <w:r>
        <w:t xml:space="preserve">to the left of the</w:t>
      </w:r>
      <w:r>
        <w:t xml:space="preserve"> </w:t>
      </w:r>
      <w:r>
        <w:t xml:space="preserve">‘BroadModels’</w:t>
      </w:r>
      <w:r>
        <w:t xml:space="preserve"> </w:t>
      </w:r>
      <w:r>
        <w:t xml:space="preserve">track to view them.</w:t>
      </w:r>
    </w:p>
    <w:p>
      <w:pPr>
        <w:pStyle w:val="Compact"/>
        <w:numPr>
          <w:ilvl w:val="0"/>
          <w:numId w:val="1077"/>
        </w:numPr>
      </w:pPr>
      <w:r>
        <w:t xml:space="preserve">Note that some regions have 2 overlapping genes. These are called</w:t>
      </w:r>
      <w:r>
        <w:t xml:space="preserve"> </w:t>
      </w:r>
      <w:r>
        <w:t xml:space="preserve">‘isoforms’</w:t>
      </w:r>
      <w:r>
        <w:t xml:space="preserve">, which are variants of the same gene where RNA can be sliced in different ways to produce alternative transcripts and proteins (these are rare in fungi).</w:t>
      </w:r>
    </w:p>
    <w:p>
      <w:pPr>
        <w:pStyle w:val="Compact"/>
        <w:numPr>
          <w:ilvl w:val="0"/>
          <w:numId w:val="1077"/>
        </w:numPr>
      </w:pPr>
      <w:r>
        <w:t xml:space="preserve">In this region of the genome, you can see 5 genes (2 with isoforms). To learn more about what these genes might do, we can look at their protein pages. You can get to the protein page by clicking on the gene, then selecting</w:t>
      </w:r>
      <w:r>
        <w:t xml:space="preserve"> </w:t>
      </w:r>
      <w:r>
        <w:t xml:space="preserve">‘feature’</w:t>
      </w:r>
      <w:r>
        <w:t xml:space="preserve"> </w:t>
      </w:r>
      <w:r>
        <w:t xml:space="preserve">web page (or center mouse click on the gene to open it in a new tab). For convenience, here are links to the protein pages for all 5 genes in this region: NCU01961T0, NCU01960T0, NCU01959T0, NCU01958T0, NCU01957T0.</w:t>
      </w:r>
    </w:p>
    <w:p>
      <w:pPr>
        <w:pStyle w:val="Compact"/>
        <w:numPr>
          <w:ilvl w:val="0"/>
          <w:numId w:val="1077"/>
        </w:numPr>
      </w:pPr>
      <w:r>
        <w:t xml:space="preserve">Using the information on the protein page, can you find mat A-2 and mat-A3?</w:t>
      </w:r>
    </w:p>
    <w:p>
      <w:pPr>
        <w:pStyle w:val="Compact"/>
        <w:numPr>
          <w:ilvl w:val="0"/>
          <w:numId w:val="1077"/>
        </w:numPr>
      </w:pPr>
      <w:r>
        <w:t xml:space="preserve">At the mating type locus, do you notice anything interesting when exploring the read depth coverage plots (pink tracks) from related Neurospora genomes?</w:t>
      </w:r>
    </w:p>
    <w:p>
      <w:pPr>
        <w:pStyle w:val="Compact"/>
        <w:numPr>
          <w:ilvl w:val="0"/>
          <w:numId w:val="1077"/>
        </w:numPr>
      </w:pPr>
      <w:r>
        <w:t xml:space="preserve">Based on this information, let’s revisit our hypothesis about how fungal mating type is determined. Given that many related Neurospora crassa genomes are completely missing this region, this appears to support our hypothesis that fungal mating type is determined by gene presence/absence, and specifically suggests that this locus might be what we are looking for! This would mean that the fungi without this locus are of the opposite mating type. Let’s continue to test this hypothesis and see if it holds up to further scrutiny!</w:t>
      </w:r>
    </w:p>
    <w:bookmarkEnd w:id="138"/>
    <w:bookmarkStart w:id="139" w:name="X2940993da31089974a2c6c9fed6b821d862ffff"/>
    <w:p>
      <w:pPr>
        <w:pStyle w:val="Heading4"/>
      </w:pPr>
      <w:r>
        <w:t xml:space="preserve">2.1.3.2 Exploring mating type in related Neurospora</w:t>
      </w:r>
    </w:p>
    <w:p>
      <w:pPr>
        <w:pStyle w:val="FirstParagraph"/>
      </w:pPr>
      <w:r>
        <w:t xml:space="preserve">Let’s try to find mat A genes in related genomes. We can start by selecting a representative gene and then searching gene families present on the mcl clusters page.</w:t>
      </w:r>
    </w:p>
    <w:p>
      <w:pPr>
        <w:pStyle w:val="Compact"/>
        <w:numPr>
          <w:ilvl w:val="0"/>
          <w:numId w:val="1079"/>
        </w:numPr>
      </w:pPr>
      <w:r>
        <w:t xml:space="preserve">Go to the MCL clusters tab. The MCL page displays information on gene families present across a set of related genomes. You can use it to filter gene families and identify those that fit specific criteria you are interested in.</w:t>
      </w:r>
    </w:p>
    <w:p>
      <w:pPr>
        <w:pStyle w:val="Compact"/>
        <w:numPr>
          <w:ilvl w:val="0"/>
          <w:numId w:val="1079"/>
        </w:numPr>
      </w:pPr>
      <w:r>
        <w:t xml:space="preserve">We can also use this page to search for specific proteins of interest. Using the protein ID you gathered earlier from either mat A-2 or mat A-3, in the</w:t>
      </w:r>
      <w:r>
        <w:t xml:space="preserve"> </w:t>
      </w:r>
      <w:r>
        <w:t xml:space="preserve">‘filter by keywords’</w:t>
      </w:r>
      <w:r>
        <w:t xml:space="preserve"> </w:t>
      </w:r>
      <w:r>
        <w:t xml:space="preserve">field, type: portalID.proteinId (e.g. Neucr2.487), then hit enter.</w:t>
      </w:r>
    </w:p>
    <w:p>
      <w:pPr>
        <w:pStyle w:val="Compact"/>
        <w:numPr>
          <w:ilvl w:val="0"/>
          <w:numId w:val="1079"/>
        </w:numPr>
      </w:pPr>
      <w:r>
        <w:t xml:space="preserve">You should see a single cluster appear. It looks like this gene is missing from one of these genomes! Actually, all 3 genes from the mat A locus are missing in this lineage. This is not surprising given what we saw earlier on the genome browser (Step 14 from the</w:t>
      </w:r>
      <w:r>
        <w:t xml:space="preserve"> </w:t>
      </w:r>
      <w:r>
        <w:t xml:space="preserve">‘Finding mat A’</w:t>
      </w:r>
      <w:r>
        <w:t xml:space="preserve"> </w:t>
      </w:r>
      <w:r>
        <w:t xml:space="preserve">section).</w:t>
      </w:r>
    </w:p>
    <w:p>
      <w:pPr>
        <w:pStyle w:val="Compact"/>
        <w:numPr>
          <w:ilvl w:val="0"/>
          <w:numId w:val="1079"/>
        </w:numPr>
      </w:pPr>
      <w:r>
        <w:t xml:space="preserve">Hover over the lineage name and you will get a clue as to why this might be. Specifically, this strain is named Neurospora tetrasperma FGSC 2509 mat a, telling us that the organism lacking these genes is the opposite mate!</w:t>
      </w:r>
    </w:p>
    <w:p>
      <w:pPr>
        <w:pStyle w:val="Compact"/>
        <w:numPr>
          <w:ilvl w:val="0"/>
          <w:numId w:val="1079"/>
        </w:numPr>
      </w:pPr>
      <w:r>
        <w:t xml:space="preserve">You can take a closer look at gene families by clicking on the cluster number to the left of the donut plots (see above figure). This page will show you details on all genes (rows) that are part of this gene family. Click on the synteny view and make some observations.</w:t>
      </w:r>
    </w:p>
    <w:p>
      <w:pPr>
        <w:pStyle w:val="Compact"/>
        <w:numPr>
          <w:ilvl w:val="0"/>
          <w:numId w:val="1079"/>
        </w:numPr>
      </w:pPr>
      <w:r>
        <w:t xml:space="preserve">Genes rearrange all the time in fungi, leading to poor conservation of gene neighborhoods. As you can see from this view, the genes surrounding the mating type locus are an exception, where across all species they tend to keep the same order. Feel free to head back to the full mcl clustering run (here) and click around on some families to see how different it really is!</w:t>
      </w:r>
    </w:p>
    <w:bookmarkEnd w:id="139"/>
    <w:bookmarkStart w:id="140" w:name="finding-mat-a-1"/>
    <w:p>
      <w:pPr>
        <w:pStyle w:val="Heading4"/>
      </w:pPr>
      <w:r>
        <w:t xml:space="preserve">2.1.3.3 Finding mat a</w:t>
      </w:r>
    </w:p>
    <w:p>
      <w:pPr>
        <w:pStyle w:val="FirstParagraph"/>
      </w:pPr>
      <w:r>
        <w:t xml:space="preserve">Let’s repeat this exercise with the mat a locus to confirm our suspicions, but instead of using nucleotide sequence, let’s try another approach: using protein sequence.</w:t>
      </w:r>
    </w:p>
    <w:p>
      <w:pPr>
        <w:pStyle w:val="Compact"/>
        <w:numPr>
          <w:ilvl w:val="0"/>
          <w:numId w:val="1080"/>
        </w:numPr>
      </w:pPr>
      <w:r>
        <w:t xml:space="preserve">Start by searching the NCBI protein database for</w:t>
      </w:r>
      <w:r>
        <w:t xml:space="preserve"> </w:t>
      </w:r>
      <w:r>
        <w:t xml:space="preserve">“mating-type protein Mat a-1, partial Neurospora discreta”</w:t>
      </w:r>
      <w:r>
        <w:t xml:space="preserve"> </w:t>
      </w:r>
      <w:r>
        <w:t xml:space="preserve">and collect the protein sequence.</w:t>
      </w:r>
    </w:p>
    <w:p>
      <w:pPr>
        <w:pStyle w:val="Compact"/>
        <w:numPr>
          <w:ilvl w:val="0"/>
          <w:numId w:val="1080"/>
        </w:numPr>
      </w:pPr>
      <w:r>
        <w:t xml:space="preserve">Let’s find it on the mat a genome portal you found earlier for N. tetrasperma strain FGSC 2509, (https://mycocosm.jgi.doe.gov/Neute_mat_a1).</w:t>
      </w:r>
    </w:p>
    <w:p>
      <w:pPr>
        <w:pStyle w:val="Compact"/>
        <w:numPr>
          <w:ilvl w:val="0"/>
          <w:numId w:val="1080"/>
        </w:numPr>
      </w:pPr>
      <w:r>
        <w:t xml:space="preserve">Can you find the corresponding protein using blastp against the</w:t>
      </w:r>
      <w:r>
        <w:t xml:space="preserve"> </w:t>
      </w:r>
      <w:r>
        <w:t xml:space="preserve">‘Neurospora tetrasperma mat a v1.0 filtered gene models (proteins)’</w:t>
      </w:r>
      <w:r>
        <w:t xml:space="preserve"> </w:t>
      </w:r>
      <w:r>
        <w:t xml:space="preserve">set?</w:t>
      </w:r>
    </w:p>
    <w:p>
      <w:pPr>
        <w:pStyle w:val="Compact"/>
        <w:numPr>
          <w:ilvl w:val="0"/>
          <w:numId w:val="1080"/>
        </w:numPr>
      </w:pPr>
      <w:r>
        <w:t xml:space="preserve">The best hit is to N. tetrasperma protein ID 124723, can you explain why?</w:t>
      </w:r>
    </w:p>
    <w:p>
      <w:pPr>
        <w:pStyle w:val="Compact"/>
        <w:numPr>
          <w:ilvl w:val="0"/>
          <w:numId w:val="1080"/>
        </w:numPr>
      </w:pPr>
      <w:r>
        <w:t xml:space="preserve">Let’s revisit the Neucr2 mcl clustering page and search for this, again by typing portalID.proteinID (e.g. Neute_mat_a1.124723) in the search field.</w:t>
      </w:r>
    </w:p>
    <w:p>
      <w:pPr>
        <w:pStyle w:val="Compact"/>
        <w:numPr>
          <w:ilvl w:val="0"/>
          <w:numId w:val="1080"/>
        </w:numPr>
      </w:pPr>
      <w:r>
        <w:t xml:space="preserve">Do you notice anything different about this cluster compared to the mat-A cluster? Explore this family to learn more - click the on the cluster number (#771) and take a look at the synteny view again.</w:t>
      </w:r>
    </w:p>
    <w:p>
      <w:pPr>
        <w:pStyle w:val="Compact"/>
        <w:numPr>
          <w:ilvl w:val="0"/>
          <w:numId w:val="1080"/>
        </w:numPr>
      </w:pPr>
      <w:r>
        <w:t xml:space="preserve">It looks like our mat a gene is found in a region that is not present in any of the others, which are all the opposite mating type (mat A)!</w:t>
      </w:r>
    </w:p>
    <w:p>
      <w:pPr>
        <w:pStyle w:val="Compact"/>
        <w:numPr>
          <w:ilvl w:val="0"/>
          <w:numId w:val="1080"/>
        </w:numPr>
      </w:pPr>
      <w:r>
        <w:t xml:space="preserve">With this information, we can say that all our current evidence supports our hypothesis that fungal mating types are driven by presence/absence of specific genes, mat a and A in particular!</w:t>
      </w:r>
    </w:p>
    <w:bookmarkEnd w:id="140"/>
    <w:bookmarkStart w:id="141" w:name="X9715fd3f99632550ef0fc5fc1a10ffe328f1a6c"/>
    <w:p>
      <w:pPr>
        <w:pStyle w:val="Heading4"/>
      </w:pPr>
      <w:r>
        <w:t xml:space="preserve">2.1.3.4 Annotating mating type loci in Myco-Ed (and related) genomes</w:t>
      </w:r>
    </w:p>
    <w:p>
      <w:pPr>
        <w:pStyle w:val="FirstParagraph"/>
      </w:pPr>
      <w:r>
        <w:t xml:space="preserve">Let’s apply what you learned! Pick a MycoEd genome from our group portal - can you identify its mating type and find the mating type locus?</w:t>
      </w:r>
    </w:p>
    <w:p>
      <w:pPr>
        <w:pStyle w:val="Compact"/>
        <w:numPr>
          <w:ilvl w:val="0"/>
          <w:numId w:val="1081"/>
        </w:numPr>
      </w:pPr>
      <w:r>
        <w:t xml:space="preserve">Identify mating type genes from a related fungus on NCBI and go through this exercise again on your own. Note that not all mating type genes will be the same as those from N. crassa. Consequently, using the mat a or A genes you identified earlier as bait might not work to fish out mating type genes in other groups of fungi. You will have to find these on your own!</w:t>
      </w:r>
    </w:p>
    <w:p>
      <w:pPr>
        <w:pStyle w:val="Compact"/>
        <w:numPr>
          <w:ilvl w:val="0"/>
          <w:numId w:val="1081"/>
        </w:numPr>
      </w:pPr>
      <w:r>
        <w:t xml:space="preserve">If you cannot find a gene to use as bait from NCBI, try using the search function on MycoCosm! Try searching for something like</w:t>
      </w:r>
      <w:r>
        <w:t xml:space="preserve"> </w:t>
      </w:r>
      <w:r>
        <w:t xml:space="preserve">‘mating-type’</w:t>
      </w:r>
      <w:r>
        <w:t xml:space="preserve"> </w:t>
      </w:r>
      <w:r>
        <w:t xml:space="preserve">and see what sorts of annotations come up for the resulting list of genes.</w:t>
      </w:r>
    </w:p>
    <w:p>
      <w:pPr>
        <w:pStyle w:val="Compact"/>
        <w:numPr>
          <w:ilvl w:val="0"/>
          <w:numId w:val="1081"/>
        </w:numPr>
      </w:pPr>
      <w:r>
        <w:t xml:space="preserve">Go through the same exercise to search mcl clusters. Do you see a similar pattern to what we observed in N. crassa?</w:t>
      </w:r>
    </w:p>
    <w:p>
      <w:pPr>
        <w:pStyle w:val="Compact"/>
        <w:numPr>
          <w:ilvl w:val="0"/>
          <w:numId w:val="1081"/>
        </w:numPr>
      </w:pPr>
      <w:r>
        <w:t xml:space="preserve">For these MycoEd genomes, you can add your own text to describe what you discovered about any particular gene! This will be of great value to the scientific community, especially those studying fungal sexual reproduction.</w:t>
      </w:r>
    </w:p>
    <w:p>
      <w:pPr>
        <w:pStyle w:val="Compact"/>
        <w:numPr>
          <w:ilvl w:val="0"/>
          <w:numId w:val="1081"/>
        </w:numPr>
      </w:pPr>
      <w:r>
        <w:t xml:space="preserve">Once you have identified the mating type locus, go to the corresponding protein page and click</w:t>
      </w:r>
      <w:r>
        <w:t xml:space="preserve"> </w:t>
      </w:r>
      <w:r>
        <w:t xml:space="preserve">‘view/modify manual annotation’</w:t>
      </w:r>
      <w:r>
        <w:t xml:space="preserve">.</w:t>
      </w:r>
    </w:p>
    <w:p>
      <w:pPr>
        <w:pStyle w:val="Compact"/>
        <w:numPr>
          <w:ilvl w:val="0"/>
          <w:numId w:val="1081"/>
        </w:numPr>
      </w:pPr>
      <w:r>
        <w:t xml:space="preserve">Next, add your description! You should see</w:t>
      </w:r>
      <w:r>
        <w:t xml:space="preserve"> </w:t>
      </w:r>
      <w:r>
        <w:t xml:space="preserve">‘add/edit’</w:t>
      </w:r>
      <w:r>
        <w:t xml:space="preserve"> </w:t>
      </w:r>
      <w:r>
        <w:t xml:space="preserve">buttons on the next page. For the</w:t>
      </w:r>
      <w:r>
        <w:t xml:space="preserve"> </w:t>
      </w:r>
      <w:r>
        <w:t xml:space="preserve">‘Description’</w:t>
      </w:r>
      <w:r>
        <w:t xml:space="preserve"> </w:t>
      </w:r>
      <w:r>
        <w:t xml:space="preserve">attribute, select</w:t>
      </w:r>
      <w:r>
        <w:t xml:space="preserve"> </w:t>
      </w:r>
      <w:r>
        <w:t xml:space="preserve">‘add’</w:t>
      </w:r>
      <w:r>
        <w:t xml:space="preserve">, then enter details on what you discovered about that gene and hit</w:t>
      </w:r>
      <w:r>
        <w:t xml:space="preserve"> </w:t>
      </w:r>
      <w:r>
        <w:t xml:space="preserve">‘save item’</w:t>
      </w:r>
      <w:r>
        <w:t xml:space="preserve">. For example, if you found mat A-1, a useful description would be</w:t>
      </w:r>
      <w:r>
        <w:t xml:space="preserve"> </w:t>
      </w:r>
      <w:r>
        <w:t xml:space="preserve">‘mating type protein A-1’</w:t>
      </w:r>
      <w:r>
        <w:t xml:space="preserve">.</w:t>
      </w:r>
    </w:p>
    <w:p>
      <w:pPr>
        <w:pStyle w:val="Compact"/>
        <w:numPr>
          <w:ilvl w:val="0"/>
          <w:numId w:val="1081"/>
        </w:numPr>
      </w:pPr>
      <w:r>
        <w:t xml:space="preserve">Your name will be associated with your entry and by the following day, it will become searchable across the portal! This means anyone who visits this genome can easily find mating type loci, and know who to thank (you!) for this work.</w:t>
      </w:r>
    </w:p>
    <w:p>
      <w:pPr>
        <w:pStyle w:val="Compact"/>
        <w:numPr>
          <w:ilvl w:val="0"/>
          <w:numId w:val="1081"/>
        </w:numPr>
      </w:pPr>
      <w:r>
        <w:t xml:space="preserve">Using your exploration of MCL clusters, you might also be able to characterize mating type loci in related fungi. If you do, please share the identified portal, protein ID, and your text description with your instructor. In addition, please share your name and email address so we can attribute these discoveries to you!</w:t>
      </w:r>
    </w:p>
    <w:bookmarkEnd w:id="141"/>
    <w:bookmarkEnd w:id="142"/>
    <w:bookmarkEnd w:id="143"/>
    <w:bookmarkStart w:id="152" w:name="Xe7b646958662d93788a5fac43551e0623449021"/>
    <w:p>
      <w:pPr>
        <w:pStyle w:val="Heading2"/>
      </w:pPr>
      <w:r>
        <w:t xml:space="preserve">2.2 Module 7.2 – Fungal Natural Product Production Genomic Analysis</w:t>
      </w:r>
    </w:p>
    <w:bookmarkStart w:id="144" w:name="introduction-6"/>
    <w:p>
      <w:pPr>
        <w:pStyle w:val="Heading3"/>
      </w:pPr>
      <w:r>
        <w:t xml:space="preserve">2.2.1 Introduction</w:t>
      </w:r>
    </w:p>
    <w:p>
      <w:pPr>
        <w:pStyle w:val="FirstParagraph"/>
      </w:pPr>
      <w:r>
        <w:t xml:space="preserve">Fungi are famous producers of natural products that become new drugs, including anticancer agents (Kumar et al., 2019), cholesterol-reducing products (Seenivasan et al., 2008), and a variety of diverse antibiotics. One of the most famous examples is penicillin, the first antibiotic. Discovered by Alexander Fleming in 1929 as a fungal contaminant on his bacterial cultures, his observation that the fungus (Penicillium rubrum; reclassified later as P. chrysogenum) could kill bacteria (Fleming, 1929) led to the development of penicillin, saving countless lives during World War II and beyond. Like most of these interesting fungal products, they are secondary metabolites. Secondary metabolites are typically produced by organisms to provide a competitive advantage in a given environment (e.g., antibacterials for protection, toxins for causing disease, etc).</w:t>
      </w:r>
    </w:p>
    <w:p>
      <w:pPr>
        <w:pStyle w:val="BodyText"/>
      </w:pPr>
      <w:r>
        <w:t xml:space="preserve">Core to the production of any secondary metabolite is a</w:t>
      </w:r>
      <w:r>
        <w:t xml:space="preserve"> </w:t>
      </w:r>
      <w:r>
        <w:t xml:space="preserve">‘backbone’</w:t>
      </w:r>
      <w:r>
        <w:t xml:space="preserve"> </w:t>
      </w:r>
      <w:r>
        <w:t xml:space="preserve">gene. These backbone genes can be very strange, such as Non-Ribosomal Peptide Synthetases (NRPSs), which are specialized machines that enable the formation of non-standard products. This can even include amino acids outside of the standard 20 essential for life! NRPSs are large proteins that contain repeated modules, each including an Adenylation (A), Peptide Carrier Protein (PCP), and condensation (C) domain (Streiker et al., 2010). Combined, these allow the NRPS to add amino acids to a growing chain, producing unique molecules. These molecules are then tweaked by decorating enzymes (Keller, 2019) that modify whatever the backbone gene produces, allowing fungi to produce a multitude of bizarre molecules that can wreak havoc in other cells! Decorating genes are physically located next to backbone genes, allowing us to define Biosynthetic Gene Clusters (BGCs) responsible for the production of specific metabolites.</w:t>
      </w:r>
    </w:p>
    <w:p>
      <w:pPr>
        <w:pStyle w:val="BodyText"/>
      </w:pPr>
      <w:r>
        <w:t xml:space="preserve">In this exercise, let’s follow up on Alexander Fleming’s discovery and find the BGC that controls penicillin production. We will then use comparative genomic approaches to discover other fungi that are likely producers of penicillin and variants thereof (which could be candidates for creating exciting new antibiotics), then apply our knowledge to characterize new, unexplored BGCs!</w:t>
      </w:r>
    </w:p>
    <w:p>
      <w:pPr>
        <w:pStyle w:val="BodyText"/>
      </w:pPr>
      <w:r>
        <w:t xml:space="preserve">What we know for this exercise: From Fleming’s work, we know penicillin is produced by Penicillium chrysogenum. An NRPS is responsible for penicillin production and in P. chrysogenum the penicillin BGC contains three genes: pcbAB, pcbC, and penDE. Which of these is the backbone gene? Can we find it in related Penicillium genomes? Can you identify any fungi that might produce novel penicillin variants? Using comparative genomics approaches, let’s begin by identifying the penicillin BGC in P. chrysogenum, then formulate hypotheses and learn about its distribution across fungi. The same approach can be used to characterize diversity and distribution of other BGCs, even ones where we don’t know the metabolite they produce yet!</w:t>
      </w:r>
    </w:p>
    <w:bookmarkEnd w:id="144"/>
    <w:bookmarkStart w:id="145" w:name="references-1"/>
    <w:p>
      <w:pPr>
        <w:pStyle w:val="Heading3"/>
      </w:pPr>
      <w:r>
        <w:t xml:space="preserve">2.2.2 References</w:t>
      </w:r>
    </w:p>
    <w:p>
      <w:pPr>
        <w:pStyle w:val="Compact"/>
        <w:numPr>
          <w:ilvl w:val="0"/>
          <w:numId w:val="1082"/>
        </w:numPr>
      </w:pPr>
      <w:r>
        <w:t xml:space="preserve">Kumar, P., Singh, B., Thakur, V., Thakur, A., Thakur, N., Pandey, D., Chanda, D., 2019. Hyper-production of taxol from Aspergillus fumigatus, an endophytic fungus isolated from Taxus sp. of the Northern Himalayan region. Biotechnol Rep (Amst). doi: 10.1016/j.btre.2019.e00395</w:t>
      </w:r>
    </w:p>
    <w:p>
      <w:pPr>
        <w:pStyle w:val="Compact"/>
        <w:numPr>
          <w:ilvl w:val="0"/>
          <w:numId w:val="1082"/>
        </w:numPr>
      </w:pPr>
      <w:r>
        <w:t xml:space="preserve">Seenivasan, A., Subhagar, S., Aravindan, R., Viruthagiri, T., 2008. Microbial Production and Biomedical Applications of Lovastatin. Indian J Pharm Sci. 2008, doi: 10.4103/0250-474X.49087</w:t>
      </w:r>
    </w:p>
    <w:p>
      <w:pPr>
        <w:pStyle w:val="Compact"/>
        <w:numPr>
          <w:ilvl w:val="0"/>
          <w:numId w:val="1082"/>
        </w:numPr>
      </w:pPr>
      <w:r>
        <w:t xml:space="preserve">Fleming, A., 1929. On the Antibacterial Action of Cultures of a Penicillium, with Special Reference to their Use in the Isolation of B. influenzæ. Br J Exp Pathol. 1929 Jun; 10(3): 226–236</w:t>
      </w:r>
    </w:p>
    <w:p>
      <w:pPr>
        <w:pStyle w:val="Compact"/>
        <w:numPr>
          <w:ilvl w:val="0"/>
          <w:numId w:val="1082"/>
        </w:numPr>
      </w:pPr>
      <w:r>
        <w:t xml:space="preserve">Strieker, M., Tanovic, A., Marahiel, M.A., 2010. Nonribosomal peptide synthetases: structures and dynamics. Current Opinion in Structural Biology 2010, 20:234–240</w:t>
      </w:r>
    </w:p>
    <w:p>
      <w:pPr>
        <w:pStyle w:val="Compact"/>
        <w:numPr>
          <w:ilvl w:val="0"/>
          <w:numId w:val="1082"/>
        </w:numPr>
      </w:pPr>
      <w:r>
        <w:t xml:space="preserve">Keller, N., 2019. Fungal secondary metabolism: regulation, function and drug discovery. Nature Reviews Microbiology, 17(3): 167–180. doi: 10.1038/s41579-018-0121-1</w:t>
      </w:r>
    </w:p>
    <w:bookmarkEnd w:id="145"/>
    <w:bookmarkStart w:id="148" w:name="X31643484012ee51f67fd2def9a4608ddd3c7490"/>
    <w:p>
      <w:pPr>
        <w:pStyle w:val="Heading3"/>
      </w:pPr>
      <w:r>
        <w:t xml:space="preserve">2.2.3 Finding the Penicillin Biosynthetic Gene Cluster</w:t>
      </w:r>
    </w:p>
    <w:bookmarkStart w:id="146" w:name="X27e5a65183f9483aec43514a5289c555b8e099a"/>
    <w:p>
      <w:pPr>
        <w:pStyle w:val="Heading4"/>
      </w:pPr>
      <w:r>
        <w:t xml:space="preserve">2.2.3.1 Locate the known cluster in P. chrysogenum</w:t>
      </w:r>
    </w:p>
    <w:p>
      <w:pPr>
        <w:pStyle w:val="Compact"/>
        <w:numPr>
          <w:ilvl w:val="0"/>
          <w:numId w:val="1083"/>
        </w:numPr>
      </w:pPr>
      <w:r>
        <w:t xml:space="preserve">To start, let’s retrieve a sequence from NCBI that can help us locate the Penicillin BGC. We know there are 3 genes in this cluster: pcbAB, pcbC, and penDE. Go to NCBI (https://www.ncbi.nlm.nih.gov/) and search the</w:t>
      </w:r>
      <w:r>
        <w:t xml:space="preserve"> </w:t>
      </w:r>
      <w:r>
        <w:t xml:space="preserve">‘Nucleotide’</w:t>
      </w:r>
      <w:r>
        <w:t xml:space="preserve"> </w:t>
      </w:r>
      <w:r>
        <w:t xml:space="preserve">database for pcbAB</w:t>
      </w:r>
    </w:p>
    <w:p>
      <w:pPr>
        <w:pStyle w:val="Compact"/>
        <w:numPr>
          <w:ilvl w:val="0"/>
          <w:numId w:val="1083"/>
        </w:numPr>
      </w:pPr>
      <w:r>
        <w:t xml:space="preserve">Select the first record, titled</w:t>
      </w:r>
      <w:r>
        <w:t xml:space="preserve"> </w:t>
      </w:r>
      <w:r>
        <w:t xml:space="preserve">“Penicillium chrysogenum PcbC (pcbC) gene, partial cds; pcbC-pcbAB intergenic spacer, complete sequence; and PcbAB (pcbAB) gene, partial cds”</w:t>
      </w:r>
      <w:r>
        <w:t xml:space="preserve">. This corresponds mostly to the DNA in between pcbC and pcbAB, which will be a great tool for identifying very similar regions in other genomes!</w:t>
      </w:r>
    </w:p>
    <w:p>
      <w:pPr>
        <w:pStyle w:val="Compact"/>
        <w:numPr>
          <w:ilvl w:val="0"/>
          <w:numId w:val="1083"/>
        </w:numPr>
      </w:pPr>
      <w:r>
        <w:t xml:space="preserve">Click the</w:t>
      </w:r>
      <w:r>
        <w:t xml:space="preserve"> </w:t>
      </w:r>
      <w:r>
        <w:t xml:space="preserve">‘FASTA’</w:t>
      </w:r>
      <w:r>
        <w:t xml:space="preserve"> </w:t>
      </w:r>
      <w:r>
        <w:t xml:space="preserve">button to see the nucleotide sequence, then copy the sequence.</w:t>
      </w:r>
    </w:p>
    <w:p>
      <w:pPr>
        <w:pStyle w:val="Compact"/>
        <w:numPr>
          <w:ilvl w:val="0"/>
          <w:numId w:val="1083"/>
        </w:numPr>
      </w:pPr>
      <w:r>
        <w:t xml:space="preserve">Now, let’s find this region in the Penicillium chrysogenum genome in MycoCosm using BLAST. Here, we can browse the genome and conduct comparative analyses across related fungi. Go to the Penicillium chrysogenum genome portal (https://mycocosm.jgi.doe.gov/Pench1) and click on the BLAST tab.</w:t>
      </w:r>
    </w:p>
    <w:p>
      <w:pPr>
        <w:pStyle w:val="Compact"/>
        <w:numPr>
          <w:ilvl w:val="0"/>
          <w:numId w:val="1083"/>
        </w:numPr>
      </w:pPr>
      <w:r>
        <w:t xml:space="preserve">Paste in your nucleotide sequence and conduct a blastn analysis against the assembly. Remember, we are using the sequence that mostly falls between two genes here to locate our region of interest, so we need to search the assembly instead of the available gene model sets.</w:t>
      </w:r>
    </w:p>
    <w:p>
      <w:pPr>
        <w:pStyle w:val="Compact"/>
        <w:numPr>
          <w:ilvl w:val="0"/>
          <w:numId w:val="1083"/>
        </w:numPr>
      </w:pPr>
      <w:r>
        <w:t xml:space="preserve">You should see a single hit! Click on the coordinates to view this region of the genome.</w:t>
      </w:r>
    </w:p>
    <w:p>
      <w:pPr>
        <w:pStyle w:val="Compact"/>
        <w:numPr>
          <w:ilvl w:val="0"/>
          <w:numId w:val="1083"/>
        </w:numPr>
      </w:pPr>
      <w:r>
        <w:t xml:space="preserve">Of course, we are searching for DNA that is mostly found in between these penicillin-related genes. Click -10x to get a bigger view of this locus.</w:t>
      </w:r>
    </w:p>
    <w:p>
      <w:pPr>
        <w:pStyle w:val="Compact"/>
        <w:numPr>
          <w:ilvl w:val="0"/>
          <w:numId w:val="1083"/>
        </w:numPr>
      </w:pPr>
      <w:r>
        <w:t xml:space="preserve">Excellent! You just found the Penicillin Biosynthetic Gene Cluster (scaffold_1:6815459-6827128)! You will notice that there is no nucleotide conservation with the genomes presented in the Vista tracks at the top of the page. Let’s expand the GeneCatalog by clicking on the</w:t>
      </w:r>
      <w:r>
        <w:t xml:space="preserve"> </w:t>
      </w:r>
      <w:r>
        <w:t xml:space="preserve">‘+’</w:t>
      </w:r>
      <w:r>
        <w:t xml:space="preserve"> </w:t>
      </w:r>
      <w:r>
        <w:t xml:space="preserve">next to the track and look at a few of these genes.</w:t>
      </w:r>
    </w:p>
    <w:p>
      <w:pPr>
        <w:pStyle w:val="Compact"/>
        <w:numPr>
          <w:ilvl w:val="0"/>
          <w:numId w:val="1083"/>
        </w:numPr>
      </w:pPr>
      <w:r>
        <w:t xml:space="preserve">In this region of the genome, you can see 4 genes. To learn more about what these might do, we can look at their protein pages. You can get to the protein page by clicking on the gene, then selecting</w:t>
      </w:r>
      <w:r>
        <w:t xml:space="preserve"> </w:t>
      </w:r>
      <w:r>
        <w:t xml:space="preserve">‘feature’</w:t>
      </w:r>
      <w:r>
        <w:t xml:space="preserve"> </w:t>
      </w:r>
      <w:r>
        <w:t xml:space="preserve">web page (or center mouse click on the gene to open it in a new tab). For convenience, here are links to the protein pages for all 4 genes in this region, named by their protein IDs (which are the main identifiers used within MycoCosm): 67014, 32451, 67324, 22458</w:t>
      </w:r>
    </w:p>
    <w:p>
      <w:pPr>
        <w:pStyle w:val="Compact"/>
        <w:numPr>
          <w:ilvl w:val="0"/>
          <w:numId w:val="1083"/>
        </w:numPr>
      </w:pPr>
      <w:r>
        <w:t xml:space="preserve">As the backbone gene is central to the production of a specific secondary metabolite, let’s use it to discover other fungi that might make similar products! On the 22458 protein page, click on the green bar underneath the domain information section (see figure immediately above). Copy this sequence to your clipboard, we will use it in the next section.</w:t>
      </w:r>
    </w:p>
    <w:bookmarkEnd w:id="146"/>
    <w:bookmarkStart w:id="147" w:name="X3367d9de4d4452f0e4500f817aabeb87e960cf9"/>
    <w:p>
      <w:pPr>
        <w:pStyle w:val="Heading4"/>
      </w:pPr>
      <w:r>
        <w:t xml:space="preserve">2.2.3.2 Find candidate Penicillin BGCs in related fungi</w:t>
      </w:r>
    </w:p>
    <w:p>
      <w:pPr>
        <w:pStyle w:val="Compact"/>
        <w:numPr>
          <w:ilvl w:val="0"/>
          <w:numId w:val="1084"/>
        </w:numPr>
      </w:pPr>
      <w:r>
        <w:t xml:space="preserve">With our NRPS bait in hand, let’s try to fish out similar genes in related fungi! But before we do, do you have any hypotheses about how often it will be found?</w:t>
      </w:r>
    </w:p>
    <w:p>
      <w:pPr>
        <w:pStyle w:val="Compact"/>
        <w:numPr>
          <w:ilvl w:val="0"/>
          <w:numId w:val="1084"/>
        </w:numPr>
      </w:pPr>
      <w:r>
        <w:t xml:space="preserve">On MycoCosm, you can view individual genomes, or analyze groups of them simultaneously. There are several group page categories, including: Project groups, which contain genomes associated with specific research projects. For example, our own MycoEd project group! EcoGroups, which contain genomes of organisms with shared ecology, e.g. plant pathogenic fungi. PhyloGroups, which contain genomes of taxonomically related organisms.</w:t>
      </w:r>
    </w:p>
    <w:p>
      <w:pPr>
        <w:pStyle w:val="Compact"/>
        <w:numPr>
          <w:ilvl w:val="0"/>
          <w:numId w:val="1084"/>
        </w:numPr>
      </w:pPr>
      <w:r>
        <w:t xml:space="preserve">You can access groups either using the Groups pulldown menu on the MycoCosm homepage, or if you know the group of interest you can type it into the url. For this exercise, let’s visit the Penicillium phylogroup page.</w:t>
      </w:r>
    </w:p>
    <w:p>
      <w:pPr>
        <w:pStyle w:val="Compact"/>
        <w:numPr>
          <w:ilvl w:val="0"/>
          <w:numId w:val="1084"/>
        </w:numPr>
      </w:pPr>
      <w:r>
        <w:t xml:space="preserve">You can see we have over 70 Penicillium genomes available for comparative analysis! Genomes are colored differently based on their status, red = private, only available to you and your colleagues, white = publicly available, green = published.</w:t>
      </w:r>
    </w:p>
    <w:p>
      <w:pPr>
        <w:pStyle w:val="Compact"/>
        <w:numPr>
          <w:ilvl w:val="0"/>
          <w:numId w:val="1084"/>
        </w:numPr>
      </w:pPr>
      <w:r>
        <w:t xml:space="preserve">With so many genomes available, we have a great dataset with which we can test our hypothesis that all Penicillium produce penicillin! There are several routes we can take to explore this, but for this exercise let’s again use BLAST. On group pages, this tool allows us to search all these genomes simultaneously. Click on the BLAST tab to get started.</w:t>
      </w:r>
    </w:p>
    <w:p>
      <w:pPr>
        <w:pStyle w:val="Compact"/>
        <w:numPr>
          <w:ilvl w:val="0"/>
          <w:numId w:val="1084"/>
        </w:numPr>
      </w:pPr>
      <w:r>
        <w:t xml:space="preserve">Paste the protein sequence you copied from the P. chrysogenum Penicillin NRPS into the query sequence box. Select the blastp alignment program and the Gene Catalog protein database. Confirm that your search criteria are correct, then click</w:t>
      </w:r>
      <w:r>
        <w:t xml:space="preserve"> </w:t>
      </w:r>
      <w:r>
        <w:t xml:space="preserve">‘Run blastp’</w:t>
      </w:r>
      <w:r>
        <w:t xml:space="preserve">. Note that this is a large protein and we are searching a lot of genomes, so this might take a few minutes.</w:t>
      </w:r>
    </w:p>
    <w:p>
      <w:pPr>
        <w:pStyle w:val="Compact"/>
        <w:numPr>
          <w:ilvl w:val="0"/>
          <w:numId w:val="1084"/>
        </w:numPr>
      </w:pPr>
      <w:r>
        <w:t xml:space="preserve">After a few minutes, you should see results. We get a lot of hits (1,929 of them!). The top hit should almost always be to the original backbone gene you selected. To assess quality take a look at the alignment, which shows how well the hits cover your query sequence. Also take a look at the</w:t>
      </w:r>
      <w:r>
        <w:t xml:space="preserve"> </w:t>
      </w:r>
      <w:r>
        <w:t xml:space="preserve">‘Score’</w:t>
      </w:r>
      <w:r>
        <w:t xml:space="preserve">. The higher the score, the better.</w:t>
      </w:r>
    </w:p>
    <w:p>
      <w:pPr>
        <w:pStyle w:val="Compact"/>
        <w:numPr>
          <w:ilvl w:val="0"/>
          <w:numId w:val="1084"/>
        </w:numPr>
      </w:pPr>
      <w:r>
        <w:t xml:space="preserve">Can you find where hit quality begins to drop off? You can see by just looking at the top 10 that quality drops off really fast!</w:t>
      </w:r>
    </w:p>
    <w:p>
      <w:pPr>
        <w:pStyle w:val="Compact"/>
        <w:numPr>
          <w:ilvl w:val="0"/>
          <w:numId w:val="1084"/>
        </w:numPr>
      </w:pPr>
      <w:r>
        <w:t xml:space="preserve">Where to define cutoffs is somewhat arbitrary and depends on your research question. For this exercise, let’s keep it simple and set this cutoff by calculating a Blast Score Ratio (BSR; Rasko et al., 2005). By dividing a given score by the score of the query against itself, we can get a feel for how good a match is compared to the best possible match.</w:t>
      </w:r>
    </w:p>
    <w:p>
      <w:pPr>
        <w:pStyle w:val="Compact"/>
        <w:numPr>
          <w:ilvl w:val="0"/>
          <w:numId w:val="1084"/>
        </w:numPr>
      </w:pPr>
      <w:r>
        <w:t xml:space="preserve">With this new information, let’s revisit our hypothesis. Given that we see only 7 really good matches to the penicillin NRPS out of the ~70 available genomes, it seems that our first hypothesis was incorrect, meaning not all Penicillium species produce penicillin.</w:t>
      </w:r>
    </w:p>
    <w:p>
      <w:pPr>
        <w:pStyle w:val="Compact"/>
        <w:numPr>
          <w:ilvl w:val="0"/>
          <w:numId w:val="1084"/>
        </w:numPr>
      </w:pPr>
      <w:r>
        <w:t xml:space="preserve">Let’s revise it! Maybe the Penicillium genus is too diverse and only a small subset of closely related fungi can produce this product! Perhaps a compelling new hypothesis would be that all penicillin producers are closely related evolutionarily.</w:t>
      </w:r>
    </w:p>
    <w:p>
      <w:pPr>
        <w:pStyle w:val="Compact"/>
        <w:numPr>
          <w:ilvl w:val="0"/>
          <w:numId w:val="1084"/>
        </w:numPr>
      </w:pPr>
      <w:r>
        <w:t xml:space="preserve">Record the names in the organism column from our BLAST output for the top 7 hits. We can use the precomputed phylogenetic tree from the</w:t>
      </w:r>
      <w:r>
        <w:t xml:space="preserve"> </w:t>
      </w:r>
      <w:r>
        <w:t xml:space="preserve">‘TREE’</w:t>
      </w:r>
      <w:r>
        <w:t xml:space="preserve"> </w:t>
      </w:r>
      <w:r>
        <w:t xml:space="preserve">tab to continue our exploration and test whether they are closely related or not.</w:t>
      </w:r>
    </w:p>
    <w:p>
      <w:pPr>
        <w:pStyle w:val="Compact"/>
        <w:numPr>
          <w:ilvl w:val="0"/>
          <w:numId w:val="1084"/>
        </w:numPr>
      </w:pPr>
      <w:r>
        <w:t xml:space="preserve">Open the</w:t>
      </w:r>
      <w:r>
        <w:t xml:space="preserve"> </w:t>
      </w:r>
      <w:r>
        <w:t xml:space="preserve">‘TREE’</w:t>
      </w:r>
      <w:r>
        <w:t xml:space="preserve"> </w:t>
      </w:r>
      <w:r>
        <w:t xml:space="preserve">tab, either in a separate tab or a new window so you can easily see both your blast results and the phylogeny.</w:t>
      </w:r>
    </w:p>
    <w:p>
      <w:pPr>
        <w:pStyle w:val="Compact"/>
        <w:numPr>
          <w:ilvl w:val="0"/>
          <w:numId w:val="1084"/>
        </w:numPr>
      </w:pPr>
      <w:r>
        <w:t xml:space="preserve">Here, we will see a pre-computed phylogenetic tree showing evolutionary relationships within this PhyloGroup. The node colors on the tree indicate support values, green: 1.0, orange: ≥ 0.7, red: &lt; 0.7, white: no support. This phylogenetic tree is generated based on amino acid sequence alignments from hundreds to thousands of proteins across these fungi. If a particular node is well supported, it means that a lot of the underlying sequence alignment agrees with the relationships shown in that part of the tree. In contrast, if support is low, we should be suspicious of the relationships depicted there.</w:t>
      </w:r>
    </w:p>
    <w:p>
      <w:pPr>
        <w:pStyle w:val="Compact"/>
        <w:numPr>
          <w:ilvl w:val="0"/>
          <w:numId w:val="1084"/>
        </w:numPr>
      </w:pPr>
      <w:r>
        <w:t xml:space="preserve">At the top of the page is a search box where we can type in some of our organisms of interest to see where they are on the tree. Try typing in Penicillium chrysogenum. Hit enter (or the</w:t>
      </w:r>
      <w:r>
        <w:t xml:space="preserve"> </w:t>
      </w:r>
      <w:r>
        <w:t xml:space="preserve">‘Filter’</w:t>
      </w:r>
      <w:r>
        <w:t xml:space="preserve"> </w:t>
      </w:r>
      <w:r>
        <w:t xml:space="preserve">button) and see what happens!</w:t>
      </w:r>
    </w:p>
    <w:p>
      <w:pPr>
        <w:pStyle w:val="Compact"/>
        <w:numPr>
          <w:ilvl w:val="0"/>
          <w:numId w:val="1084"/>
        </w:numPr>
      </w:pPr>
      <w:r>
        <w:t xml:space="preserve">You will see that the tree compresses and highlights the lineages that match your search, in this case, strains of P. chrysogenum. Everything else will be grayed out. Click</w:t>
      </w:r>
      <w:r>
        <w:t xml:space="preserve"> </w:t>
      </w:r>
      <w:r>
        <w:t xml:space="preserve">‘Expand All’</w:t>
      </w:r>
      <w:r>
        <w:t xml:space="preserve"> </w:t>
      </w:r>
      <w:r>
        <w:t xml:space="preserve">and you can see where they are in the larger Penicillium tree. Click the clear to restore everything to default colors.</w:t>
      </w:r>
    </w:p>
    <w:p>
      <w:pPr>
        <w:pStyle w:val="Compact"/>
        <w:numPr>
          <w:ilvl w:val="0"/>
          <w:numId w:val="1084"/>
        </w:numPr>
      </w:pPr>
      <w:r>
        <w:t xml:space="preserve">Looking over this tree, can you find the 7 fungi from our BLAST results that contain our intact Penicillin NRPS? Are they found in the same part of the tree, or all over the place?</w:t>
      </w:r>
    </w:p>
    <w:p>
      <w:pPr>
        <w:pStyle w:val="Compact"/>
        <w:numPr>
          <w:ilvl w:val="0"/>
          <w:numId w:val="1084"/>
        </w:numPr>
      </w:pPr>
      <w:r>
        <w:t xml:space="preserve">We can point to 3 clades where this NRPS is found, with most being present in Clade 2 (see above image). However, in all cases there are very close relatives which lack it. Overall, this suggests that the ability to produce penicillin is pretty variable across the Penicillium genus. While phylogeny can provide some clues, it alone cannot be used to predict the ability to produce penicillin.</w:t>
      </w:r>
    </w:p>
    <w:p>
      <w:pPr>
        <w:pStyle w:val="Compact"/>
        <w:numPr>
          <w:ilvl w:val="0"/>
          <w:numId w:val="1084"/>
        </w:numPr>
      </w:pPr>
      <w:r>
        <w:t xml:space="preserve">This tells us that our hypothesis that penicillin producers are all closely related evolutionarily is incorrect (again!) - and that is OK! Based on our current results, we can conclude that penicillin production is both dispensable (as clearly not all Penicillium can make it) and not phylogenetically driven.</w:t>
      </w:r>
    </w:p>
    <w:p>
      <w:pPr>
        <w:pStyle w:val="Compact"/>
        <w:numPr>
          <w:ilvl w:val="0"/>
          <w:numId w:val="1084"/>
        </w:numPr>
      </w:pPr>
      <w:r>
        <w:t xml:space="preserve">This knowledge raises a ton of new hypotheses, such as: i) The Penicillin BGC arose in these fungi due to horizontal gene transfer, ii) The Penicillin BGC is associated with specific ecological niches, iii) The Penicillin BGC is restricted to specific geographic locations, iv) etc… Using MycoCosm, NCBI and other online bioinformatics tools, feel free to explore some of these ideas!</w:t>
      </w:r>
    </w:p>
    <w:bookmarkEnd w:id="147"/>
    <w:bookmarkEnd w:id="148"/>
    <w:bookmarkStart w:id="151" w:name="characterize-myco-ed-bgcs"/>
    <w:p>
      <w:pPr>
        <w:pStyle w:val="Heading3"/>
      </w:pPr>
      <w:r>
        <w:t xml:space="preserve">2.2.4 Characterize Myco-Ed BGCs</w:t>
      </w:r>
    </w:p>
    <w:bookmarkStart w:id="149" w:name="X730d453170a2dce205090ee117776f286330cc7"/>
    <w:p>
      <w:pPr>
        <w:pStyle w:val="Heading4"/>
      </w:pPr>
      <w:r>
        <w:t xml:space="preserve">2.2.4.1 Find interesting BGCs using Secondary Metabolite (SM) clusters page</w:t>
      </w:r>
    </w:p>
    <w:p>
      <w:pPr>
        <w:pStyle w:val="FirstParagraph"/>
      </w:pPr>
      <w:r>
        <w:t xml:space="preserve">Penicillin is a famous example of a fungal natural product. However, fungi are some of the most prolific producers of secondary metabolites worldwide, and there is a lot to discover here! Let’s do some exploratory work and characterize secondary metabolites produced by MycoEd fungi.</w:t>
      </w:r>
    </w:p>
    <w:p>
      <w:pPr>
        <w:pStyle w:val="Compact"/>
        <w:numPr>
          <w:ilvl w:val="0"/>
          <w:numId w:val="1085"/>
        </w:numPr>
      </w:pPr>
      <w:r>
        <w:t xml:space="preserve">Pick a genome from our MycoEd group portal. For these MycoEd genomes, you can add your own text to describe what you discover about any particular gene. This will be of great value to the scientific community, especially those studying fungal natural product diversity!</w:t>
      </w:r>
    </w:p>
    <w:p>
      <w:pPr>
        <w:pStyle w:val="Compact"/>
        <w:numPr>
          <w:ilvl w:val="0"/>
          <w:numId w:val="1085"/>
        </w:numPr>
      </w:pPr>
      <w:r>
        <w:t xml:space="preserve">Keep in mind, what you are doing here is completely new - you might be the first person ever to look at these fungal natural product genes! If you observe something unexpected or cannot find similar genes in related genomes that is OK, and could reveal something very exciting! Documenting your work, manually curating genes (see</w:t>
      </w:r>
      <w:r>
        <w:t xml:space="preserve"> </w:t>
      </w:r>
      <w:r>
        <w:t xml:space="preserve">‘Annotate them!’</w:t>
      </w:r>
      <w:r>
        <w:t xml:space="preserve"> </w:t>
      </w:r>
      <w:r>
        <w:t xml:space="preserve">section, below), and sharing it with your instructor will be a big help to future investigators.</w:t>
      </w:r>
    </w:p>
    <w:p>
      <w:pPr>
        <w:pStyle w:val="Compact"/>
        <w:numPr>
          <w:ilvl w:val="0"/>
          <w:numId w:val="1085"/>
        </w:numPr>
      </w:pPr>
      <w:r>
        <w:t xml:space="preserve">Let’s set a goal to describe the distribution of fungal BGC backbone genes, following the same workflow you just did for penicillin.</w:t>
      </w:r>
    </w:p>
    <w:p>
      <w:pPr>
        <w:pStyle w:val="Compact"/>
        <w:numPr>
          <w:ilvl w:val="0"/>
          <w:numId w:val="1085"/>
        </w:numPr>
      </w:pPr>
      <w:r>
        <w:t xml:space="preserve">Each MycoCosm portal has a secondary metabolite clusters page, which can be used to study these BGCs in greater detail. On the menu bar for any portal, you will see an</w:t>
      </w:r>
      <w:r>
        <w:t xml:space="preserve"> </w:t>
      </w:r>
      <w:r>
        <w:t xml:space="preserve">‘Annotations’</w:t>
      </w:r>
      <w:r>
        <w:t xml:space="preserve"> </w:t>
      </w:r>
      <w:r>
        <w:t xml:space="preserve">pulldown. Click it, then select</w:t>
      </w:r>
      <w:r>
        <w:t xml:space="preserve"> </w:t>
      </w:r>
      <w:r>
        <w:t xml:space="preserve">‘Secondary Metabolism Clusters’</w:t>
      </w:r>
    </w:p>
    <w:p>
      <w:pPr>
        <w:pStyle w:val="Compact"/>
        <w:numPr>
          <w:ilvl w:val="0"/>
          <w:numId w:val="1085"/>
        </w:numPr>
      </w:pPr>
      <w:r>
        <w:t xml:space="preserve">The secondary metabolism clusters page shows a table of BGC counts across a set of closely related genomes. The columns separate different types of backbone genes and the rows are individual genomes. For your MycoEd genome, click on the number in the</w:t>
      </w:r>
      <w:r>
        <w:t xml:space="preserve"> </w:t>
      </w:r>
      <w:r>
        <w:t xml:space="preserve">‘Total’</w:t>
      </w:r>
      <w:r>
        <w:t xml:space="preserve"> </w:t>
      </w:r>
      <w:r>
        <w:t xml:space="preserve">column to see the BGCs found only in this genome, or click on the number within the backbone gene column you are interested in (e.g. NRPS).</w:t>
      </w:r>
    </w:p>
    <w:p>
      <w:pPr>
        <w:pStyle w:val="Compact"/>
        <w:numPr>
          <w:ilvl w:val="0"/>
          <w:numId w:val="1085"/>
        </w:numPr>
      </w:pPr>
      <w:r>
        <w:t xml:space="preserve">The following page will show details on all BGCs found. This includes the type of cluster, the location on the genome and its architecture, including the backbone gene (in color) and nearby predicted decorating enzymes (gray). Note that some clusters might be missing decorating enzymes - this could be real, or we failed to predict them.</w:t>
      </w:r>
    </w:p>
    <w:p>
      <w:pPr>
        <w:pStyle w:val="Compact"/>
        <w:numPr>
          <w:ilvl w:val="0"/>
          <w:numId w:val="1085"/>
        </w:numPr>
      </w:pPr>
      <w:r>
        <w:t xml:space="preserve">Hovering your mouse over the genes in the cartoon will provide information on those proteins. Pick a cluster and repeat our previous exercise to characterize its distribution. You can start by clicking on the backbone gene in the cartoon, which will bring you to the corresponding protein page. Keep this page open in a separate tab for the rest of the exercise, we will revisit it later.</w:t>
      </w:r>
    </w:p>
    <w:p>
      <w:pPr>
        <w:pStyle w:val="Compact"/>
        <w:numPr>
          <w:ilvl w:val="0"/>
          <w:numId w:val="1085"/>
        </w:numPr>
      </w:pPr>
      <w:r>
        <w:t xml:space="preserve">Collect the protein sequence, then search a related MycoCosm Phylogroup. You can find a related group by going to the portal Info page. At the bottom of this screen is a</w:t>
      </w:r>
      <w:r>
        <w:t xml:space="preserve"> </w:t>
      </w:r>
      <w:r>
        <w:t xml:space="preserve">‘Links’</w:t>
      </w:r>
      <w:r>
        <w:t xml:space="preserve"> </w:t>
      </w:r>
      <w:r>
        <w:t xml:space="preserve">section. Select the PhyloGroup containing this organism’s closest relatives, which is at the end of the list. If there are only a few genomes (less than 5), try going one taxonomic level up by returning to the info page and selecting the second to last link.</w:t>
      </w:r>
    </w:p>
    <w:p>
      <w:pPr>
        <w:pStyle w:val="Compact"/>
        <w:numPr>
          <w:ilvl w:val="0"/>
          <w:numId w:val="1085"/>
        </w:numPr>
      </w:pPr>
      <w:r>
        <w:t xml:space="preserve">Start exploring by conducting a BLAST search! If you have a lot of good hits, make sure to increase the number of alignments shown until you see low-quality hits. Click</w:t>
      </w:r>
      <w:r>
        <w:t xml:space="preserve"> </w:t>
      </w:r>
      <w:r>
        <w:t xml:space="preserve">‘Configure this screen’</w:t>
      </w:r>
      <w:r>
        <w:t xml:space="preserve"> </w:t>
      </w:r>
      <w:r>
        <w:t xml:space="preserve">and increase the number of hits shown to a larger number (e.g. 100); see below.</w:t>
      </w:r>
    </w:p>
    <w:p>
      <w:pPr>
        <w:pStyle w:val="Compact"/>
        <w:numPr>
          <w:ilvl w:val="0"/>
          <w:numId w:val="1085"/>
        </w:numPr>
      </w:pPr>
      <w:r>
        <w:t xml:space="preserve">Select any hit that passes the BSR threshold of 0.9 we defined earlier (see Step 9 in the</w:t>
      </w:r>
      <w:r>
        <w:t xml:space="preserve"> </w:t>
      </w:r>
      <w:r>
        <w:t xml:space="preserve">‘Find candidate Penicillin BGCs’</w:t>
      </w:r>
      <w:r>
        <w:t xml:space="preserve"> </w:t>
      </w:r>
      <w:r>
        <w:t xml:space="preserve">section)’ and let’s see where those fungi are on the interactive tree. The interactive tree is produced only once or twice a year, so your chosen MycoEd genome might not be there depending on when you conduct this analysis. That is OK since we are mostly interested in where these other fungi are found.</w:t>
      </w:r>
    </w:p>
    <w:bookmarkEnd w:id="149"/>
    <w:bookmarkStart w:id="150" w:name="annotate-them"/>
    <w:p>
      <w:pPr>
        <w:pStyle w:val="Heading4"/>
      </w:pPr>
      <w:r>
        <w:t xml:space="preserve">2.2.4.2 Annotate them!</w:t>
      </w:r>
    </w:p>
    <w:p>
      <w:pPr>
        <w:pStyle w:val="Compact"/>
        <w:numPr>
          <w:ilvl w:val="0"/>
          <w:numId w:val="1086"/>
        </w:numPr>
      </w:pPr>
      <w:r>
        <w:t xml:space="preserve">Once you have completed your analysis, return to the protein page for your backbone gene and click</w:t>
      </w:r>
      <w:r>
        <w:t xml:space="preserve"> </w:t>
      </w:r>
      <w:r>
        <w:t xml:space="preserve">‘view/modify manual annotation’</w:t>
      </w:r>
      <w:r>
        <w:t xml:space="preserve">.</w:t>
      </w:r>
    </w:p>
    <w:p>
      <w:pPr>
        <w:pStyle w:val="Compact"/>
        <w:numPr>
          <w:ilvl w:val="0"/>
          <w:numId w:val="1086"/>
        </w:numPr>
      </w:pPr>
      <w:r>
        <w:t xml:space="preserve">Next, add your description. You should see</w:t>
      </w:r>
      <w:r>
        <w:t xml:space="preserve"> </w:t>
      </w:r>
      <w:r>
        <w:t xml:space="preserve">‘add/edit’</w:t>
      </w:r>
      <w:r>
        <w:t xml:space="preserve"> </w:t>
      </w:r>
      <w:r>
        <w:t xml:space="preserve">buttons on the next page. For the</w:t>
      </w:r>
      <w:r>
        <w:t xml:space="preserve"> </w:t>
      </w:r>
      <w:r>
        <w:t xml:space="preserve">‘Description’</w:t>
      </w:r>
      <w:r>
        <w:t xml:space="preserve"> </w:t>
      </w:r>
      <w:r>
        <w:t xml:space="preserve">attribute, select</w:t>
      </w:r>
      <w:r>
        <w:t xml:space="preserve"> </w:t>
      </w:r>
      <w:r>
        <w:t xml:space="preserve">‘add’</w:t>
      </w:r>
      <w:r>
        <w:t xml:space="preserve"> </w:t>
      </w:r>
      <w:r>
        <w:t xml:space="preserve">then enter details on what you discovered about that gene and click</w:t>
      </w:r>
      <w:r>
        <w:t xml:space="preserve"> </w:t>
      </w:r>
      <w:r>
        <w:t xml:space="preserve">‘save item’</w:t>
      </w:r>
      <w:r>
        <w:t xml:space="preserve">.</w:t>
      </w:r>
    </w:p>
    <w:p>
      <w:pPr>
        <w:pStyle w:val="Compact"/>
        <w:numPr>
          <w:ilvl w:val="0"/>
          <w:numId w:val="1086"/>
        </w:numPr>
      </w:pPr>
      <w:r>
        <w:t xml:space="preserve">Your name will be associated with your entry and eventually, it will become searchable across the portal! This means anyone who visits this genome can easily retrieve these details (via the search page), and know who to thank (you!) for this work.</w:t>
      </w:r>
    </w:p>
    <w:bookmarkEnd w:id="150"/>
    <w:bookmarkEnd w:id="151"/>
    <w:bookmarkEnd w:id="152"/>
    <w:bookmarkEnd w:id="153"/>
    <w:bookmarkStart w:id="155" w:name="summary"/>
    <w:p>
      <w:pPr>
        <w:pStyle w:val="Heading1"/>
      </w:pPr>
      <w:r>
        <w:t xml:space="preserve">3. Summary</w:t>
      </w:r>
    </w:p>
    <w:p>
      <w:pPr>
        <w:pStyle w:val="FirstParagraph"/>
      </w:pPr>
      <w:r>
        <w:t xml:space="preserve">In summary, this book covers the complete Myco-Ed curriculum for BSC 495: The Hidden World’s Code. Students will gain hands-on experience in fungal biology and genomics, from sample collection and fungal isolation through DNA sequencing, genome assembly, and annotation. By the end of the course, students will have contributed to high-quality fungal reference genomes and developed broadly applicable skills in lab techniques and bioinformatics. More information and course resources are available at the</w:t>
      </w:r>
      <w:r>
        <w:t xml:space="preserve"> </w:t>
      </w:r>
      <w:hyperlink r:id="rId154">
        <w:r>
          <w:rPr>
            <w:rStyle w:val="Hyperlink"/>
          </w:rPr>
          <w:t xml:space="preserve">BSC495-HWC GitHub organization</w:t>
        </w:r>
      </w:hyperlink>
      <w:r>
        <w:t xml:space="preserve">.</w:t>
      </w:r>
    </w:p>
    <w:bookmarkEnd w:id="155"/>
    <w:bookmarkStart w:id="158" w:name="carlos-c.-goller"/>
    <w:p>
      <w:pPr>
        <w:pStyle w:val="Heading1"/>
      </w:pPr>
      <w:r>
        <w:t xml:space="preserve">4. Carlos C. Goller</w:t>
      </w:r>
    </w:p>
    <w:p>
      <w:pPr>
        <w:pStyle w:val="FirstParagraph"/>
      </w:pPr>
      <w:r>
        <w:t xml:space="preserve">Carlos C. Goller, Ph.D. is a Teaching Professor at North Carolina State University in Raleigh, NC. He teaches microbiology, life science, public health, and other fun courses as part of the Department of Biological Sciences. When not playing with</w:t>
      </w:r>
      <w:r>
        <w:t xml:space="preserve"> </w:t>
      </w:r>
      <w:r>
        <w:rPr>
          <w:b/>
          <w:bCs/>
        </w:rPr>
        <w:t xml:space="preserve">Delftia acidovorans</w:t>
      </w:r>
      <w:r>
        <w:t xml:space="preserve"> </w:t>
      </w:r>
      <w:r>
        <w:t xml:space="preserve">or code, Carlos enjoys spending time with his family (Claire Gordy also at NC State, Amada, and Aurelio) and playing with his dog Sunshine.</w:t>
      </w:r>
    </w:p>
    <w:bookmarkStart w:id="156" w:name="education"/>
    <w:p>
      <w:pPr>
        <w:pStyle w:val="Heading2"/>
      </w:pPr>
      <w:r>
        <w:t xml:space="preserve">4.1 Education</w:t>
      </w:r>
    </w:p>
    <w:p>
      <w:pPr>
        <w:pStyle w:val="FirstParagraph"/>
      </w:pPr>
      <w:r>
        <w:t xml:space="preserve">North Carolina State University, Raleigh, NC | Advisor: Dr. Sue Carson | Topic: Biotechnology Education and Curriculum Development</w:t>
      </w:r>
    </w:p>
    <w:p>
      <w:pPr>
        <w:pStyle w:val="BodyText"/>
      </w:pPr>
      <w:r>
        <w:t xml:space="preserve">Duke University Medical Center, Durham, NC | Advisor: Patrick C. Seed | Topic: Bacterial Pathogenesis and Anti-infective Screening</w:t>
      </w:r>
      <w:r>
        <w:t xml:space="preserve"> </w:t>
      </w:r>
      <w:r>
        <w:t xml:space="preserve">The Hartwell Foundation Postdoctoral Fellowship | September 2008 - July 2012</w:t>
      </w:r>
    </w:p>
    <w:p>
      <w:pPr>
        <w:pStyle w:val="BodyText"/>
      </w:pPr>
      <w:r>
        <w:t xml:space="preserve">Emory University, Atlanta, GA | Advisor: Tony Romeo | Topic: Bacterial Biofilm Formation and Regulation</w:t>
      </w:r>
      <w:r>
        <w:t xml:space="preserve"> </w:t>
      </w:r>
      <w:r>
        <w:t xml:space="preserve">Ph.D. in Microbiology and Molecular Genetics | August 2002 - September 2008</w:t>
      </w:r>
    </w:p>
    <w:p>
      <w:pPr>
        <w:pStyle w:val="BodyText"/>
      </w:pPr>
      <w:r>
        <w:t xml:space="preserve">Worcester Polytechnic Institute | Worcester, MA</w:t>
      </w:r>
      <w:r>
        <w:t xml:space="preserve"> </w:t>
      </w:r>
      <w:r>
        <w:t xml:space="preserve">B.S in Biology and Biotechnology | August 1998 - May 2002</w:t>
      </w:r>
    </w:p>
    <w:bookmarkEnd w:id="156"/>
    <w:bookmarkStart w:id="157" w:name="experience"/>
    <w:p>
      <w:pPr>
        <w:pStyle w:val="Heading2"/>
      </w:pPr>
      <w:r>
        <w:t xml:space="preserve">4.2 Experience</w:t>
      </w:r>
    </w:p>
    <w:p>
      <w:pPr>
        <w:pStyle w:val="FirstParagraph"/>
      </w:pPr>
      <w:r>
        <w:t xml:space="preserve">Teaching Professor | North Carolina State University Department of Biological Sciences | 2024 - Present</w:t>
      </w:r>
      <w:r>
        <w:t xml:space="preserve"> </w:t>
      </w:r>
      <w:r>
        <w:t xml:space="preserve">Associate Teaching Professor | North Carolina State University Department of Biological Sciences | 2019 - 2024</w:t>
      </w:r>
      <w:r>
        <w:t xml:space="preserve"> </w:t>
      </w:r>
      <w:r>
        <w:t xml:space="preserve">Assistant Teaching Professor | North Carolina State University Department of Biological Sciences | 2015 - 2019</w:t>
      </w:r>
    </w:p>
    <w:bookmarkEnd w:id="157"/>
    <w:bookmarkEnd w:id="158"/>
    <w:bookmarkStart w:id="161" w:name="references-2"/>
    <w:p>
      <w:pPr>
        <w:pStyle w:val="Heading1"/>
      </w:pPr>
      <w:r>
        <w:t xml:space="preserve">References</w:t>
      </w:r>
    </w:p>
    <w:bookmarkStart w:id="160" w:name="refs"/>
    <w:bookmarkStart w:id="159" w:name="ref-doyle1987"/>
    <w:p>
      <w:pPr>
        <w:pStyle w:val="Bibliography"/>
      </w:pPr>
      <w:r>
        <w:t xml:space="preserve">Doyle, J. J., and J. L. Doyle. 1987.</w:t>
      </w:r>
      <w:r>
        <w:t xml:space="preserve"> </w:t>
      </w:r>
      <w:r>
        <w:t xml:space="preserve">“A Rapid</w:t>
      </w:r>
      <w:r>
        <w:t xml:space="preserve"> </w:t>
      </w:r>
      <w:r>
        <w:t xml:space="preserve">DNA</w:t>
      </w:r>
      <w:r>
        <w:t xml:space="preserve"> </w:t>
      </w:r>
      <w:r>
        <w:t xml:space="preserve">Isolation Procedure from Small Quantities of Fresh Leaf Tissues.”</w:t>
      </w:r>
      <w:r>
        <w:t xml:space="preserve"> </w:t>
      </w:r>
      <w:r>
        <w:rPr>
          <w:i/>
          <w:iCs/>
        </w:rPr>
        <w:t xml:space="preserve">Phytochemical Bulletin</w:t>
      </w:r>
      <w:r>
        <w:t xml:space="preserve"> </w:t>
      </w:r>
      <w:r>
        <w:t xml:space="preserve">19: 11–15.</w:t>
      </w:r>
    </w:p>
    <w:bookmarkEnd w:id="159"/>
    <w:bookmarkEnd w:id="160"/>
    <w:bookmarkEnd w:id="16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821">
    <w:nsid w:val="00A9982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4">
    <w:abstractNumId w:val="992"/>
  </w:num>
  <w:num w:numId="1015">
    <w:abstractNumId w:val="992"/>
  </w:num>
  <w:num w:numId="1016">
    <w:abstractNumId w:val="992"/>
  </w:num>
  <w:num w:numId="1017">
    <w:abstractNumId w:val="992"/>
  </w:num>
  <w:num w:numId="1018">
    <w:abstractNumId w:val="992"/>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3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67" Target="media/rId67.png" /><Relationship Type="http://schemas.openxmlformats.org/officeDocument/2006/relationships/image" Id="rId11" Target="media/rId11.png" /><Relationship Type="http://schemas.openxmlformats.org/officeDocument/2006/relationships/image" Id="rId44" Target="media/rId44.png" /><Relationship Type="http://schemas.openxmlformats.org/officeDocument/2006/relationships/hyperlink" Id="rId24" Target="https://dx.doi.org/10.17504/protocols.io.rm7vzqd5xvx1/v1" TargetMode="External" /><Relationship Type="http://schemas.openxmlformats.org/officeDocument/2006/relationships/hyperlink" Id="rId154" Target="https://github.com/BSC495-HWC" TargetMode="External" /><Relationship Type="http://schemas.openxmlformats.org/officeDocument/2006/relationships/hyperlink" Id="rId10" Target="https://myco-ed.github.io/myco-ed/" TargetMode="External" /><Relationship Type="http://schemas.openxmlformats.org/officeDocument/2006/relationships/hyperlink" Id="rId9" Target="https://quarto.org/docs/books" TargetMode="External" /><Relationship Type="http://schemas.openxmlformats.org/officeDocument/2006/relationships/hyperlink" Id="rId14" Target="module0-slides.html" TargetMode="External" /><Relationship Type="http://schemas.openxmlformats.org/officeDocument/2006/relationships/hyperlink" Id="rId15" Target="module1-slides.html" TargetMode="External" /><Relationship Type="http://schemas.openxmlformats.org/officeDocument/2006/relationships/hyperlink" Id="rId16" Target="module2-slides.html" TargetMode="External" /><Relationship Type="http://schemas.openxmlformats.org/officeDocument/2006/relationships/hyperlink" Id="rId17" Target="module3-slides.html" TargetMode="External" /><Relationship Type="http://schemas.openxmlformats.org/officeDocument/2006/relationships/hyperlink" Id="rId18" Target="module4-slides.html" TargetMode="External" /><Relationship Type="http://schemas.openxmlformats.org/officeDocument/2006/relationships/hyperlink" Id="rId19" Target="module5-slides.html" TargetMode="External" /><Relationship Type="http://schemas.openxmlformats.org/officeDocument/2006/relationships/hyperlink" Id="rId20" Target="module6-slides.html" TargetMode="External" /><Relationship Type="http://schemas.openxmlformats.org/officeDocument/2006/relationships/hyperlink" Id="rId21" Target="module7-slides.html" TargetMode="External" /></Relationships>
</file>

<file path=word/_rels/footnotes.xml.rels><?xml version="1.0" encoding="UTF-8"?><Relationships xmlns="http://schemas.openxmlformats.org/package/2006/relationships"><Relationship Type="http://schemas.openxmlformats.org/officeDocument/2006/relationships/hyperlink" Id="rId24" Target="https://dx.doi.org/10.17504/protocols.io.rm7vzqd5xvx1/v1" TargetMode="External" /><Relationship Type="http://schemas.openxmlformats.org/officeDocument/2006/relationships/hyperlink" Id="rId154" Target="https://github.com/BSC495-HWC" TargetMode="External" /><Relationship Type="http://schemas.openxmlformats.org/officeDocument/2006/relationships/hyperlink" Id="rId10" Target="https://myco-ed.github.io/myco-ed/" TargetMode="External" /><Relationship Type="http://schemas.openxmlformats.org/officeDocument/2006/relationships/hyperlink" Id="rId9" Target="https://quarto.org/docs/books" TargetMode="External" /><Relationship Type="http://schemas.openxmlformats.org/officeDocument/2006/relationships/hyperlink" Id="rId14" Target="module0-slides.html" TargetMode="External" /><Relationship Type="http://schemas.openxmlformats.org/officeDocument/2006/relationships/hyperlink" Id="rId15" Target="module1-slides.html" TargetMode="External" /><Relationship Type="http://schemas.openxmlformats.org/officeDocument/2006/relationships/hyperlink" Id="rId16" Target="module2-slides.html" TargetMode="External" /><Relationship Type="http://schemas.openxmlformats.org/officeDocument/2006/relationships/hyperlink" Id="rId17" Target="module3-slides.html" TargetMode="External" /><Relationship Type="http://schemas.openxmlformats.org/officeDocument/2006/relationships/hyperlink" Id="rId18" Target="module4-slides.html" TargetMode="External" /><Relationship Type="http://schemas.openxmlformats.org/officeDocument/2006/relationships/hyperlink" Id="rId19" Target="module5-slides.html" TargetMode="External" /><Relationship Type="http://schemas.openxmlformats.org/officeDocument/2006/relationships/hyperlink" Id="rId20" Target="module6-slides.html" TargetMode="External" /><Relationship Type="http://schemas.openxmlformats.org/officeDocument/2006/relationships/hyperlink" Id="rId21" Target="module7-slide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BSC 495: The Hidden World’s Code</dc:title>
  <dc:creator>Carlos C. Goller, Ph.D.</dc:creator>
  <dc:description>This lab-based course is a high-impact experience based on The Mycological Curriculum for Education and Discovery (Myco-Ed), a Course-Based Undergraduate Research Experience (CURE) that features team-based, hands-on experiments in fungal biology and genomics. You will learn new laboratory techniques and data analysis by starting with sample collection, fungal isolation, and the characterization of the resulting data to improve fungal genomic resources. Genomic DNA will be extracted from samples for genome sequencing, assembly, and annotation. By isolating and sequencing new fungal species, your team will help produce high-quality fungal reference genomes. This course will prepare you with workforce training in fungal biology and genomics and empower you to be a contributor to fungal genomics! Importantly, you will practice lab and bioinformatics skills that are broadly applicable!</dc:description>
  <cp:keywords/>
  <dcterms:created xsi:type="dcterms:W3CDTF">2026-05-18T00:11:51Z</dcterms:created>
  <dcterms:modified xsi:type="dcterms:W3CDTF">2026-05-18T00:11:51Z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2026-05-07</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subtitle">
    <vt:lpwstr>A Hands-On Fungal Genomics Lab</vt:lpwstr>
  </property>
  <property fmtid="{D5CDD505-2E9C-101B-9397-08002B2CF9AE}" pid="15" name="template-partials">
    <vt:lpwstr/>
  </property>
  <property fmtid="{D5CDD505-2E9C-101B-9397-08002B2CF9AE}" pid="16" name="toc-title">
    <vt:lpwstr>Table of contents</vt:lpwstr>
  </property>
</Properties>
</file>