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12.png" ContentType="image/png"/>
  <Override PartName="/word/media/rId38.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4"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100x15mm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66"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 Figure 1:</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56" w:name="fig-leafpathologies"/>
          <w:p>
            <w:pPr>
              <w:pStyle w:val="Compact"/>
              <w:jc w:val="center"/>
            </w:pPr>
            <w:bookmarkStart w:id="55" w:name="fig-leafpathologies"/>
            <w:r>
              <w:drawing>
                <wp:inline>
                  <wp:extent cx="5334000" cy="3733799"/>
                  <wp:effectExtent b="0" l="0" r="0" t="0"/>
                  <wp:docPr descr="" title="" id="53" name="Picture"/>
                  <a:graphic>
                    <a:graphicData uri="http://schemas.openxmlformats.org/drawingml/2006/picture">
                      <pic:pic>
                        <pic:nvPicPr>
                          <pic:cNvPr descr="images/LeafPathologies.png" id="54"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5"/>
          </w:p>
          <w:p>
            <w:pPr>
              <w:jc w:val="center"/>
            </w:pPr>
            <w:pPr>
              <w:jc w:val="left"/>
              <w:spacing w:before="200"/>
              <w:pStyle w:val="ImageCaption"/>
            </w:pPr>
            <w:r>
              <w:t xml:space="preserve">Figure 1</w:t>
            </w:r>
          </w:p>
          <w:bookmarkEnd w:id="56"/>
        </w:tc>
      </w:tr>
    </w:tbl>
    <w:bookmarkEnd w:id="57"/>
    <w:bookmarkStart w:id="58"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8"/>
    <w:bookmarkStart w:id="59" w:name="lab-supplies"/>
    <w:p>
      <w:pPr>
        <w:pStyle w:val="Heading3"/>
      </w:pPr>
      <w:r>
        <w:t xml:space="preserve">Lab Supplies</w:t>
      </w:r>
    </w:p>
    <w:p>
      <w:pPr>
        <w:pStyle w:val="Compact"/>
        <w:numPr>
          <w:ilvl w:val="0"/>
          <w:numId w:val="1036"/>
        </w:numPr>
      </w:pPr>
      <w:r>
        <w:t xml:space="preserve">3 large water agar Petri plates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9"/>
    <w:bookmarkStart w:id="65" w:name="instructions"/>
    <w:p>
      <w:pPr>
        <w:pStyle w:val="Heading3"/>
      </w:pPr>
      <w:r>
        <w:t xml:space="preserve">Instructions</w:t>
      </w:r>
    </w:p>
    <w:bookmarkStart w:id="64"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p>
      <w:pPr>
        <w:pStyle w:val="BodyText"/>
      </w:pPr>
      <w:bookmarkStart w:id="63" w:name="fig-LeafSampling"/>
      <w:r>
        <w:drawing>
          <wp:inline>
            <wp:extent cx="5334000" cy="3733799"/>
            <wp:effectExtent b="0" l="0" r="0" t="0"/>
            <wp:docPr descr="" title="" id="61" name="Picture"/>
            <a:graphic>
              <a:graphicData uri="http://schemas.openxmlformats.org/drawingml/2006/picture">
                <pic:pic>
                  <pic:nvPicPr>
                    <pic:cNvPr descr="images/LeafSampling.png" id="62" name="Picture"/>
                    <pic:cNvPicPr>
                      <a:picLocks noChangeArrowheads="1" noChangeAspect="1"/>
                    </pic:cNvPicPr>
                  </pic:nvPicPr>
                  <pic:blipFill>
                    <a:blip r:embed="rId60"/>
                    <a:stretch>
                      <a:fillRect/>
                    </a:stretch>
                  </pic:blipFill>
                  <pic:spPr bwMode="auto">
                    <a:xfrm>
                      <a:off x="0" y="0"/>
                      <a:ext cx="5334000" cy="3733799"/>
                    </a:xfrm>
                    <a:prstGeom prst="rect">
                      <a:avLst/>
                    </a:prstGeom>
                    <a:noFill/>
                    <a:ln w="9525">
                      <a:noFill/>
                      <a:headEnd/>
                      <a:tailEnd/>
                    </a:ln>
                  </pic:spPr>
                </pic:pic>
              </a:graphicData>
            </a:graphic>
          </wp:inline>
        </w:drawing>
      </w:r>
      <w:bookmarkEnd w:id="63"/>
      <w:r>
        <w:t xml:space="preserve"> </w:t>
      </w:r>
      <w:r>
        <w:t xml:space="preserve">Fungal Sampling. Collect one sample/leaf per bag and complete the required information on each label. Figure created with BioRender.com.</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4"/>
    <w:bookmarkEnd w:id="65"/>
    <w:bookmarkEnd w:id="66"/>
    <w:bookmarkStart w:id="73" w:name="module-1.4-using-inaturalist"/>
    <w:p>
      <w:pPr>
        <w:pStyle w:val="Heading2"/>
      </w:pPr>
      <w:r>
        <w:t xml:space="preserve">Module 1.4 – Using iNaturalist</w:t>
      </w:r>
    </w:p>
    <w:bookmarkStart w:id="71"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7">
        <w:r>
          <w:rPr>
            <w:rStyle w:val="Hyperlink"/>
          </w:rPr>
          <w:t xml:space="preserve">Getting Started</w:t>
        </w:r>
      </w:hyperlink>
    </w:p>
    <w:p>
      <w:pPr>
        <w:pStyle w:val="Compact"/>
        <w:numPr>
          <w:ilvl w:val="0"/>
          <w:numId w:val="1057"/>
        </w:numPr>
      </w:pPr>
      <w:hyperlink r:id="rId68">
        <w:r>
          <w:rPr>
            <w:rStyle w:val="Hyperlink"/>
          </w:rPr>
          <w:t xml:space="preserve">iNaturalist Videos</w:t>
        </w:r>
      </w:hyperlink>
    </w:p>
    <w:p>
      <w:pPr>
        <w:pStyle w:val="Compact"/>
        <w:numPr>
          <w:ilvl w:val="0"/>
          <w:numId w:val="1058"/>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9"/>
        </w:numPr>
      </w:pPr>
      <w:hyperlink r:id="rId70">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1"/>
    <w:bookmarkStart w:id="72"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2"/>
    <w:bookmarkEnd w:id="73"/>
    <w:bookmarkEnd w:id="74"/>
    <w:bookmarkStart w:id="92" w:name="module-2-fungal-isolation"/>
    <w:p>
      <w:pPr>
        <w:pStyle w:val="Heading1"/>
      </w:pPr>
      <w:r>
        <w:t xml:space="preserve">Module 2: Fungal Isolation</w:t>
      </w:r>
    </w:p>
    <w:bookmarkStart w:id="83" w:name="module-2.1-lab-prep-overview"/>
    <w:p>
      <w:pPr>
        <w:pStyle w:val="Heading2"/>
      </w:pPr>
      <w:r>
        <w:t xml:space="preserve">Module 2.1 – Lab Prep Overview</w:t>
      </w:r>
    </w:p>
    <w:bookmarkStart w:id="82"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2"/>
    <w:bookmarkEnd w:id="83"/>
    <w:bookmarkStart w:id="91" w:name="module-2.2---fungal-isolation"/>
    <w:p>
      <w:pPr>
        <w:pStyle w:val="Heading2"/>
      </w:pPr>
      <w:r>
        <w:t xml:space="preserve">Module 2.2 - Fungal Isolation</w:t>
      </w:r>
    </w:p>
    <w:bookmarkStart w:id="84"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4"/>
    <w:bookmarkStart w:id="85"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5"/>
    <w:bookmarkStart w:id="86"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6"/>
    <w:bookmarkStart w:id="87"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7"/>
    <w:bookmarkStart w:id="90" w:name="instructions-1"/>
    <w:p>
      <w:pPr>
        <w:pStyle w:val="Heading3"/>
      </w:pPr>
      <w:r>
        <w:t xml:space="preserve">Instructions</w:t>
      </w:r>
    </w:p>
    <w:bookmarkStart w:id="88"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8"/>
    <w:bookmarkStart w:id="89"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9"/>
    <w:bookmarkEnd w:id="90"/>
    <w:bookmarkEnd w:id="91"/>
    <w:bookmarkEnd w:id="92"/>
    <w:bookmarkStart w:id="100" w:name="module-3-phenotypic-assays"/>
    <w:p>
      <w:pPr>
        <w:pStyle w:val="Heading1"/>
      </w:pPr>
      <w:r>
        <w:t xml:space="preserve">Module 3: Phenotypic Assays</w:t>
      </w:r>
    </w:p>
    <w:bookmarkStart w:id="94" w:name="module-3.1-phenotypic-assays"/>
    <w:p>
      <w:pPr>
        <w:pStyle w:val="Heading2"/>
      </w:pPr>
      <w:r>
        <w:t xml:space="preserve">Module 3.1 – Phenotypic Assays</w:t>
      </w:r>
    </w:p>
    <w:bookmarkStart w:id="93"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3"/>
    <w:bookmarkEnd w:id="94"/>
    <w:bookmarkStart w:id="99" w:name="module-3.2-phenotypic-assays"/>
    <w:p>
      <w:pPr>
        <w:pStyle w:val="Heading2"/>
      </w:pPr>
      <w:r>
        <w:t xml:space="preserve">Module 3.2 – Phenotypic Assays</w:t>
      </w:r>
    </w:p>
    <w:bookmarkStart w:id="95"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5"/>
    <w:bookmarkStart w:id="96"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6"/>
    <w:bookmarkStart w:id="97"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7"/>
    <w:bookmarkStart w:id="98"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8"/>
    <w:bookmarkEnd w:id="99"/>
    <w:bookmarkEnd w:id="100"/>
    <w:bookmarkStart w:id="125" w:name="module-4-dna-sequencing"/>
    <w:p>
      <w:pPr>
        <w:pStyle w:val="Heading1"/>
      </w:pPr>
      <w:r>
        <w:t xml:space="preserve">Module 4: DNA Sequencing</w:t>
      </w:r>
    </w:p>
    <w:bookmarkStart w:id="102" w:name="X1f9141d941555e98bd81ab73b3543cfd3247ac1"/>
    <w:p>
      <w:pPr>
        <w:pStyle w:val="Heading2"/>
      </w:pPr>
      <w:r>
        <w:t xml:space="preserve">Module 4.1 – DNA Sequencing and Species Identification Instructor Resources</w:t>
      </w:r>
    </w:p>
    <w:bookmarkStart w:id="101"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1"/>
    <w:bookmarkEnd w:id="102"/>
    <w:bookmarkStart w:id="124" w:name="X84ab9f30f319591ed283388a48344a8ca0af377"/>
    <w:p>
      <w:pPr>
        <w:pStyle w:val="Heading2"/>
      </w:pPr>
      <w:r>
        <w:t xml:space="preserve">Module 4.2 – DNA Sequencing and Species Identification</w:t>
      </w:r>
    </w:p>
    <w:bookmarkStart w:id="103"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3"/>
    <w:bookmarkStart w:id="104"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4"/>
    <w:bookmarkStart w:id="108" w:name="part-i-dna-extraction"/>
    <w:p>
      <w:pPr>
        <w:pStyle w:val="Heading3"/>
      </w:pPr>
      <w:r>
        <w:t xml:space="preserve">Part I: DNA Extraction</w:t>
      </w:r>
    </w:p>
    <w:bookmarkStart w:id="10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5"/>
    <w:bookmarkStart w:id="106"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6"/>
    <w:bookmarkStart w:id="107"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7"/>
    <w:bookmarkEnd w:id="108"/>
    <w:bookmarkStart w:id="113" w:name="part-ii-polymerase-chain-reaction-pcr"/>
    <w:p>
      <w:pPr>
        <w:pStyle w:val="Heading3"/>
      </w:pPr>
      <w:r>
        <w:t xml:space="preserve">Part II: Polymerase Chain Reaction (PCR)</w:t>
      </w:r>
    </w:p>
    <w:bookmarkStart w:id="10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9"/>
    <w:bookmarkStart w:id="110"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10"/>
    <w:bookmarkStart w:id="11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1"/>
    <w:bookmarkStart w:id="112"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2"/>
    <w:bookmarkEnd w:id="113"/>
    <w:bookmarkStart w:id="11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4"/>
    <w:bookmarkStart w:id="115"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5"/>
    <w:bookmarkStart w:id="116"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6"/>
    <w:bookmarkStart w:id="117"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7"/>
    <w:bookmarkEnd w:id="118"/>
    <w:bookmarkStart w:id="11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9"/>
    <w:bookmarkStart w:id="12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20"/>
    <w:bookmarkStart w:id="122" w:name="X119230681215c553508703bd9b858aabc863314"/>
    <w:p>
      <w:pPr>
        <w:pStyle w:val="Heading3"/>
      </w:pPr>
      <w:r>
        <w:t xml:space="preserve">Part VI: Identifying Species using DNA Barcode</w:t>
      </w:r>
    </w:p>
    <w:bookmarkStart w:id="12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1"/>
    <w:bookmarkEnd w:id="122"/>
    <w:bookmarkStart w:id="12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3"/>
    <w:bookmarkEnd w:id="124"/>
    <w:bookmarkEnd w:id="125"/>
    <w:bookmarkStart w:id="136" w:name="module-5-tissue-preparation"/>
    <w:p>
      <w:pPr>
        <w:pStyle w:val="Heading1"/>
      </w:pPr>
      <w:r>
        <w:t xml:space="preserve">Module 5: Tissue Preparation</w:t>
      </w:r>
    </w:p>
    <w:bookmarkStart w:id="127" w:name="X0d17ba572a281133a22d073b368b9fbe73454ca"/>
    <w:p>
      <w:pPr>
        <w:pStyle w:val="Heading2"/>
      </w:pPr>
      <w:r>
        <w:t xml:space="preserve">Module 5.1 – Tissue Preparation for Genome Sequencing</w:t>
      </w:r>
    </w:p>
    <w:bookmarkStart w:id="126"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6"/>
    <w:bookmarkEnd w:id="127"/>
    <w:bookmarkStart w:id="135" w:name="Xc8205bcafd44c2f0f2777871d0b670e5430cb18"/>
    <w:p>
      <w:pPr>
        <w:pStyle w:val="Heading2"/>
      </w:pPr>
      <w:r>
        <w:t xml:space="preserve">Module 5.2 – Tissue Preparation for Genome Sequencing</w:t>
      </w:r>
    </w:p>
    <w:bookmarkStart w:id="12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8"/>
    <w:bookmarkStart w:id="12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9"/>
    <w:bookmarkStart w:id="130"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30"/>
    <w:bookmarkStart w:id="13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1"/>
    <w:bookmarkStart w:id="132"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2"/>
    <w:bookmarkStart w:id="13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3"/>
    <w:bookmarkStart w:id="134"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4"/>
    <w:bookmarkEnd w:id="135"/>
    <w:bookmarkEnd w:id="136"/>
    <w:bookmarkStart w:id="143" w:name="module-6-sample-submission"/>
    <w:p>
      <w:pPr>
        <w:pStyle w:val="Heading1"/>
      </w:pPr>
      <w:r>
        <w:t xml:space="preserve">Module 6: Sample Submission</w:t>
      </w:r>
    </w:p>
    <w:bookmarkStart w:id="142" w:name="module-6.1-myco-ed-sample-submission-sop"/>
    <w:p>
      <w:pPr>
        <w:pStyle w:val="Heading2"/>
      </w:pPr>
      <w:r>
        <w:t xml:space="preserve">Module 6.1 – Myco-Ed Sample Submission SOP</w:t>
      </w:r>
    </w:p>
    <w:bookmarkStart w:id="137" w:name="overview-2"/>
    <w:p>
      <w:pPr>
        <w:pStyle w:val="Heading3"/>
      </w:pPr>
      <w:r>
        <w:t xml:space="preserve">Overview</w:t>
      </w:r>
    </w:p>
    <w:p>
      <w:pPr>
        <w:pStyle w:val="FirstParagraph"/>
      </w:pPr>
      <w:r>
        <w:t xml:space="preserve">Use this document to submit fungal samples to Arizona Genomics Institute (AGI) for DNA extraction.</w:t>
      </w:r>
    </w:p>
    <w:bookmarkEnd w:id="137"/>
    <w:bookmarkStart w:id="138"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8"/>
    <w:bookmarkStart w:id="139" w:name="associated-documents"/>
    <w:p>
      <w:pPr>
        <w:pStyle w:val="Heading3"/>
      </w:pPr>
      <w:r>
        <w:t xml:space="preserve">Associated Documents</w:t>
      </w:r>
    </w:p>
    <w:p>
      <w:pPr>
        <w:pStyle w:val="FirstParagraph"/>
      </w:pPr>
      <w:r>
        <w:t xml:space="preserve">MycoEd Metadata Form</w:t>
      </w:r>
    </w:p>
    <w:bookmarkEnd w:id="139"/>
    <w:bookmarkStart w:id="140"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40"/>
    <w:bookmarkStart w:id="141"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1"/>
    <w:bookmarkEnd w:id="142"/>
    <w:bookmarkEnd w:id="143"/>
    <w:bookmarkStart w:id="161" w:name="module-7-genomic-analyses"/>
    <w:p>
      <w:pPr>
        <w:pStyle w:val="Heading1"/>
      </w:pPr>
      <w:r>
        <w:t xml:space="preserve">Module 7: Genomic Analyses</w:t>
      </w:r>
    </w:p>
    <w:bookmarkStart w:id="151" w:name="X46999d4e04aaa0bd6e7f1cf0936f3283e50c93c"/>
    <w:p>
      <w:pPr>
        <w:pStyle w:val="Heading2"/>
      </w:pPr>
      <w:r>
        <w:t xml:space="preserve">Module 7.1 – Sexual Reproduction in Ascomycota Genomic Analysis</w:t>
      </w:r>
    </w:p>
    <w:bookmarkStart w:id="14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4"/>
    <w:bookmarkStart w:id="145"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5"/>
    <w:bookmarkStart w:id="150" w:name="finding-mat-a"/>
    <w:p>
      <w:pPr>
        <w:pStyle w:val="Heading3"/>
      </w:pPr>
      <w:r>
        <w:t xml:space="preserve">Finding mat A</w:t>
      </w:r>
    </w:p>
    <w:bookmarkStart w:id="14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6"/>
    <w:bookmarkStart w:id="14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7"/>
    <w:bookmarkStart w:id="14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8"/>
    <w:bookmarkStart w:id="14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9"/>
    <w:bookmarkEnd w:id="150"/>
    <w:bookmarkEnd w:id="151"/>
    <w:bookmarkStart w:id="160" w:name="Xe7b646958662d93788a5fac43551e0623449021"/>
    <w:p>
      <w:pPr>
        <w:pStyle w:val="Heading2"/>
      </w:pPr>
      <w:r>
        <w:t xml:space="preserve">Module 7.2 – Fungal Natural Product Production Genomic Analysis</w:t>
      </w:r>
    </w:p>
    <w:bookmarkStart w:id="15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2"/>
    <w:bookmarkStart w:id="153"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3"/>
    <w:bookmarkStart w:id="156" w:name="X31643484012ee51f67fd2def9a4608ddd3c7490"/>
    <w:p>
      <w:pPr>
        <w:pStyle w:val="Heading3"/>
      </w:pPr>
      <w:r>
        <w:t xml:space="preserve">Finding the Penicillin Biosynthetic Gene Cluster</w:t>
      </w:r>
    </w:p>
    <w:bookmarkStart w:id="154"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4"/>
    <w:bookmarkStart w:id="155"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5"/>
    <w:bookmarkEnd w:id="156"/>
    <w:bookmarkStart w:id="159" w:name="characterize-myco-ed-bgcs"/>
    <w:p>
      <w:pPr>
        <w:pStyle w:val="Heading3"/>
      </w:pPr>
      <w:r>
        <w:t xml:space="preserve">Characterize Myco-Ed BGCs</w:t>
      </w:r>
    </w:p>
    <w:bookmarkStart w:id="15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7"/>
    <w:bookmarkStart w:id="158"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8"/>
    <w:bookmarkEnd w:id="159"/>
    <w:bookmarkEnd w:id="160"/>
    <w:bookmarkEnd w:id="161"/>
    <w:bookmarkStart w:id="16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3"/>
    <w:bookmarkStart w:id="164" w:name="carlos-c.-goller"/>
    <w:p>
      <w:pPr>
        <w:pStyle w:val="Heading1"/>
      </w:pPr>
      <w:r>
        <w:t xml:space="preserve">1. Carlos C. Goller</w:t>
      </w:r>
    </w:p>
    <w:bookmarkEnd w:id="164"/>
    <w:bookmarkStart w:id="16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5"/>
    <w:bookmarkStart w:id="16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6"/>
    <w:bookmarkEnd w:id="167"/>
    <w:bookmarkStart w:id="171" w:name="references-2"/>
    <w:p>
      <w:pPr>
        <w:pStyle w:val="Heading1"/>
      </w:pPr>
      <w:r>
        <w:t xml:space="preserve">References</w:t>
      </w:r>
    </w:p>
    <w:bookmarkStart w:id="170"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9" w:name="refs"/>
    <w:bookmarkStart w:id="16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8"/>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162"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7"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162"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7"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2026-05-20T16:51:12Z</dcterms:created>
  <dcterms:modified xsi:type="dcterms:W3CDTF">2026-05-20T16:51:12Z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