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12.png" ContentType="image/png"/>
  <Override PartName="/word/media/rId38.png" ContentType="image/png"/>
  <Override PartName="/word/media/rId103.png" ContentType="image/png"/>
  <Override PartName="/word/media/rId63.png" ContentType="image/png"/>
  <Override PartName="/word/media/rId81.png" ContentType="image/png"/>
  <Override PartName="/word/media/rId72.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BSC 495: The Hidden World’s Code</w:t>
      </w:r>
    </w:p>
    <w:p>
      <w:pPr>
        <w:pStyle w:val="Subtitle"/>
      </w:pPr>
      <w:r>
        <w:t xml:space="preserve">A Hands-On Fungal Genomics Lab</w:t>
      </w:r>
    </w:p>
    <w:p>
      <w:pPr>
        <w:pStyle w:val="Author"/>
      </w:pPr>
      <w:r>
        <w:t xml:space="preserve">Carlos C. Goller, Ph.D.</w:t>
      </w:r>
    </w:p>
    <w:p>
      <w:pPr>
        <w:pStyle w:val="Date"/>
      </w:pPr>
      <w:r>
        <w:t xml:space="preserve">2026-05-07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overview"/>
    <w:p>
      <w:pPr>
        <w:pStyle w:val="Heading1"/>
      </w:pPr>
      <w:r>
        <w:t xml:space="preserve">Overview</w:t>
      </w:r>
    </w:p>
    <w:p>
      <w:pPr>
        <w:pStyle w:val="FirstParagraph"/>
      </w:pPr>
      <w:r>
        <w:t xml:space="preserve">The Mycological Curriculum for Education and Discovery</w:t>
      </w:r>
      <w:r>
        <w:t xml:space="preserve"> </w:t>
      </w:r>
      <w:r>
        <w:rPr>
          <w:b/>
          <w:bCs/>
        </w:rPr>
        <w:t xml:space="preserve">(Myco-Ed)</w:t>
      </w:r>
      <w:r>
        <w:t xml:space="preserve"> </w:t>
      </w:r>
      <w:r>
        <w:t xml:space="preserve">is a</w:t>
      </w:r>
      <w:r>
        <w:t xml:space="preserve"> </w:t>
      </w:r>
      <w:r>
        <w:rPr>
          <w:b/>
          <w:bCs/>
        </w:rPr>
        <w:t xml:space="preserve">Course-Based Undergraduate Research Experience (CURE)</w:t>
      </w:r>
      <w:r>
        <w:t xml:space="preserve"> </w:t>
      </w:r>
      <w:r>
        <w:t xml:space="preserve">that features team-based, hands-on experiments in fungal biology and genomics. You will learn new laboratory techniques and data analysis by starting with sample collection, fungal isolation, and the characterization of the resulting data to improve fungal genomic resources. Genomic DNA will be extracted from samples for genome sequencing, assembly, and annotation. By isolating and sequencing new fungal species, your team will help produce high-quality fungal reference genomes. This course will prepare you with workforce training in fungal biology and genomics and empower you to be a contributor to fungal genomics! Importantly, you will practice lab and bioinformatics skills that are broadly applicable!</w:t>
      </w:r>
    </w:p>
    <w:p>
      <w:pPr>
        <w:pStyle w:val="BodyText"/>
      </w:pPr>
      <w:r>
        <w:t xml:space="preserve">To learn more about Quarto books visit</w:t>
      </w:r>
      <w:r>
        <w:t xml:space="preserve"> </w:t>
      </w:r>
      <w:hyperlink r:id="rId9">
        <w:r>
          <w:rPr>
            <w:rStyle w:val="Hyperlink"/>
          </w:rPr>
          <w:t xml:space="preserve">Quarto Books</w:t>
        </w:r>
      </w:hyperlink>
      <w:r>
        <w:t xml:space="preserve"> </w:t>
      </w:r>
      <w:r>
        <w:t xml:space="preserve">To learn more about the MycoEd curriculum visit the</w:t>
      </w:r>
      <w:r>
        <w:t xml:space="preserve"> </w:t>
      </w:r>
      <w:hyperlink r:id="rId10">
        <w:r>
          <w:rPr>
            <w:rStyle w:val="Hyperlink"/>
          </w:rPr>
          <w:t xml:space="preserve">MycoEd GitHub</w:t>
        </w:r>
      </w:hyperlink>
      <w:r>
        <w:t xml:space="preserve">)</w:t>
      </w:r>
    </w:p>
    <w:bookmarkStart w:id="11" w:name="course-outcomes"/>
    <w:p>
      <w:pPr>
        <w:pStyle w:val="Heading2"/>
      </w:pPr>
      <w:r>
        <w:t xml:space="preserve">Course Outcomes</w:t>
      </w:r>
    </w:p>
    <w:p>
      <w:pPr>
        <w:pStyle w:val="Compact"/>
        <w:numPr>
          <w:ilvl w:val="0"/>
          <w:numId w:val="1001"/>
        </w:numPr>
      </w:pPr>
      <w:r>
        <w:rPr>
          <w:b/>
          <w:bCs/>
        </w:rPr>
        <w:t xml:space="preserve">CO1</w:t>
      </w:r>
      <w:r>
        <w:t xml:space="preserve">: Isolate fungal endophytes,</w:t>
      </w:r>
    </w:p>
    <w:p>
      <w:pPr>
        <w:pStyle w:val="Compact"/>
        <w:numPr>
          <w:ilvl w:val="0"/>
          <w:numId w:val="1001"/>
        </w:numPr>
      </w:pPr>
      <w:r>
        <w:rPr>
          <w:b/>
          <w:bCs/>
        </w:rPr>
        <w:t xml:space="preserve">CO2</w:t>
      </w:r>
      <w:r>
        <w:t xml:space="preserve">: Characterize the morphology of fungal cultures through phenotypic and genomic assays,</w:t>
      </w:r>
    </w:p>
    <w:p>
      <w:pPr>
        <w:pStyle w:val="Compact"/>
        <w:numPr>
          <w:ilvl w:val="0"/>
          <w:numId w:val="1001"/>
        </w:numPr>
      </w:pPr>
      <w:r>
        <w:rPr>
          <w:b/>
          <w:bCs/>
        </w:rPr>
        <w:t xml:space="preserve">CO3</w:t>
      </w:r>
      <w:r>
        <w:t xml:space="preserve">: Practice extracting fungal DNA,</w:t>
      </w:r>
    </w:p>
    <w:p>
      <w:pPr>
        <w:pStyle w:val="Compact"/>
        <w:numPr>
          <w:ilvl w:val="0"/>
          <w:numId w:val="1001"/>
        </w:numPr>
      </w:pPr>
      <w:r>
        <w:rPr>
          <w:b/>
          <w:bCs/>
        </w:rPr>
        <w:t xml:space="preserve">CO4</w:t>
      </w:r>
      <w:r>
        <w:t xml:space="preserve">: Describe the process to PCR amplify fungal ITS,</w:t>
      </w:r>
    </w:p>
    <w:p>
      <w:pPr>
        <w:pStyle w:val="Compact"/>
        <w:numPr>
          <w:ilvl w:val="0"/>
          <w:numId w:val="1001"/>
        </w:numPr>
      </w:pPr>
      <w:r>
        <w:rPr>
          <w:b/>
          <w:bCs/>
        </w:rPr>
        <w:t xml:space="preserve">CO5</w:t>
      </w:r>
      <w:r>
        <w:t xml:space="preserve">: Formulate meaningful and testable scientific questions/hypotheses,</w:t>
      </w:r>
    </w:p>
    <w:p>
      <w:pPr>
        <w:pStyle w:val="Compact"/>
        <w:numPr>
          <w:ilvl w:val="0"/>
          <w:numId w:val="1001"/>
        </w:numPr>
      </w:pPr>
      <w:r>
        <w:rPr>
          <w:b/>
          <w:bCs/>
        </w:rPr>
        <w:t xml:space="preserve">CO6</w:t>
      </w:r>
      <w:r>
        <w:t xml:space="preserve">: Collect and critically interpret experimental data (including metadata),</w:t>
      </w:r>
    </w:p>
    <w:p>
      <w:pPr>
        <w:pStyle w:val="Compact"/>
        <w:numPr>
          <w:ilvl w:val="0"/>
          <w:numId w:val="1001"/>
        </w:numPr>
      </w:pPr>
      <w:r>
        <w:rPr>
          <w:b/>
          <w:bCs/>
        </w:rPr>
        <w:t xml:space="preserve">CO7</w:t>
      </w:r>
      <w:r>
        <w:t xml:space="preserve">: Maintain an appropriate laboratory notebook,</w:t>
      </w:r>
    </w:p>
    <w:p>
      <w:pPr>
        <w:pStyle w:val="Compact"/>
        <w:numPr>
          <w:ilvl w:val="0"/>
          <w:numId w:val="1001"/>
        </w:numPr>
      </w:pPr>
      <w:r>
        <w:rPr>
          <w:b/>
          <w:bCs/>
        </w:rPr>
        <w:t xml:space="preserve">CO8</w:t>
      </w:r>
      <w:r>
        <w:t xml:space="preserve">: Summarize their work and describe their findings in written and oral presentations.</w:t>
      </w:r>
    </w:p>
    <w:p>
      <w:pPr>
        <w:pStyle w:val="Compact"/>
        <w:numPr>
          <w:ilvl w:val="0"/>
          <w:numId w:val="1001"/>
        </w:numPr>
      </w:pPr>
      <w:r>
        <w:rPr>
          <w:b/>
          <w:bCs/>
        </w:rPr>
        <w:t xml:space="preserve">CO9</w:t>
      </w:r>
      <w:r>
        <w:t xml:space="preserve">: Apply evidence-based strategies to improve scientific collaboration and teamwork skills.</w:t>
      </w:r>
    </w:p>
    <w:p>
      <w:pPr>
        <w:pStyle w:val="Compact"/>
        <w:numPr>
          <w:ilvl w:val="0"/>
          <w:numId w:val="1001"/>
        </w:numPr>
      </w:pPr>
      <w:r>
        <w:rPr>
          <w:b/>
          <w:bCs/>
        </w:rPr>
        <w:t xml:space="preserve">CO10</w:t>
      </w:r>
      <w:r>
        <w:t xml:space="preserve">: Reflect on your development as a scientist and team member through structured prompts and reflections.</w:t>
      </w:r>
    </w:p>
    <w:bookmarkEnd w:id="11"/>
    <w:bookmarkStart w:id="23" w:name="module-slides"/>
    <w:p>
      <w:pPr>
        <w:pStyle w:val="Heading2"/>
      </w:pPr>
      <w:r>
        <w:t xml:space="preserve">Module Slides</w:t>
      </w:r>
    </w:p>
    <w:p>
      <w:pPr>
        <w:pStyle w:val="FirstParagraph"/>
      </w:pPr>
      <w:r>
        <w:t xml:space="preserve">The links below open the RevealJS slide decks for each module. Please note the slides can be advanced using the arrow keys on your keyboard, and you can also use the menu in the bottom right corner to navigate between slides. The slide decks are designed to be used in conjunction with the corresponding module content in this book, so feel free to refer back to them as needed while working through the modules.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Links to RevealJS slide decks for each module are listed below.</w:t>
            </w:r>
          </w:p>
          <w:p>
            <w:pPr>
              <w:pStyle w:val="Compact"/>
              <w:numPr>
                <w:ilvl w:val="0"/>
                <w:numId w:val="1002"/>
              </w:numPr>
            </w:pPr>
            <w:hyperlink r:id="rId15">
              <w:r>
                <w:rPr>
                  <w:rStyle w:val="Hyperlink"/>
                </w:rPr>
                <w:t xml:space="preserve">Open Module 0 RevealJS Slides</w:t>
              </w:r>
            </w:hyperlink>
          </w:p>
          <w:p>
            <w:pPr>
              <w:pStyle w:val="Compact"/>
              <w:numPr>
                <w:ilvl w:val="0"/>
                <w:numId w:val="1002"/>
              </w:numPr>
            </w:pPr>
            <w:hyperlink r:id="rId16">
              <w:r>
                <w:rPr>
                  <w:rStyle w:val="Hyperlink"/>
                </w:rPr>
                <w:t xml:space="preserve">Open Module 1 RevealJS Slides</w:t>
              </w:r>
            </w:hyperlink>
          </w:p>
          <w:p>
            <w:pPr>
              <w:pStyle w:val="Compact"/>
              <w:numPr>
                <w:ilvl w:val="0"/>
                <w:numId w:val="1002"/>
              </w:numPr>
            </w:pPr>
            <w:hyperlink r:id="rId17">
              <w:r>
                <w:rPr>
                  <w:rStyle w:val="Hyperlink"/>
                </w:rPr>
                <w:t xml:space="preserve">Open Module 2 RevealJS Slides</w:t>
              </w:r>
            </w:hyperlink>
          </w:p>
          <w:p>
            <w:pPr>
              <w:pStyle w:val="Compact"/>
              <w:numPr>
                <w:ilvl w:val="0"/>
                <w:numId w:val="1002"/>
              </w:numPr>
            </w:pPr>
            <w:hyperlink r:id="rId18">
              <w:r>
                <w:rPr>
                  <w:rStyle w:val="Hyperlink"/>
                </w:rPr>
                <w:t xml:space="preserve">Open Module 3 RevealJS Slides</w:t>
              </w:r>
            </w:hyperlink>
          </w:p>
          <w:p>
            <w:pPr>
              <w:pStyle w:val="Compact"/>
              <w:numPr>
                <w:ilvl w:val="0"/>
                <w:numId w:val="1002"/>
              </w:numPr>
            </w:pPr>
            <w:hyperlink r:id="rId19">
              <w:r>
                <w:rPr>
                  <w:rStyle w:val="Hyperlink"/>
                </w:rPr>
                <w:t xml:space="preserve">Open Module 4 RevealJS Slides</w:t>
              </w:r>
            </w:hyperlink>
          </w:p>
          <w:p>
            <w:pPr>
              <w:pStyle w:val="Compact"/>
              <w:numPr>
                <w:ilvl w:val="0"/>
                <w:numId w:val="1002"/>
              </w:numPr>
            </w:pPr>
            <w:hyperlink r:id="rId20">
              <w:r>
                <w:rPr>
                  <w:rStyle w:val="Hyperlink"/>
                </w:rPr>
                <w:t xml:space="preserve">Open Module 5 RevealJS Slides</w:t>
              </w:r>
            </w:hyperlink>
          </w:p>
          <w:p>
            <w:pPr>
              <w:pStyle w:val="Compact"/>
              <w:numPr>
                <w:ilvl w:val="0"/>
                <w:numId w:val="1002"/>
              </w:numPr>
            </w:pPr>
            <w:hyperlink r:id="rId21">
              <w:r>
                <w:rPr>
                  <w:rStyle w:val="Hyperlink"/>
                </w:rPr>
                <w:t xml:space="preserve">Open Module 6 RevealJS Slides</w:t>
              </w:r>
            </w:hyperlink>
          </w:p>
          <w:p>
            <w:pPr>
              <w:pStyle w:val="Compact"/>
              <w:numPr>
                <w:ilvl w:val="0"/>
                <w:numId w:val="1002"/>
              </w:numPr>
            </w:pPr>
            <w:hyperlink r:id="rId22">
              <w:r>
                <w:rPr>
                  <w:rStyle w:val="Hyperlink"/>
                </w:rPr>
                <w:t xml:space="preserve">Open Module 7 RevealJS Slides</w:t>
              </w:r>
            </w:hyperlink>
          </w:p>
          <w:p/>
        </w:tc>
      </w:tr>
    </w:tbl>
    <w:bookmarkEnd w:id="23"/>
    <w:bookmarkEnd w:id="24"/>
    <w:bookmarkStart w:id="26" w:name="introduction"/>
    <w:p>
      <w:pPr>
        <w:pStyle w:val="Heading1"/>
      </w:pPr>
      <w:r>
        <w:t xml:space="preserve">Introduction</w:t>
      </w:r>
    </w:p>
    <w:p>
      <w:pPr>
        <w:pStyle w:val="FirstParagraph"/>
      </w:pPr>
      <w:r>
        <w:t xml:space="preserve">This is a Quarto book created from the</w:t>
      </w:r>
      <w:r>
        <w:t xml:space="preserve"> </w:t>
      </w:r>
      <w:hyperlink r:id="rId25">
        <w:r>
          <w:rPr>
            <w:rStyle w:val="Hyperlink"/>
          </w:rPr>
          <w:t xml:space="preserve">MycoEd Workbook from March 2026</w:t>
        </w:r>
      </w:hyperlink>
      <w:r>
        <w:t xml:space="preserve"> </w:t>
      </w:r>
      <w:r>
        <w:t xml:space="preserve">and adapted for the</w:t>
      </w:r>
      <w:r>
        <w:t xml:space="preserve"> </w:t>
      </w:r>
      <w:r>
        <w:rPr>
          <w:b/>
          <w:bCs/>
        </w:rPr>
        <w:t xml:space="preserve">BSC 495</w:t>
      </w:r>
      <w:r>
        <w:rPr>
          <w:b/>
          <w:bCs/>
        </w:rPr>
        <w:t xml:space="preserve"> </w:t>
      </w:r>
      <w:r>
        <w:rPr>
          <w:b/>
          <w:bCs/>
          <w:i/>
          <w:iCs/>
        </w:rPr>
        <w:t xml:space="preserve">The Hidden World’s Code</w:t>
      </w:r>
      <w:r>
        <w:t xml:space="preserve">, a course developed for students at North Carolina State University. The course is designed to provide students with hands-on experience in fungal biology and genomics, and to empower them to contribute to the field of mycology through research and discovery.</w:t>
      </w:r>
    </w:p>
    <w:p>
      <w:pPr>
        <w:pStyle w:val="BodyText"/>
      </w:pPr>
      <w:r>
        <w:t xml:space="preserve">The Mycological Curriculum for Education and Discovery (Myco-Ed) is a Course-Based Undergraduate Research Experience (CURE) that consists of coordinated hands-on experiments across fungal biology teaching labs with the goals of</w:t>
      </w:r>
    </w:p>
    <w:p>
      <w:pPr>
        <w:pStyle w:val="Compact"/>
        <w:numPr>
          <w:ilvl w:val="0"/>
          <w:numId w:val="1003"/>
        </w:numPr>
      </w:pPr>
      <w:r>
        <w:t xml:space="preserve">Training students and instructors in laboratory techniques and data analyses</w:t>
      </w:r>
    </w:p>
    <w:p>
      <w:pPr>
        <w:pStyle w:val="Compact"/>
        <w:numPr>
          <w:ilvl w:val="0"/>
          <w:numId w:val="1003"/>
        </w:numPr>
      </w:pPr>
      <w:r>
        <w:t xml:space="preserve">Compiling original data for improving fungal genomic resources</w:t>
      </w:r>
    </w:p>
    <w:p>
      <w:pPr>
        <w:pStyle w:val="Compact"/>
        <w:numPr>
          <w:ilvl w:val="0"/>
          <w:numId w:val="1003"/>
        </w:numPr>
      </w:pPr>
      <w:r>
        <w:t xml:space="preserve">Empowering students through isolation and genome sequencing of new fungal species</w:t>
      </w:r>
    </w:p>
    <w:p>
      <w:pPr>
        <w:pStyle w:val="FirstParagraph"/>
      </w:pPr>
      <w:r>
        <w:t xml:space="preserve">The content is organized into</w:t>
      </w:r>
      <w:r>
        <w:t xml:space="preserve"> </w:t>
      </w:r>
      <w:r>
        <w:rPr>
          <w:b/>
          <w:bCs/>
        </w:rPr>
        <w:t xml:space="preserve">modules</w:t>
      </w:r>
      <w:r>
        <w:t xml:space="preserve">, each covering a specific topic related to mycology and education. The book is designed to provide comprehensive information and resources for educators, students, and anyone interested in learning about fungi and their role in the environment.</w:t>
      </w:r>
    </w:p>
    <w:bookmarkEnd w:id="26"/>
    <w:bookmarkStart w:id="37" w:name="Xe1adfe0dbe0fd7da8caab0dded5a990a311f7c3"/>
    <w:p>
      <w:pPr>
        <w:pStyle w:val="Heading1"/>
      </w:pPr>
      <w:r>
        <w:t xml:space="preserve">Module 0: Getting Started and Data Management</w:t>
      </w:r>
    </w:p>
    <w:bookmarkStart w:id="27" w:name="X854485e3e75ebd41e9a51cfdeb9c6827d1373c6"/>
    <w:p>
      <w:pPr>
        <w:pStyle w:val="Heading2"/>
      </w:pPr>
      <w:r>
        <w:t xml:space="preserve">Module 0.1 – Lab Materials and Equipment Overview</w:t>
      </w:r>
    </w:p>
    <w:p>
      <w:pPr>
        <w:pStyle w:val="FirstParagraph"/>
      </w:pPr>
      <w:r>
        <w:t xml:space="preserve">This table lists all materials and equipment required across Myco-Ed modules. Use the search box to filter by module, item, company, or catalog number (web view), or scroll through the complete table below (in PDF and downloads).</w:t>
      </w:r>
    </w:p>
    <w:bookmarkEnd w:id="27"/>
    <w:bookmarkStart w:id="32" w:name="Xcbdbfd15cc4383fe5deee011eccaab33ef2e95c"/>
    <w:p>
      <w:pPr>
        <w:pStyle w:val="Heading2"/>
      </w:pPr>
      <w:r>
        <w:t xml:space="preserve">Module 0.2 – Create iNaturalist Traditional Project Instructions</w:t>
      </w:r>
    </w:p>
    <w:bookmarkStart w:id="28" w:name="inaturalist-introduction"/>
    <w:p>
      <w:pPr>
        <w:pStyle w:val="Heading3"/>
      </w:pPr>
      <w:r>
        <w:t xml:space="preserve">iNaturalist Introduction</w:t>
      </w:r>
    </w:p>
    <w:p>
      <w:pPr>
        <w:pStyle w:val="FirstParagraph"/>
      </w:pPr>
      <w:r>
        <w:t xml:space="preserve">iNaturalist is a tool that we can use to document the fungal isolates in Myco-Ed courses. This tool allows instructors and students to record the metadata associated with the fungal isolates. Metadata will include plant species, geographic location, elevation, fungal DNA sequences, growth assays, and any other data relevant for this project. This platform will also enable us to track growth of the MycoEd project. The goal of this long-term research project is to develop annotated fungal genomes to better understand fungal biology.</w:t>
      </w:r>
    </w:p>
    <w:p>
      <w:pPr>
        <w:pStyle w:val="BodyText"/>
      </w:pPr>
      <w:r>
        <w:t xml:space="preserve">To begin, make sure that you have an iNaturalist account.</w:t>
      </w:r>
    </w:p>
    <w:bookmarkEnd w:id="28"/>
    <w:bookmarkStart w:id="29" w:name="project-overview"/>
    <w:p>
      <w:pPr>
        <w:pStyle w:val="Heading3"/>
      </w:pPr>
      <w:r>
        <w:t xml:space="preserve">Project Overview</w:t>
      </w:r>
    </w:p>
    <w:p>
      <w:pPr>
        <w:pStyle w:val="FirstParagraph"/>
      </w:pPr>
      <w:r>
        <w:t xml:space="preserve">There are three kinds of projects:</w:t>
      </w:r>
      <w:r>
        <w:t xml:space="preserve"> </w:t>
      </w:r>
      <w:r>
        <w:t xml:space="preserve">1. Umbrella Projects</w:t>
      </w:r>
      <w:r>
        <w:t xml:space="preserve"> </w:t>
      </w:r>
      <w:r>
        <w:t xml:space="preserve">2. Collection Projects</w:t>
      </w:r>
      <w:r>
        <w:t xml:space="preserve"> </w:t>
      </w:r>
      <w:r>
        <w:t xml:space="preserve">3. Traditional Projects</w:t>
      </w:r>
    </w:p>
    <w:p>
      <w:pPr>
        <w:pStyle w:val="BodyText"/>
      </w:pPr>
      <w:r>
        <w:t xml:space="preserve">The umbrella project for MycoEd is the MycoEd Fungal Genomics Education Project. Each course will establish a Traditional Project in iNaturalist. A traditional project allows us to control whose observations are included in the project, which enables better downstream data management. We ask that your class use the Traditional Project for MycoEd for only your MycoEd fungi. If your course includes a fungal collection using iNaturalist, please have a separate iNaturalist project for these fungal observations.</w:t>
      </w:r>
    </w:p>
    <w:bookmarkEnd w:id="29"/>
    <w:bookmarkStart w:id="30" w:name="Xbe7dd89d850e9accf36a8a51cd2d2bfb9177b29"/>
    <w:p>
      <w:pPr>
        <w:pStyle w:val="Heading3"/>
      </w:pPr>
      <w:r>
        <w:t xml:space="preserve">Make a MycoEd Traditional Project [Instructor Instructions]</w:t>
      </w:r>
    </w:p>
    <w:p>
      <w:pPr>
        <w:pStyle w:val="Compact"/>
        <w:numPr>
          <w:ilvl w:val="0"/>
          <w:numId w:val="1004"/>
        </w:numPr>
      </w:pPr>
      <w:r>
        <w:t xml:space="preserve">Log into iNaturalist.</w:t>
      </w:r>
    </w:p>
    <w:p>
      <w:pPr>
        <w:pStyle w:val="Compact"/>
        <w:numPr>
          <w:ilvl w:val="0"/>
          <w:numId w:val="1004"/>
        </w:numPr>
      </w:pPr>
      <w:r>
        <w:t xml:space="preserve">Go to Projects.</w:t>
      </w:r>
    </w:p>
    <w:p>
      <w:pPr>
        <w:pStyle w:val="Compact"/>
        <w:numPr>
          <w:ilvl w:val="0"/>
          <w:numId w:val="1004"/>
        </w:numPr>
      </w:pPr>
      <w:r>
        <w:t xml:space="preserve">This will take you to Your Projects.</w:t>
      </w:r>
    </w:p>
    <w:p>
      <w:pPr>
        <w:pStyle w:val="Compact"/>
        <w:numPr>
          <w:ilvl w:val="0"/>
          <w:numId w:val="1004"/>
        </w:numPr>
      </w:pPr>
      <w:r>
        <w:t xml:space="preserve">On the bottom right of the page, select Start a Project.</w:t>
      </w:r>
    </w:p>
    <w:p>
      <w:pPr>
        <w:pStyle w:val="Compact"/>
        <w:numPr>
          <w:ilvl w:val="0"/>
          <w:numId w:val="1004"/>
        </w:numPr>
      </w:pPr>
      <w:r>
        <w:t xml:space="preserve">Start a Traditional Project. Scroll to the bottom of the page to find the Traditional Project link for this option.</w:t>
      </w:r>
    </w:p>
    <w:p>
      <w:pPr>
        <w:pStyle w:val="FirstParagraph"/>
      </w:pPr>
      <w:r>
        <w:rPr>
          <w:b/>
          <w:bCs/>
        </w:rPr>
        <w:t xml:space="preserve">Note: If you do not have this option, please contact Amy Honan (amy.honan@oregonstate.edu) or Andrew Wilson (andrew.wilson@BotanicGardens.org) for assistance.</w:t>
      </w:r>
    </w:p>
    <w:p>
      <w:pPr>
        <w:pStyle w:val="Compact"/>
        <w:numPr>
          <w:ilvl w:val="0"/>
          <w:numId w:val="1005"/>
        </w:numPr>
      </w:pPr>
      <w:r>
        <w:t xml:space="preserve">Complete the following criteria indicated in the lettered parts of the figure below:</w:t>
      </w:r>
    </w:p>
    <w:p>
      <w:pPr>
        <w:pStyle w:val="Compact"/>
        <w:numPr>
          <w:ilvl w:val="1"/>
          <w:numId w:val="1006"/>
        </w:numPr>
      </w:pPr>
      <w:r>
        <w:t xml:space="preserve">Add Title. Include Institution, term or semester, and year.</w:t>
      </w:r>
    </w:p>
    <w:p>
      <w:pPr>
        <w:pStyle w:val="Compact"/>
        <w:numPr>
          <w:ilvl w:val="1"/>
          <w:numId w:val="1006"/>
        </w:numPr>
      </w:pPr>
      <w:r>
        <w:t xml:space="preserve">Make this Invite Only. You will add your students to this project.</w:t>
      </w:r>
    </w:p>
    <w:p>
      <w:pPr>
        <w:pStyle w:val="Compact"/>
        <w:numPr>
          <w:ilvl w:val="1"/>
          <w:numId w:val="1006"/>
        </w:numPr>
      </w:pPr>
      <w:r>
        <w:t xml:space="preserve">Add images or logos as you see fit. This step is useful if you manage multiple projects.</w:t>
      </w:r>
    </w:p>
    <w:p>
      <w:pPr>
        <w:pStyle w:val="Compact"/>
        <w:numPr>
          <w:ilvl w:val="0"/>
          <w:numId w:val="1005"/>
        </w:numPr>
      </w:pPr>
      <w:r>
        <w:t xml:space="preserve">Other fields to consider:</w:t>
      </w:r>
    </w:p>
    <w:p>
      <w:pPr>
        <w:pStyle w:val="Compact"/>
        <w:numPr>
          <w:ilvl w:val="1"/>
          <w:numId w:val="1007"/>
        </w:numPr>
      </w:pPr>
      <w:r>
        <w:t xml:space="preserve">Location: You may choose to limit the locations of your observations. If your project is set to invite only, this is likely unnecessary.</w:t>
      </w:r>
    </w:p>
    <w:p>
      <w:pPr>
        <w:pStyle w:val="Compact"/>
        <w:numPr>
          <w:ilvl w:val="1"/>
          <w:numId w:val="1007"/>
        </w:numPr>
      </w:pPr>
      <w:r>
        <w:t xml:space="preserve">Observation Fields: Here you can link the fungal endophytes back to the host plants. In the future, we may have further instructions for data to add here.</w:t>
      </w:r>
    </w:p>
    <w:p>
      <w:pPr>
        <w:pStyle w:val="Compact"/>
        <w:numPr>
          <w:ilvl w:val="0"/>
          <w:numId w:val="1005"/>
        </w:numPr>
      </w:pPr>
      <w:r>
        <w:t xml:space="preserve">Complete the project by selecting the Create button.</w:t>
      </w:r>
    </w:p>
    <w:p>
      <w:pPr>
        <w:pStyle w:val="Compact"/>
        <w:numPr>
          <w:ilvl w:val="0"/>
          <w:numId w:val="1005"/>
        </w:numPr>
      </w:pPr>
      <w:r>
        <w:t xml:space="preserve">You may add your MycoEd concierges to your project if you wish (Andrew_wilson, ahonan).</w:t>
      </w:r>
    </w:p>
    <w:p>
      <w:pPr>
        <w:pStyle w:val="Compact"/>
        <w:numPr>
          <w:ilvl w:val="0"/>
          <w:numId w:val="1005"/>
        </w:numPr>
      </w:pPr>
      <w:r>
        <w:t xml:space="preserve">Email Andrew Wilson (andrew.wilson@BotanicGardens.org) to be added to the MycoEd Fungal Genomics Education Project.</w:t>
      </w:r>
    </w:p>
    <w:p>
      <w:pPr>
        <w:pStyle w:val="Compact"/>
        <w:numPr>
          <w:ilvl w:val="0"/>
          <w:numId w:val="1005"/>
        </w:numPr>
      </w:pPr>
      <w:r>
        <w:t xml:space="preserve">Add your project name to the text highlighted in yellow in copies of the following documents:</w:t>
      </w:r>
    </w:p>
    <w:p>
      <w:pPr>
        <w:pStyle w:val="Compact"/>
        <w:numPr>
          <w:ilvl w:val="1"/>
          <w:numId w:val="1008"/>
        </w:numPr>
      </w:pPr>
      <w:r>
        <w:t xml:space="preserve">Module 1 – Using iNaturalist</w:t>
      </w:r>
    </w:p>
    <w:p>
      <w:pPr>
        <w:pStyle w:val="Compact"/>
        <w:numPr>
          <w:ilvl w:val="1"/>
          <w:numId w:val="1008"/>
        </w:numPr>
      </w:pPr>
      <w:r>
        <w:t xml:space="preserve">Module 1 – Sampling Fungal Endophytes and Culturing Student Instructions</w:t>
      </w:r>
    </w:p>
    <w:p>
      <w:pPr>
        <w:pStyle w:val="FirstParagraph"/>
      </w:pPr>
      <w:r>
        <w:t xml:space="preserve">Adding your name to the copies of these documents will enable you to use them directly in your courses.</w:t>
      </w:r>
    </w:p>
    <w:bookmarkEnd w:id="30"/>
    <w:bookmarkStart w:id="31" w:name="add-participants-students-to-the-project"/>
    <w:p>
      <w:pPr>
        <w:pStyle w:val="Heading3"/>
      </w:pPr>
      <w:r>
        <w:t xml:space="preserve">Add Participants (=Students) To The Project</w:t>
      </w:r>
    </w:p>
    <w:p>
      <w:pPr>
        <w:pStyle w:val="FirstParagraph"/>
      </w:pPr>
      <w:r>
        <w:t xml:space="preserve">Because we’ve made the Project</w:t>
      </w:r>
      <w:r>
        <w:t xml:space="preserve"> </w:t>
      </w:r>
      <w:r>
        <w:t xml:space="preserve">“Invite Only”</w:t>
      </w:r>
      <w:r>
        <w:t xml:space="preserve"> </w:t>
      </w:r>
      <w:r>
        <w:t xml:space="preserve">you will need to manually invite each of the students to join the course. They are instructed to join the course in Module 1.2.</w:t>
      </w:r>
    </w:p>
    <w:p>
      <w:pPr>
        <w:pStyle w:val="Compact"/>
        <w:numPr>
          <w:ilvl w:val="0"/>
          <w:numId w:val="1009"/>
        </w:numPr>
      </w:pPr>
      <w:r>
        <w:t xml:space="preserve">Open your Myco-Ed project.</w:t>
      </w:r>
    </w:p>
    <w:p>
      <w:pPr>
        <w:pStyle w:val="Compact"/>
        <w:numPr>
          <w:ilvl w:val="0"/>
          <w:numId w:val="1009"/>
        </w:numPr>
      </w:pPr>
      <w:r>
        <w:t xml:space="preserve">Select the</w:t>
      </w:r>
      <w:r>
        <w:t xml:space="preserve"> </w:t>
      </w:r>
      <w:r>
        <w:t xml:space="preserve">“Members”</w:t>
      </w:r>
      <w:r>
        <w:t xml:space="preserve"> </w:t>
      </w:r>
      <w:r>
        <w:t xml:space="preserve">section on the lower right. In this section you can manage membership and participation for the project.</w:t>
      </w:r>
    </w:p>
    <w:p>
      <w:pPr>
        <w:pStyle w:val="Compact"/>
        <w:numPr>
          <w:ilvl w:val="0"/>
          <w:numId w:val="1009"/>
        </w:numPr>
      </w:pPr>
      <w:r>
        <w:t xml:space="preserve">Click on</w:t>
      </w:r>
      <w:r>
        <w:t xml:space="preserve"> </w:t>
      </w:r>
      <w:r>
        <w:t xml:space="preserve">“invite new members here”</w:t>
      </w:r>
      <w:r>
        <w:t xml:space="preserve"> </w:t>
      </w:r>
      <w:r>
        <w:t xml:space="preserve">in the yellow box on the right.</w:t>
      </w:r>
    </w:p>
    <w:p>
      <w:pPr>
        <w:pStyle w:val="Compact"/>
        <w:numPr>
          <w:ilvl w:val="0"/>
          <w:numId w:val="1009"/>
        </w:numPr>
      </w:pPr>
      <w:r>
        <w:t xml:space="preserve">Once you’ve received the iNaturalist User IDs, start adding your students to the blank space under</w:t>
      </w:r>
      <w:r>
        <w:t xml:space="preserve"> </w:t>
      </w:r>
      <w:r>
        <w:t xml:space="preserve">“Invite people…”</w:t>
      </w:r>
      <w:r>
        <w:t xml:space="preserve">. Their names/user ID should appear in the drop down menu.</w:t>
      </w:r>
    </w:p>
    <w:p>
      <w:pPr>
        <w:pStyle w:val="FirstParagraph"/>
      </w:pPr>
      <w:r>
        <w:t xml:space="preserve">If their names do not show up, it is because they have not completed their iNaturalist registration, or the User ID is different from what they’ve supplied.</w:t>
      </w:r>
    </w:p>
    <w:p>
      <w:pPr>
        <w:pStyle w:val="Compact"/>
        <w:numPr>
          <w:ilvl w:val="0"/>
          <w:numId w:val="1010"/>
        </w:numPr>
      </w:pPr>
      <w:r>
        <w:t xml:space="preserve">Instruct the students to look for their invitation and join the project. They must now add their course’s iNaturalist observations to the project for them to show up in the project.</w:t>
      </w:r>
    </w:p>
    <w:p>
      <w:pPr>
        <w:pStyle w:val="FirstParagraph"/>
      </w:pPr>
      <w:r>
        <w:t xml:space="preserve">Use this last step as a requirement for course credit to ensure the process is completed by students.</w:t>
      </w:r>
    </w:p>
    <w:bookmarkEnd w:id="31"/>
    <w:bookmarkEnd w:id="32"/>
    <w:bookmarkStart w:id="36" w:name="module-0.3-inaturalist-checklist"/>
    <w:p>
      <w:pPr>
        <w:pStyle w:val="Heading2"/>
      </w:pPr>
      <w:r>
        <w:t xml:space="preserve">Module 0.3 – iNaturalist Checklist</w:t>
      </w:r>
    </w:p>
    <w:bookmarkStart w:id="35" w:name="inaturalist-checklist"/>
    <w:p>
      <w:pPr>
        <w:pStyle w:val="Heading3"/>
      </w:pPr>
      <w:r>
        <w:t xml:space="preserve">iNaturalist Checklist</w:t>
      </w:r>
    </w:p>
    <w:p>
      <w:pPr>
        <w:pStyle w:val="FirstParagraph"/>
      </w:pPr>
      <w:r>
        <w:t xml:space="preserve">This checklist will help you track your progress in managing Myco-Ed project data using iNaturalist.</w:t>
      </w:r>
    </w:p>
    <w:bookmarkStart w:id="33" w:name="for-instructors"/>
    <w:p>
      <w:pPr>
        <w:pStyle w:val="Heading4"/>
      </w:pPr>
      <w:r>
        <w:t xml:space="preserve">For Instructors</w:t>
      </w:r>
    </w:p>
    <w:p>
      <w:pPr>
        <w:pStyle w:val="Compact"/>
        <w:numPr>
          <w:ilvl w:val="0"/>
          <w:numId w:val="1011"/>
        </w:numPr>
      </w:pPr>
      <w:r>
        <w:t xml:space="preserve">Create an iNaturalist Account. (Module 0.2)</w:t>
      </w:r>
    </w:p>
    <w:p>
      <w:pPr>
        <w:pStyle w:val="Compact"/>
        <w:numPr>
          <w:ilvl w:val="0"/>
          <w:numId w:val="1012"/>
        </w:numPr>
      </w:pPr>
      <w:r>
        <w:t xml:space="preserve">Create an iNaturalist Traditional Project for your course. (Module 0.2) You may need to request the assistance of the Myco-Ed team to create this if you do not have the pre-requisite number of observations.</w:t>
      </w:r>
    </w:p>
    <w:p>
      <w:pPr>
        <w:pStyle w:val="Compact"/>
        <w:numPr>
          <w:ilvl w:val="0"/>
          <w:numId w:val="1013"/>
        </w:numPr>
      </w:pPr>
      <w:r>
        <w:t xml:space="preserve">Tell your students the name of the iNaturalist Project, and request their iNaturalist user IDs.</w:t>
      </w:r>
    </w:p>
    <w:p>
      <w:pPr>
        <w:pStyle w:val="Compact"/>
        <w:numPr>
          <w:ilvl w:val="0"/>
          <w:numId w:val="1014"/>
        </w:numPr>
      </w:pPr>
      <w:r>
        <w:t xml:space="preserve">Add the students to the course project once they’ve completed Module 1.2. (Module 0.2)</w:t>
      </w:r>
    </w:p>
    <w:p>
      <w:pPr>
        <w:pStyle w:val="Compact"/>
        <w:numPr>
          <w:ilvl w:val="0"/>
          <w:numId w:val="1015"/>
        </w:numPr>
      </w:pPr>
      <w:r>
        <w:t xml:space="preserve">Instruct students on iNaturalist data management obligations for course credit (at the instructor’s discretion).</w:t>
      </w:r>
    </w:p>
    <w:bookmarkEnd w:id="33"/>
    <w:bookmarkStart w:id="34" w:name="for-studentsparticipants"/>
    <w:p>
      <w:pPr>
        <w:pStyle w:val="Heading4"/>
      </w:pPr>
      <w:r>
        <w:t xml:space="preserve">For Students/Participants</w:t>
      </w:r>
    </w:p>
    <w:p>
      <w:pPr>
        <w:pStyle w:val="FirstParagraph"/>
      </w:pPr>
      <w:r>
        <w:rPr>
          <w:b/>
          <w:bCs/>
        </w:rPr>
        <w:t xml:space="preserve">Homework Assignment 1 (Module 1.2)</w:t>
      </w:r>
    </w:p>
    <w:p>
      <w:pPr>
        <w:pStyle w:val="Compact"/>
        <w:numPr>
          <w:ilvl w:val="0"/>
          <w:numId w:val="1016"/>
        </w:numPr>
      </w:pPr>
      <w:r>
        <w:t xml:space="preserve">Create an iNaturalist Account.</w:t>
      </w:r>
    </w:p>
    <w:p>
      <w:pPr>
        <w:pStyle w:val="Compact"/>
        <w:numPr>
          <w:ilvl w:val="0"/>
          <w:numId w:val="1017"/>
        </w:numPr>
      </w:pPr>
      <w:r>
        <w:t xml:space="preserve">Get the iNaturalist App for your phone</w:t>
      </w:r>
    </w:p>
    <w:p>
      <w:pPr>
        <w:pStyle w:val="Compact"/>
        <w:numPr>
          <w:ilvl w:val="0"/>
          <w:numId w:val="1018"/>
        </w:numPr>
      </w:pPr>
      <w:r>
        <w:t xml:space="preserve">Give your instructor your iNaturalist User Name.</w:t>
      </w:r>
    </w:p>
    <w:p>
      <w:pPr>
        <w:pStyle w:val="Compact"/>
        <w:numPr>
          <w:ilvl w:val="0"/>
          <w:numId w:val="1019"/>
        </w:numPr>
      </w:pPr>
      <w:r>
        <w:t xml:space="preserve">Update your real name under your account settings.</w:t>
      </w:r>
    </w:p>
    <w:p>
      <w:pPr>
        <w:pStyle w:val="Compact"/>
        <w:numPr>
          <w:ilvl w:val="0"/>
          <w:numId w:val="1020"/>
        </w:numPr>
      </w:pPr>
      <w:r>
        <w:t xml:space="preserve">Watch some videos and tutorials.</w:t>
      </w:r>
    </w:p>
    <w:p>
      <w:pPr>
        <w:pStyle w:val="Compact"/>
        <w:numPr>
          <w:ilvl w:val="0"/>
          <w:numId w:val="1021"/>
        </w:numPr>
      </w:pPr>
      <w:r>
        <w:t xml:space="preserve">Join the course project once you receive an invitation from the instructor/TA.</w:t>
      </w:r>
    </w:p>
    <w:p>
      <w:pPr>
        <w:pStyle w:val="FirstParagraph"/>
      </w:pPr>
      <w:r>
        <w:rPr>
          <w:b/>
          <w:bCs/>
        </w:rPr>
        <w:t xml:space="preserve">Make an Observation (Module 1.2)</w:t>
      </w:r>
    </w:p>
    <w:p>
      <w:pPr>
        <w:pStyle w:val="Compact"/>
        <w:numPr>
          <w:ilvl w:val="0"/>
          <w:numId w:val="1022"/>
        </w:numPr>
      </w:pPr>
      <w:r>
        <w:t xml:space="preserve">Take multiple images of the plant host (or habitat photos of the environment) and include at least one image with a unique field number. (e.g., MycoEd_004)</w:t>
      </w:r>
    </w:p>
    <w:p>
      <w:pPr>
        <w:pStyle w:val="Compact"/>
        <w:numPr>
          <w:ilvl w:val="0"/>
          <w:numId w:val="1023"/>
        </w:numPr>
      </w:pPr>
      <w:r>
        <w:t xml:space="preserve">Add the observation to your course project.</w:t>
      </w:r>
    </w:p>
    <w:p>
      <w:pPr>
        <w:pStyle w:val="Compact"/>
        <w:numPr>
          <w:ilvl w:val="0"/>
          <w:numId w:val="1024"/>
        </w:numPr>
      </w:pPr>
      <w:r>
        <w:t xml:space="preserve">Save and upload the observation to the cloud once you’re connected to wifi.</w:t>
      </w:r>
    </w:p>
    <w:p>
      <w:pPr>
        <w:pStyle w:val="Compact"/>
        <w:numPr>
          <w:ilvl w:val="0"/>
          <w:numId w:val="1025"/>
        </w:numPr>
      </w:pPr>
      <w:r>
        <w:t xml:space="preserve">Add Observation Field for MycoEd ID.</w:t>
      </w:r>
    </w:p>
    <w:p>
      <w:pPr>
        <w:pStyle w:val="Compact"/>
        <w:numPr>
          <w:ilvl w:val="0"/>
          <w:numId w:val="1026"/>
        </w:numPr>
      </w:pPr>
      <w:r>
        <w:t xml:space="preserve">Add Observation Field for DNA Barcode ITS once you have DNA sequence data.</w:t>
      </w:r>
    </w:p>
    <w:p>
      <w:pPr>
        <w:pStyle w:val="Compact"/>
        <w:numPr>
          <w:ilvl w:val="0"/>
          <w:numId w:val="1027"/>
        </w:numPr>
      </w:pPr>
      <w:r>
        <w:t xml:space="preserve">Update the name of fungal isolates using DNA sequence BLAST results.</w:t>
      </w:r>
    </w:p>
    <w:p>
      <w:pPr>
        <w:pStyle w:val="Compact"/>
        <w:numPr>
          <w:ilvl w:val="0"/>
          <w:numId w:val="1028"/>
        </w:numPr>
      </w:pPr>
      <w:r>
        <w:t xml:space="preserve">Add Observation Field for Host Observation for fungal isolates linking to the original host on iNaturalist.</w:t>
      </w:r>
    </w:p>
    <w:bookmarkEnd w:id="34"/>
    <w:bookmarkEnd w:id="35"/>
    <w:bookmarkEnd w:id="36"/>
    <w:bookmarkEnd w:id="37"/>
    <w:bookmarkStart w:id="88" w:name="module-1-fungal-sampling"/>
    <w:p>
      <w:pPr>
        <w:pStyle w:val="Heading1"/>
      </w:pPr>
      <w:r>
        <w:t xml:space="preserve">Module 1: Fungal Sampling</w:t>
      </w:r>
    </w:p>
    <w:bookmarkStart w:id="43" w:name="module-1.1-lab-prep-overview"/>
    <w:p>
      <w:pPr>
        <w:pStyle w:val="Heading2"/>
      </w:pPr>
      <w:r>
        <w:t xml:space="preserve">Module 1.1 – Lab Prep Overview</w:t>
      </w:r>
    </w:p>
    <w:bookmarkStart w:id="42" w:name="X77a2a5cde368cdc7e0265278fa1fc26eefd1a5c"/>
    <w:p>
      <w:pPr>
        <w:pStyle w:val="Heading3"/>
      </w:pPr>
      <w:r>
        <w:t xml:space="preserve">Instructor Laboratory Preparation Instructions</w:t>
      </w:r>
    </w:p>
    <w:bookmarkStart w:id="41" w:name="materials"/>
    <w:p>
      <w:pPr>
        <w:pStyle w:val="Heading4"/>
      </w:pPr>
      <w:r>
        <w:t xml:space="preserve">Materials</w:t>
      </w:r>
    </w:p>
    <w:p>
      <w:pPr>
        <w:pStyle w:val="Compact"/>
        <w:numPr>
          <w:ilvl w:val="0"/>
          <w:numId w:val="1029"/>
        </w:numPr>
      </w:pPr>
      <w:r>
        <w:t xml:space="preserve">Cellophane discs (rinsed and individually wrapped before autoclaving)</w:t>
      </w:r>
    </w:p>
    <w:p>
      <w:pPr>
        <w:pStyle w:val="Compact"/>
        <w:numPr>
          <w:ilvl w:val="0"/>
          <w:numId w:val="1030"/>
        </w:numPr>
      </w:pPr>
      <w:r>
        <w:t xml:space="preserve">150x10mm Petri dishes</w:t>
      </w:r>
    </w:p>
    <w:p>
      <w:pPr>
        <w:pStyle w:val="Compact"/>
        <w:numPr>
          <w:ilvl w:val="0"/>
          <w:numId w:val="1031"/>
        </w:numPr>
      </w:pPr>
      <w:r>
        <w:t xml:space="preserve">60x15mm Petri dishes</w:t>
      </w:r>
    </w:p>
    <w:p>
      <w:pPr>
        <w:pStyle w:val="Compact"/>
        <w:numPr>
          <w:ilvl w:val="0"/>
          <w:numId w:val="1032"/>
        </w:numPr>
      </w:pPr>
      <w:r>
        <w:t xml:space="preserve">Bacteriological agar</w:t>
      </w:r>
    </w:p>
    <w:p>
      <w:pPr>
        <w:pStyle w:val="Compact"/>
        <w:numPr>
          <w:ilvl w:val="0"/>
          <w:numId w:val="1033"/>
        </w:numPr>
      </w:pPr>
      <w:r>
        <w:t xml:space="preserve">Potato Dextrose Agar (PDA)</w:t>
      </w:r>
    </w:p>
    <w:p>
      <w:pPr>
        <w:pStyle w:val="Compact"/>
        <w:numPr>
          <w:ilvl w:val="0"/>
          <w:numId w:val="1034"/>
        </w:numPr>
      </w:pPr>
      <w:r>
        <w:t xml:space="preserve">Forceps</w:t>
      </w:r>
    </w:p>
    <w:p>
      <w:pPr>
        <w:pStyle w:val="Compact"/>
        <w:numPr>
          <w:ilvl w:val="0"/>
          <w:numId w:val="1035"/>
        </w:numPr>
      </w:pPr>
      <w:r>
        <w:t xml:space="preserve">Scalpels or metal hole punch</w:t>
      </w:r>
    </w:p>
    <w:p>
      <w:pPr>
        <w:pStyle w:val="FirstParagraph"/>
      </w:pPr>
      <w:r>
        <w:rPr>
          <w:b/>
          <w:bCs/>
        </w:rPr>
        <w:t xml:space="preserve">Lab Prep and Sterility:</w:t>
      </w:r>
      <w:r>
        <w:t xml:space="preserve"> </w:t>
      </w:r>
      <w:r>
        <w:t xml:space="preserve">We will be working at the bench and without Bunsen burners.</w:t>
      </w:r>
      <w:r>
        <w:t xml:space="preserve"> </w:t>
      </w:r>
      <w:r>
        <w:rPr>
          <w:b/>
          <w:bCs/>
        </w:rPr>
        <w:t xml:space="preserve">Be very careful and do not leave plates open for long periods.</w:t>
      </w:r>
      <w:r>
        <w:t xml:space="preserve"> </w:t>
      </w:r>
      <w:r>
        <w:t xml:space="preserve">First, clean your work area with bleach, and/or ethanol. We will use clean benches and laminar flow hoods when available, but this is a good alternative for those without access to these resources.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Note that we will be working with 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p>
          <w:p>
            <w:pPr>
              <w:pStyle w:val="BodyText"/>
            </w:pPr>
            <w:pPr>
              <w:spacing w:after="16"/>
            </w:pPr>
            <w:r>
              <w:t xml:space="preserve">Additionally, we may not be able to work in a laminar flow hood, which increases the risk of contamination. Be extra cautious with sterile technique and be prepared for some contamination in your plates.</w:t>
            </w:r>
            <w:r>
              <w:t xml:space="preserve"> </w:t>
            </w:r>
            <w:r>
              <w:rPr>
                <w:b/>
                <w:bCs/>
              </w:rPr>
              <w:t xml:space="preserve">Work carefully and do not leave plates open for long periods of time.</w:t>
            </w:r>
          </w:p>
          <w:p/>
        </w:tc>
      </w:tr>
    </w:tbl>
    <w:p>
      <w:pPr>
        <w:pStyle w:val="BodyText"/>
      </w:pPr>
      <w:r>
        <w:rPr>
          <w:b/>
          <w:bCs/>
        </w:rPr>
        <w:t xml:space="preserve">Water Agar Plates:</w:t>
      </w:r>
      <w:r>
        <w:t xml:space="preserve"> </w:t>
      </w:r>
      <w:r>
        <w:t xml:space="preserve">Student scholars isolate fungal endophytes from leaves on water agar. We use one 100x15mm Petri dish to plate up to 6 leaf discs (</w:t>
      </w:r>
      <w:hyperlink w:anchor="fig-Wateragar">
        <w:r>
          <w:rPr>
            <w:rStyle w:val="Hyperlink"/>
          </w:rPr>
          <w:t xml:space="preserve">Figure 3</w:t>
        </w:r>
      </w:hyperlink>
      <w:r>
        <w:t xml:space="preserve">).</w:t>
      </w:r>
    </w:p>
    <w:p>
      <w:pPr>
        <w:pStyle w:val="BodyText"/>
      </w:pPr>
      <w:r>
        <w:rPr>
          <w:b/>
          <w:bCs/>
        </w:rPr>
        <w:t xml:space="preserve">Water Agar Recipe:</w:t>
      </w:r>
      <w:r>
        <w:t xml:space="preserve"> </w:t>
      </w:r>
      <w:r>
        <w:t xml:space="preserve">Suspend 39 grams bacteriological agar in 1000 mL (1 L) distilled water. Heat to boiling to dissolve the medium completely (in most cases, this step can be skipped as autoclaving will dissolve media). Sterilize by autoclaving at 15 lbs pressure at 121 °C for 15 minutes.</w:t>
      </w:r>
    </w:p>
    <w:p>
      <w:pPr>
        <w:pStyle w:val="BodyText"/>
      </w:pPr>
      <w:r>
        <w:t xml:space="preserve">When the media is cool enough to handle with autoclave gloves, pour 100x15mm plates in a sterile environment. Do not let it cool too long as the media will solidify. Each 100x15mm plate holds approximately 20 ml media. If plates will be used immediately smaller amounts of media can be poured into plates. If plates will be stored, use larger amounts. Store plates in the original dish sleeve in a refrigerator (~4 °C) until use.</w:t>
      </w:r>
    </w:p>
    <w:p>
      <w:pPr>
        <w:pStyle w:val="BodyText"/>
      </w:pPr>
      <w:r>
        <w:rPr>
          <w:b/>
          <w:bCs/>
        </w:rPr>
        <w:t xml:space="preserve">Disposal:</w:t>
      </w:r>
      <w:r>
        <w:t xml:space="preserve"> </w:t>
      </w:r>
      <w:r>
        <w:t xml:space="preserve">Place all Petri dishes in an autoclavable bag and sterilize at 15 lbs. pressure at 121 °C for 15 minutes. Follow institutional protocol for post-sterilization disposal. Be sure that the disposal of any heavy metals or other chemicals is properly handled.</w:t>
      </w:r>
    </w:p>
    <w:bookmarkEnd w:id="41"/>
    <w:bookmarkEnd w:id="42"/>
    <w:bookmarkEnd w:id="43"/>
    <w:bookmarkStart w:id="52" w:name="module-1.2-metadata-directions"/>
    <w:p>
      <w:pPr>
        <w:pStyle w:val="Heading2"/>
      </w:pPr>
      <w:r>
        <w:t xml:space="preserve">Module 1.2 – Metadata Directions</w:t>
      </w:r>
    </w:p>
    <w:bookmarkStart w:id="45" w:name="metadata"/>
    <w:p>
      <w:pPr>
        <w:pStyle w:val="Heading3"/>
      </w:pPr>
      <w:r>
        <w:t xml:space="preserve">Metadata</w:t>
      </w:r>
    </w:p>
    <w:p>
      <w:pPr>
        <w:pStyle w:val="FirstParagraph"/>
      </w:pPr>
      <w:r>
        <w:rPr>
          <w:b/>
          <w:bCs/>
        </w:rPr>
        <w:t xml:space="preserve">Metadata</w:t>
      </w:r>
      <w:r>
        <w:t xml:space="preserve"> </w:t>
      </w:r>
      <w:r>
        <w:t xml:space="preserve">is the data providing information about other data.</w:t>
      </w:r>
      <w:r>
        <w:t xml:space="preserve"> </w:t>
      </w:r>
      <w:r>
        <w:t xml:space="preserve">In this project, metadata refers to information related to the fungi you will study, including information about the substrate (e.g., plant host for fungal endophytes), location (latitude and longitude), elevation, images, fungal species, growth rates, assay information, images, and other variables. This document guides you through capturing this data and where to document it.</w:t>
      </w:r>
    </w:p>
    <w:p>
      <w:pPr>
        <w:pStyle w:val="BodyText"/>
      </w:pPr>
      <w:r>
        <w:t xml:space="preserve">Once you have selected the plant(s) that you will isolate fungi from, upload an image of each plant to your course’s iNaturalist Project page. This part of the larger MycoEd Fungal Genomics Education Project. The fungi you isolate from this plant and the data associated with the fungal isolates will be linked back to this observation. These data will then be freely available to you and any other researchers interested in investigating fungal endophyte ecology and genomics.</w:t>
      </w:r>
    </w:p>
    <w:p>
      <w:pPr>
        <w:pStyle w:val="BodyText"/>
      </w:pPr>
      <w:r>
        <w:t xml:space="preserve">Record metadata on the</w:t>
      </w:r>
      <w:r>
        <w:t xml:space="preserve"> </w:t>
      </w:r>
      <w:hyperlink r:id="rId44">
        <w:r>
          <w:rPr>
            <w:rStyle w:val="Hyperlink"/>
            <w:b/>
            <w:bCs/>
          </w:rPr>
          <w:t xml:space="preserve">Endophyte spreadsheet</w:t>
        </w:r>
      </w:hyperlink>
      <w:r>
        <w:t xml:space="preserve">. Below are descriptions for each category where necessary.</w:t>
      </w:r>
    </w:p>
    <w:bookmarkEnd w:id="45"/>
    <w:bookmarkStart w:id="47" w:name="inaturalist-plant-observation"/>
    <w:p>
      <w:pPr>
        <w:pStyle w:val="Heading3"/>
      </w:pPr>
      <w:r>
        <w:t xml:space="preserve">iNaturalist Plant Observation</w:t>
      </w:r>
    </w:p>
    <w:p>
      <w:pPr>
        <w:pStyle w:val="FirstParagraph"/>
      </w:pPr>
      <w:hyperlink r:id="rId46">
        <w:r>
          <w:rPr>
            <w:rStyle w:val="Hyperlink"/>
          </w:rPr>
          <w:t xml:space="preserve">NC State Myco Ed on iNaturalist</w:t>
        </w:r>
      </w:hyperlink>
    </w:p>
    <w:bookmarkEnd w:id="47"/>
    <w:bookmarkStart w:id="48" w:name="sample-naming"/>
    <w:p>
      <w:pPr>
        <w:pStyle w:val="Heading3"/>
      </w:pPr>
      <w:r>
        <w:t xml:space="preserve">Sample Naming</w:t>
      </w:r>
    </w:p>
    <w:p>
      <w:pPr>
        <w:pStyle w:val="FirstParagraph"/>
      </w:pPr>
      <w:r>
        <w:t xml:space="preserve">Your individual fungal isolates will be identified using several identifiers. The first will be the unique</w:t>
      </w:r>
      <w:r>
        <w:t xml:space="preserve"> </w:t>
      </w:r>
      <w:r>
        <w:rPr>
          <w:b/>
          <w:bCs/>
        </w:rPr>
        <w:t xml:space="preserve">Host ID number</w:t>
      </w:r>
      <w:r>
        <w:t xml:space="preserve"> </w:t>
      </w:r>
      <w:r>
        <w:t xml:space="preserve">that identifies the host for the fungi you isolate. Second will be</w:t>
      </w:r>
      <w:r>
        <w:t xml:space="preserve"> </w:t>
      </w:r>
      <w:r>
        <w:rPr>
          <w:b/>
          <w:bCs/>
        </w:rPr>
        <w:t xml:space="preserve">your initials</w:t>
      </w:r>
      <w:r>
        <w:t xml:space="preserve">. Please use at least 3 initials since some large courses may have students with shared initials. Third,</w:t>
      </w:r>
      <w:r>
        <w:t xml:space="preserve"> </w:t>
      </w:r>
      <w:r>
        <w:rPr>
          <w:b/>
          <w:bCs/>
        </w:rPr>
        <w:t xml:space="preserve">each individual leaf you cultured fungi from will be a separate number</w:t>
      </w:r>
      <w:r>
        <w:t xml:space="preserve">. If you take multiple samples from the same leaf, they will be identified by letters. For example, if you have one leaf or needle with 3 different sections, they would be 1a, 1b, and 1c.</w:t>
      </w:r>
    </w:p>
    <w:p>
      <w:pPr>
        <w:pStyle w:val="BodyText"/>
      </w:pPr>
      <w:r>
        <w:rPr>
          <w:b/>
          <w:bCs/>
        </w:rPr>
        <w:t xml:space="preserve">Example:</w:t>
      </w:r>
      <w:r>
        <w:t xml:space="preserve"> </w:t>
      </w:r>
      <w:r>
        <w:t xml:space="preserve">You have leaves collected from a maple tree on your campus. This tree was logged in iNaturalist and given a unique field number MycoED_004 (or whatever format the field numbers are provided in by your instructor/TA) (See the next module 1.2 for details). Let’s assume your initials are ABC. From this collection, you have three leaves that you culture from: leaf 1, leaf 2, and leaf 3. From each of these leaves, you take six segments, so these are letters a-f. So, if you isolate a fungus from the second leaf, third section, and your initials are ABC, the name of the isolate would look like MycoED_004_ABC_2c.</w:t>
      </w:r>
    </w:p>
    <w:p>
      <w:pPr>
        <w:pStyle w:val="BodyText"/>
      </w:pPr>
      <w:r>
        <w:t xml:space="preserve">With this naming scheme, anyone can trace the 1) plant host, 2) the researcher, 3) and the leaf and section the fungal isolate came from. NO other fungus will have this precise labeling unless additional fungi were isolated from this leaf section. After that step you will need to add additional identifiers.</w:t>
      </w:r>
    </w:p>
    <w:bookmarkEnd w:id="48"/>
    <w:bookmarkStart w:id="49" w:name="sample-location"/>
    <w:p>
      <w:pPr>
        <w:pStyle w:val="Heading3"/>
      </w:pPr>
      <w:r>
        <w:t xml:space="preserve">Sample Location</w:t>
      </w:r>
    </w:p>
    <w:p>
      <w:pPr>
        <w:pStyle w:val="FirstParagraph"/>
      </w:pPr>
      <w:r>
        <w:t xml:space="preserve">Record latitude and longitude in decimal format.</w:t>
      </w:r>
      <w:r>
        <w:t xml:space="preserve"> </w:t>
      </w:r>
      <w:r>
        <w:t xml:space="preserve">On a computer, go to iNaturalist observation. On the map, click on details at the bottom.</w:t>
      </w:r>
    </w:p>
    <w:p>
      <w:pPr>
        <w:pStyle w:val="BodyText"/>
      </w:pPr>
      <w:r>
        <w:t xml:space="preserve">From the dropdown menu. The Lat/Long is now shown. Click the copy button and paste it into the</w:t>
      </w:r>
      <w:r>
        <w:t xml:space="preserve"> </w:t>
      </w:r>
      <w:hyperlink r:id="rId44">
        <w:r>
          <w:rPr>
            <w:rStyle w:val="Hyperlink"/>
          </w:rPr>
          <w:t xml:space="preserve">Endophyte spreadsheet</w:t>
        </w:r>
      </w:hyperlink>
      <w:r>
        <w:t xml:space="preserve">.</w:t>
      </w:r>
    </w:p>
    <w:p>
      <w:pPr>
        <w:pStyle w:val="BodyText"/>
      </w:pPr>
      <w:r>
        <w:t xml:space="preserve">You can also find latitude/longitude coordinates on Google Maps.</w:t>
      </w:r>
      <w:r>
        <w:t xml:space="preserve"> </w:t>
      </w:r>
      <w:r>
        <w:t xml:space="preserve">For Android phones: tap location and copy and paste in a text and it’s automatically in decimal degree format.</w:t>
      </w:r>
      <w:r>
        <w:t xml:space="preserve"> </w:t>
      </w:r>
      <w:r>
        <w:t xml:space="preserve">For the iPhones:</w:t>
      </w:r>
      <w:r>
        <w:t xml:space="preserve"> </w:t>
      </w:r>
      <w:r>
        <w:t xml:space="preserve">1. Open the Google maps app. Tap the</w:t>
      </w:r>
      <w:r>
        <w:t xml:space="preserve"> </w:t>
      </w:r>
      <w:r>
        <w:t xml:space="preserve">“black triangle in a circle”</w:t>
      </w:r>
      <w:r>
        <w:t xml:space="preserve"> </w:t>
      </w:r>
      <w:r>
        <w:t xml:space="preserve">icon to zoom to your location.</w:t>
      </w:r>
      <w:r>
        <w:t xml:space="preserve"> </w:t>
      </w:r>
      <w:r>
        <w:t xml:space="preserve">2. Long touch on your location. This should open a tab at the bottom of the screen.</w:t>
      </w:r>
      <w:r>
        <w:t xml:space="preserve"> </w:t>
      </w:r>
      <w:r>
        <w:t xml:space="preserve">3. Scroll up. You should see the latitude and longitude coordinates of that position, looking something like this: (45.1234567, -122.1234567).</w:t>
      </w:r>
      <w:r>
        <w:t xml:space="preserve"> </w:t>
      </w:r>
      <w:r>
        <w:t xml:space="preserve">4. Long touch the coordinates, tap copy and then paste into an email or text.</w:t>
      </w:r>
    </w:p>
    <w:bookmarkEnd w:id="49"/>
    <w:bookmarkStart w:id="50" w:name="elevation"/>
    <w:p>
      <w:pPr>
        <w:pStyle w:val="Heading3"/>
      </w:pPr>
      <w:r>
        <w:t xml:space="preserve">Elevation</w:t>
      </w:r>
    </w:p>
    <w:p>
      <w:pPr>
        <w:pStyle w:val="FirstParagraph"/>
      </w:pPr>
      <w:r>
        <w:t xml:space="preserve">Record the elevation of the plant in meters.</w:t>
      </w:r>
      <w:r>
        <w:t xml:space="preserve"> </w:t>
      </w:r>
      <w:r>
        <w:t xml:space="preserve">On a computer, go to iNaturalist observation and again, click on details at the bottom.</w:t>
      </w:r>
      <w:r>
        <w:t xml:space="preserve"> </w:t>
      </w:r>
      <w:r>
        <w:t xml:space="preserve">1. On a computer, go to iNaturalist observation and again, click on details at the bottom.</w:t>
      </w:r>
      <w:r>
        <w:t xml:space="preserve"> </w:t>
      </w:r>
      <w:r>
        <w:t xml:space="preserve">2. At the bottom of the details window, click macrostrat.</w:t>
      </w:r>
      <w:r>
        <w:t xml:space="preserve"> </w:t>
      </w:r>
      <w:r>
        <w:t xml:space="preserve">3. The next window will display elevation in meters in the upper right. Record this elevation.</w:t>
      </w:r>
    </w:p>
    <w:bookmarkEnd w:id="50"/>
    <w:bookmarkStart w:id="51" w:name="canopy"/>
    <w:p>
      <w:pPr>
        <w:pStyle w:val="Heading3"/>
      </w:pPr>
      <w:r>
        <w:t xml:space="preserve">Canopy</w:t>
      </w:r>
    </w:p>
    <w:p>
      <w:pPr>
        <w:pStyle w:val="FirstParagraph"/>
      </w:pPr>
      <w:r>
        <w:t xml:space="preserve">Record the portion of the canopy where the leaf was collected (L-lower 1/3 of plant, M-middle 1/3 of plant, or U-upper 1/3 of plant).</w:t>
      </w:r>
    </w:p>
    <w:bookmarkEnd w:id="51"/>
    <w:bookmarkEnd w:id="52"/>
    <w:bookmarkStart w:id="61" w:name="module-1.3-using-inaturalist"/>
    <w:p>
      <w:pPr>
        <w:pStyle w:val="Heading2"/>
      </w:pPr>
      <w:r>
        <w:t xml:space="preserve">Module 1.3 – Using iNaturalist</w:t>
      </w:r>
    </w:p>
    <w:bookmarkStart w:id="59" w:name="using-inaturalist"/>
    <w:p>
      <w:pPr>
        <w:pStyle w:val="Heading3"/>
      </w:pPr>
      <w:r>
        <w:t xml:space="preserve">Using iNaturalist</w:t>
      </w:r>
    </w:p>
    <w:p>
      <w:pPr>
        <w:pStyle w:val="FirstParagraph"/>
      </w:pPr>
      <w:r>
        <w:t xml:space="preserve">For this semester we will be sampling plant tissue and isolating endophytic fungi for an experiment in fungal genomics. Part of this research will include the collection of important meta-data which includes latitude and longitude information, sampled material/host, and taxonomic information. To facilitate this we are using iNaturalist.</w:t>
      </w:r>
    </w:p>
    <w:bookmarkStart w:id="53" w:name="Xbeec4a120114e651dbdef4718e7037939582acc"/>
    <w:p>
      <w:pPr>
        <w:pStyle w:val="Heading4"/>
      </w:pPr>
      <w:r>
        <w:t xml:space="preserve">Homework Assignment 1: Get Set Up to Use iNaturalist</w:t>
      </w:r>
    </w:p>
    <w:p>
      <w:pPr>
        <w:pStyle w:val="Compact"/>
        <w:numPr>
          <w:ilvl w:val="0"/>
          <w:numId w:val="1036"/>
        </w:numPr>
      </w:pPr>
      <w:r>
        <w:t xml:space="preserve">Go to https://www.inaturalist.org/ and make an account if you don’t already have one.</w:t>
      </w:r>
    </w:p>
    <w:p>
      <w:pPr>
        <w:pStyle w:val="Compact"/>
        <w:numPr>
          <w:ilvl w:val="0"/>
          <w:numId w:val="1036"/>
        </w:numPr>
      </w:pPr>
      <w:r>
        <w:t xml:space="preserve">Download the iNaturalist App to your phone.</w:t>
      </w:r>
    </w:p>
    <w:p>
      <w:pPr>
        <w:pStyle w:val="Compact"/>
        <w:numPr>
          <w:ilvl w:val="0"/>
          <w:numId w:val="1036"/>
        </w:numPr>
      </w:pPr>
      <w:r>
        <w:t xml:space="preserve">Give your iNaturalist user ID to your course instructor or TA. They will need this to add you to the course project. Be sure to ask your instructor for the name of the course project.</w:t>
      </w:r>
    </w:p>
    <w:p>
      <w:pPr>
        <w:pStyle w:val="Compact"/>
        <w:numPr>
          <w:ilvl w:val="0"/>
          <w:numId w:val="1036"/>
        </w:numPr>
      </w:pPr>
      <w:r>
        <w:t xml:space="preserve">Join your course project. Within your iNaturalist account, go to: Community&gt;Projects Assuming you’re invited you should see the name of your course project. Join the project. If you don’t see it, send your iNaturalist user ID to your Instructor or TA to receive an invitation.</w:t>
      </w:r>
    </w:p>
    <w:p>
      <w:pPr>
        <w:pStyle w:val="Compact"/>
        <w:numPr>
          <w:ilvl w:val="0"/>
          <w:numId w:val="1036"/>
        </w:numPr>
      </w:pPr>
      <w:r>
        <w:t xml:space="preserve">Add your Real Name to iNaturalist</w:t>
      </w:r>
    </w:p>
    <w:p>
      <w:pPr>
        <w:pStyle w:val="Compact"/>
        <w:numPr>
          <w:ilvl w:val="1"/>
          <w:numId w:val="1037"/>
        </w:numPr>
      </w:pPr>
      <w:r>
        <w:t xml:space="preserve">For your name to display properly you need it spelled out in your profile.</w:t>
      </w:r>
    </w:p>
    <w:p>
      <w:pPr>
        <w:pStyle w:val="Compact"/>
        <w:numPr>
          <w:ilvl w:val="1"/>
          <w:numId w:val="1037"/>
        </w:numPr>
      </w:pPr>
      <w:r>
        <w:t xml:space="preserve">Log into iNat.</w:t>
      </w:r>
    </w:p>
    <w:p>
      <w:pPr>
        <w:pStyle w:val="Compact"/>
        <w:numPr>
          <w:ilvl w:val="1"/>
          <w:numId w:val="1037"/>
        </w:numPr>
      </w:pPr>
      <w:r>
        <w:t xml:space="preserve">Go to your profile icon in the top right.</w:t>
      </w:r>
    </w:p>
    <w:p>
      <w:pPr>
        <w:pStyle w:val="Compact"/>
        <w:numPr>
          <w:ilvl w:val="1"/>
          <w:numId w:val="1037"/>
        </w:numPr>
      </w:pPr>
      <w:r>
        <w:t xml:space="preserve">Select Account Settings.</w:t>
      </w:r>
    </w:p>
    <w:p>
      <w:pPr>
        <w:pStyle w:val="Compact"/>
        <w:numPr>
          <w:ilvl w:val="1"/>
          <w:numId w:val="1037"/>
        </w:numPr>
      </w:pPr>
      <w:r>
        <w:t xml:space="preserve">Type your real name into the space under Display Name.</w:t>
      </w:r>
    </w:p>
    <w:p>
      <w:pPr>
        <w:pStyle w:val="Compact"/>
        <w:numPr>
          <w:ilvl w:val="0"/>
          <w:numId w:val="1036"/>
        </w:numPr>
      </w:pPr>
      <w:r>
        <w:t xml:space="preserve">iNaturalist Application Settings on your phone.</w:t>
      </w:r>
    </w:p>
    <w:p>
      <w:pPr>
        <w:pStyle w:val="Compact"/>
        <w:numPr>
          <w:ilvl w:val="1"/>
          <w:numId w:val="1038"/>
        </w:numPr>
      </w:pPr>
      <w:r>
        <w:t xml:space="preserve">Go to settings on your phone.</w:t>
      </w:r>
    </w:p>
    <w:p>
      <w:pPr>
        <w:pStyle w:val="Compact"/>
        <w:numPr>
          <w:ilvl w:val="1"/>
          <w:numId w:val="1038"/>
        </w:numPr>
      </w:pPr>
      <w:r>
        <w:t xml:space="preserve">Turn off</w:t>
      </w:r>
      <w:r>
        <w:t xml:space="preserve"> </w:t>
      </w:r>
      <w:r>
        <w:t xml:space="preserve">“Automatic Upload”</w:t>
      </w:r>
      <w:r>
        <w:t xml:space="preserve"> </w:t>
      </w:r>
      <w:r>
        <w:t xml:space="preserve">(recommended).</w:t>
      </w:r>
    </w:p>
    <w:p>
      <w:pPr>
        <w:pStyle w:val="Compact"/>
        <w:numPr>
          <w:ilvl w:val="1"/>
          <w:numId w:val="1038"/>
        </w:numPr>
      </w:pPr>
      <w:r>
        <w:t xml:space="preserve">Adjust settings as they suit you.</w:t>
      </w:r>
    </w:p>
    <w:p>
      <w:pPr>
        <w:pStyle w:val="FirstParagraph"/>
      </w:pPr>
      <w:r>
        <w:rPr>
          <w:b/>
          <w:bCs/>
        </w:rPr>
        <w:t xml:space="preserve">Learn how to use iNaturalist to make observations for scientific research.</w:t>
      </w:r>
      <w:r>
        <w:t xml:space="preserve"> </w:t>
      </w:r>
      <w:r>
        <w:t xml:space="preserve">iNaturalist makes documenting samples easy through observations. We will use this to help collect the metadata on our specimens in the upcoming lab. To prepare yourself, please review the following resources.</w:t>
      </w:r>
    </w:p>
    <w:bookmarkEnd w:id="53"/>
    <w:bookmarkStart w:id="58" w:name="Xb7ad742eef97a8d3c4383a8bb43904736c9611c"/>
    <w:p>
      <w:pPr>
        <w:pStyle w:val="Heading4"/>
      </w:pPr>
      <w:r>
        <w:t xml:space="preserve">Homework Assignment 2: Review Videos on How to Document Fungi</w:t>
      </w:r>
    </w:p>
    <w:p>
      <w:pPr>
        <w:pStyle w:val="Compact"/>
        <w:numPr>
          <w:ilvl w:val="0"/>
          <w:numId w:val="1039"/>
        </w:numPr>
      </w:pPr>
      <w:hyperlink r:id="rId54">
        <w:r>
          <w:rPr>
            <w:rStyle w:val="Hyperlink"/>
          </w:rPr>
          <w:t xml:space="preserve">Getting Started</w:t>
        </w:r>
      </w:hyperlink>
    </w:p>
    <w:p>
      <w:pPr>
        <w:pStyle w:val="Compact"/>
        <w:numPr>
          <w:ilvl w:val="0"/>
          <w:numId w:val="1040"/>
        </w:numPr>
      </w:pPr>
      <w:hyperlink r:id="rId55">
        <w:r>
          <w:rPr>
            <w:rStyle w:val="Hyperlink"/>
          </w:rPr>
          <w:t xml:space="preserve">iNaturalist Videos</w:t>
        </w:r>
      </w:hyperlink>
    </w:p>
    <w:p>
      <w:pPr>
        <w:pStyle w:val="Compact"/>
        <w:numPr>
          <w:ilvl w:val="0"/>
          <w:numId w:val="1041"/>
        </w:numPr>
      </w:pPr>
      <w:hyperlink r:id="rId56">
        <w:r>
          <w:rPr>
            <w:rStyle w:val="Hyperlink"/>
          </w:rPr>
          <w:t xml:space="preserve">NAMA/FunDiS How To Collect Research Specimens</w:t>
        </w:r>
      </w:hyperlink>
    </w:p>
    <w:p>
      <w:pPr>
        <w:pStyle w:val="FirstParagraph"/>
      </w:pPr>
      <w:hyperlink r:id="rId56">
        <w:r>
          <w:rPr>
            <w:rStyle w:val="Hyperlink"/>
          </w:rPr>
          <w:t xml:space="preserve">https://youtu.be/EgZw37NjxkA</w:t>
        </w:r>
      </w:hyperlink>
    </w:p>
    <w:p>
      <w:pPr>
        <w:pStyle w:val="Compact"/>
        <w:numPr>
          <w:ilvl w:val="0"/>
          <w:numId w:val="1042"/>
        </w:numPr>
      </w:pPr>
      <w:hyperlink r:id="rId57">
        <w:r>
          <w:rPr>
            <w:rStyle w:val="Hyperlink"/>
          </w:rPr>
          <w:t xml:space="preserve">FunDiS Photography</w:t>
        </w:r>
      </w:hyperlink>
    </w:p>
    <w:p>
      <w:pPr>
        <w:pStyle w:val="FirstParagraph"/>
      </w:pPr>
      <w:r>
        <w:t xml:space="preserve">Our protocol will be specific to our project, but will borrow from any/all of the video guides shown above.</w:t>
      </w:r>
    </w:p>
    <w:bookmarkEnd w:id="58"/>
    <w:bookmarkEnd w:id="59"/>
    <w:bookmarkStart w:id="60" w:name="X1455788dff4268325d88f82fa4ef5fe4cdcf16a"/>
    <w:p>
      <w:pPr>
        <w:pStyle w:val="Heading3"/>
      </w:pPr>
      <w:r>
        <w:t xml:space="preserve">Making observations for your mycology course (Myco-Ed)</w:t>
      </w:r>
    </w:p>
    <w:p>
      <w:pPr>
        <w:pStyle w:val="FirstParagraph"/>
      </w:pPr>
      <w:r>
        <w:t xml:space="preserve">To make the best use of iNaturalist as a tool for this course, and the broader MycoEd Project, you need to make quality observations of plant hosts, and the fungal endophyte cultures that come from these plants.</w:t>
      </w:r>
    </w:p>
    <w:p>
      <w:pPr>
        <w:pStyle w:val="BodyText"/>
      </w:pPr>
      <w:r>
        <w:rPr>
          <w:b/>
          <w:bCs/>
        </w:rPr>
        <w:t xml:space="preserve">Observations of Plant Hosts</w:t>
      </w:r>
    </w:p>
    <w:p>
      <w:pPr>
        <w:pStyle w:val="Compact"/>
        <w:numPr>
          <w:ilvl w:val="0"/>
          <w:numId w:val="1043"/>
        </w:numPr>
      </w:pPr>
      <w:r>
        <w:t xml:space="preserve">Open your iNaturalist Application.</w:t>
      </w:r>
    </w:p>
    <w:p>
      <w:pPr>
        <w:pStyle w:val="Compact"/>
        <w:numPr>
          <w:ilvl w:val="0"/>
          <w:numId w:val="1043"/>
        </w:numPr>
      </w:pPr>
      <w:r>
        <w:t xml:space="preserve">Make an observation of one host plant by taking a picture of it.</w:t>
      </w:r>
    </w:p>
    <w:p>
      <w:pPr>
        <w:pStyle w:val="Compact"/>
        <w:numPr>
          <w:ilvl w:val="1"/>
          <w:numId w:val="1044"/>
        </w:numPr>
      </w:pPr>
      <w:r>
        <w:t xml:space="preserve">Find the camera icon in the app and take a picture of your plant.</w:t>
      </w:r>
    </w:p>
    <w:p>
      <w:pPr>
        <w:pStyle w:val="Compact"/>
        <w:numPr>
          <w:ilvl w:val="1"/>
          <w:numId w:val="1044"/>
        </w:numPr>
      </w:pPr>
      <w:r>
        <w:t xml:space="preserve">Include one field label in an image of the plant. (see examples)</w:t>
      </w:r>
    </w:p>
    <w:p>
      <w:pPr>
        <w:pStyle w:val="Compact"/>
        <w:numPr>
          <w:ilvl w:val="1"/>
          <w:numId w:val="1044"/>
        </w:numPr>
      </w:pPr>
      <w:r>
        <w:t xml:space="preserve">Take images from multiple perspectives: whole plant, leaves, flowers+fruits, branches, trunk, etc.</w:t>
      </w:r>
    </w:p>
    <w:p>
      <w:pPr>
        <w:pStyle w:val="Compact"/>
        <w:numPr>
          <w:ilvl w:val="0"/>
          <w:numId w:val="1043"/>
        </w:numPr>
      </w:pPr>
      <w:r>
        <w:t xml:space="preserve">Alternatively, take images on your phone and upload them to iNaturalist. Again, make sure you are including a field label in your images.</w:t>
      </w:r>
    </w:p>
    <w:p>
      <w:pPr>
        <w:pStyle w:val="Compact"/>
        <w:numPr>
          <w:ilvl w:val="0"/>
          <w:numId w:val="1043"/>
        </w:numPr>
      </w:pPr>
      <w:r>
        <w:t xml:space="preserve">Before saving the observation, add it to your course project using the app.</w:t>
      </w:r>
    </w:p>
    <w:p>
      <w:pPr>
        <w:pStyle w:val="Compact"/>
        <w:numPr>
          <w:ilvl w:val="1"/>
          <w:numId w:val="1045"/>
        </w:numPr>
      </w:pPr>
      <w:r>
        <w:t xml:space="preserve">Go to</w:t>
      </w:r>
      <w:r>
        <w:t xml:space="preserve"> </w:t>
      </w:r>
      <w:r>
        <w:t xml:space="preserve">“Projects”</w:t>
      </w:r>
    </w:p>
    <w:p>
      <w:pPr>
        <w:pStyle w:val="Compact"/>
        <w:numPr>
          <w:ilvl w:val="1"/>
          <w:numId w:val="1045"/>
        </w:numPr>
      </w:pPr>
      <w:r>
        <w:t xml:space="preserve">Select the course project.</w:t>
      </w:r>
      <w:r>
        <w:t xml:space="preserve"> </w:t>
      </w:r>
      <w:r>
        <w:t xml:space="preserve">NOTE: You must join the course project before this step. See the third bullet point at the beginning of these instructions.</w:t>
      </w:r>
    </w:p>
    <w:p>
      <w:pPr>
        <w:pStyle w:val="Compact"/>
        <w:numPr>
          <w:ilvl w:val="0"/>
          <w:numId w:val="1043"/>
        </w:numPr>
      </w:pPr>
      <w:r>
        <w:t xml:space="preserve">Click Done to save your observation.</w:t>
      </w:r>
    </w:p>
    <w:p>
      <w:pPr>
        <w:pStyle w:val="Compact"/>
        <w:numPr>
          <w:ilvl w:val="0"/>
          <w:numId w:val="1043"/>
        </w:numPr>
      </w:pPr>
      <w:r>
        <w:t xml:space="preserve">Assuming you’ve turned</w:t>
      </w:r>
      <w:r>
        <w:t xml:space="preserve"> </w:t>
      </w:r>
      <w:r>
        <w:t xml:space="preserve">“automatic upload”</w:t>
      </w:r>
      <w:r>
        <w:t xml:space="preserve"> </w:t>
      </w:r>
      <w:r>
        <w:t xml:space="preserve">off, you will need to manually upload your observation. This will appear green on your phone until it is uploaded.</w:t>
      </w:r>
    </w:p>
    <w:p>
      <w:pPr>
        <w:pStyle w:val="Compact"/>
        <w:numPr>
          <w:ilvl w:val="0"/>
          <w:numId w:val="1043"/>
        </w:numPr>
      </w:pPr>
      <w:r>
        <w:t xml:space="preserve">Double-check your observation online.</w:t>
      </w:r>
    </w:p>
    <w:p>
      <w:pPr>
        <w:pStyle w:val="Compact"/>
        <w:numPr>
          <w:ilvl w:val="1"/>
          <w:numId w:val="1046"/>
        </w:numPr>
      </w:pPr>
      <w:r>
        <w:t xml:space="preserve">It will appear on your account if it was uploaded correctly.</w:t>
      </w:r>
    </w:p>
    <w:p>
      <w:pPr>
        <w:pStyle w:val="Compact"/>
        <w:numPr>
          <w:ilvl w:val="0"/>
          <w:numId w:val="1043"/>
        </w:numPr>
      </w:pPr>
      <w:r>
        <w:t xml:space="preserve">Add Myco-Ed ID. This will attach the field label ID number to this host observation.</w:t>
      </w:r>
    </w:p>
    <w:p>
      <w:pPr>
        <w:pStyle w:val="Compact"/>
        <w:numPr>
          <w:ilvl w:val="1"/>
          <w:numId w:val="1047"/>
        </w:numPr>
      </w:pPr>
      <w:r>
        <w:t xml:space="preserve">Under Observations Fields, on the lower right portion of the page, type</w:t>
      </w:r>
      <w:r>
        <w:t xml:space="preserve"> </w:t>
      </w:r>
      <w:r>
        <w:t xml:space="preserve">“MycoEd”</w:t>
      </w:r>
    </w:p>
    <w:p>
      <w:pPr>
        <w:pStyle w:val="Compact"/>
        <w:numPr>
          <w:ilvl w:val="1"/>
          <w:numId w:val="1047"/>
        </w:numPr>
      </w:pPr>
      <w:r>
        <w:t xml:space="preserve">Select</w:t>
      </w:r>
      <w:r>
        <w:t xml:space="preserve"> </w:t>
      </w:r>
      <w:r>
        <w:t xml:space="preserve">“MycoEd ID”</w:t>
      </w:r>
      <w:r>
        <w:t xml:space="preserve"> </w:t>
      </w:r>
      <w:r>
        <w:t xml:space="preserve">from the dropdown that appears.</w:t>
      </w:r>
    </w:p>
    <w:p>
      <w:pPr>
        <w:pStyle w:val="Compact"/>
        <w:numPr>
          <w:ilvl w:val="1"/>
          <w:numId w:val="1047"/>
        </w:numPr>
      </w:pPr>
      <w:r>
        <w:t xml:space="preserve">Add the field label ID number assigned to this host in the blank field under MycoEd ID.</w:t>
      </w:r>
    </w:p>
    <w:p>
      <w:pPr>
        <w:pStyle w:val="Compact"/>
        <w:numPr>
          <w:ilvl w:val="1"/>
          <w:numId w:val="1047"/>
        </w:numPr>
      </w:pPr>
      <w:r>
        <w:t xml:space="preserve">Click</w:t>
      </w:r>
      <w:r>
        <w:t xml:space="preserve"> </w:t>
      </w:r>
      <w:r>
        <w:t xml:space="preserve">“Add”</w:t>
      </w:r>
      <w:r>
        <w:t xml:space="preserve">.</w:t>
      </w:r>
    </w:p>
    <w:p>
      <w:pPr>
        <w:pStyle w:val="FirstParagraph"/>
      </w:pPr>
      <w:r>
        <w:t xml:space="preserve">Under Project you should see the name for your course project. If not, click on the open field and the course project’s name should appear in the drop-down menu. Select the</w:t>
      </w:r>
    </w:p>
    <w:p>
      <w:pPr>
        <w:pStyle w:val="BodyText"/>
      </w:pPr>
      <w:r>
        <w:rPr>
          <w:b/>
          <w:bCs/>
        </w:rPr>
        <w:t xml:space="preserve">Observations of Fungal Cultures</w:t>
      </w:r>
      <w:r>
        <w:t xml:space="preserve"> </w:t>
      </w:r>
      <w:r>
        <w:t xml:space="preserve">Protocols for making observations of fungal cultures that follow the same steps as above with some added metadata that will go in as</w:t>
      </w:r>
      <w:r>
        <w:t xml:space="preserve"> </w:t>
      </w:r>
      <w:r>
        <w:t xml:space="preserve">“Observation Fields”</w:t>
      </w:r>
      <w:r>
        <w:t xml:space="preserve">.</w:t>
      </w:r>
    </w:p>
    <w:p>
      <w:pPr>
        <w:pStyle w:val="Compact"/>
        <w:numPr>
          <w:ilvl w:val="0"/>
          <w:numId w:val="1048"/>
        </w:numPr>
      </w:pPr>
      <w:r>
        <w:t xml:space="preserve">Open your iNaturalist Application.</w:t>
      </w:r>
    </w:p>
    <w:p>
      <w:pPr>
        <w:pStyle w:val="Compact"/>
        <w:numPr>
          <w:ilvl w:val="1"/>
          <w:numId w:val="1049"/>
        </w:numPr>
      </w:pPr>
      <w:r>
        <w:t xml:space="preserve">Alternatively, take images on your phone and upload them to iNaturalist.</w:t>
      </w:r>
    </w:p>
    <w:p>
      <w:pPr>
        <w:pStyle w:val="Compact"/>
        <w:numPr>
          <w:ilvl w:val="0"/>
          <w:numId w:val="1048"/>
        </w:numPr>
      </w:pPr>
      <w:r>
        <w:t xml:space="preserve">Make an observation of the fungal isolate by taking a picture of it.</w:t>
      </w:r>
    </w:p>
    <w:p>
      <w:pPr>
        <w:pStyle w:val="Compact"/>
        <w:numPr>
          <w:ilvl w:val="1"/>
          <w:numId w:val="1050"/>
        </w:numPr>
      </w:pPr>
      <w:r>
        <w:t xml:space="preserve">Take pictures from the top and bottom, including the label.</w:t>
      </w:r>
    </w:p>
    <w:p>
      <w:pPr>
        <w:pStyle w:val="Compact"/>
        <w:numPr>
          <w:ilvl w:val="0"/>
          <w:numId w:val="1048"/>
        </w:numPr>
      </w:pPr>
      <w:r>
        <w:t xml:space="preserve">Before saving the observation, add it to your course project using the app.</w:t>
      </w:r>
    </w:p>
    <w:p>
      <w:pPr>
        <w:pStyle w:val="Compact"/>
        <w:numPr>
          <w:ilvl w:val="1"/>
          <w:numId w:val="1051"/>
        </w:numPr>
      </w:pPr>
      <w:r>
        <w:t xml:space="preserve">Follow the instructions detailed above.</w:t>
      </w:r>
    </w:p>
    <w:p>
      <w:pPr>
        <w:pStyle w:val="Compact"/>
        <w:numPr>
          <w:ilvl w:val="0"/>
          <w:numId w:val="1048"/>
        </w:numPr>
      </w:pPr>
      <w:r>
        <w:t xml:space="preserve">Click Done to save your observation.</w:t>
      </w:r>
    </w:p>
    <w:p>
      <w:pPr>
        <w:pStyle w:val="Compact"/>
        <w:numPr>
          <w:ilvl w:val="0"/>
          <w:numId w:val="1048"/>
        </w:numPr>
      </w:pPr>
      <w:r>
        <w:t xml:space="preserve">Manually upload your observation. This will appear green on your phone until it is uploaded.</w:t>
      </w:r>
    </w:p>
    <w:p>
      <w:pPr>
        <w:pStyle w:val="Compact"/>
        <w:numPr>
          <w:ilvl w:val="0"/>
          <w:numId w:val="1048"/>
        </w:numPr>
      </w:pPr>
      <w:r>
        <w:t xml:space="preserve">Double-check your observation online.</w:t>
      </w:r>
    </w:p>
    <w:p>
      <w:pPr>
        <w:pStyle w:val="Compact"/>
        <w:numPr>
          <w:ilvl w:val="1"/>
          <w:numId w:val="1052"/>
        </w:numPr>
      </w:pPr>
      <w:r>
        <w:t xml:space="preserve">It will appear on your account if it was uploaded correctly.</w:t>
      </w:r>
    </w:p>
    <w:p>
      <w:pPr>
        <w:pStyle w:val="FirstParagraph"/>
      </w:pPr>
      <w:r>
        <w:rPr>
          <w:b/>
          <w:bCs/>
        </w:rPr>
        <w:t xml:space="preserve">Adding iNaturalist Observation Fields</w:t>
      </w:r>
    </w:p>
    <w:p>
      <w:pPr>
        <w:pStyle w:val="Compact"/>
        <w:numPr>
          <w:ilvl w:val="0"/>
          <w:numId w:val="1053"/>
        </w:numPr>
      </w:pPr>
      <w:r>
        <w:t xml:space="preserve">Add MycoEd ID. This will attach the field label ID number to this host observation.</w:t>
      </w:r>
    </w:p>
    <w:p>
      <w:pPr>
        <w:pStyle w:val="Compact"/>
        <w:numPr>
          <w:ilvl w:val="1"/>
          <w:numId w:val="1054"/>
        </w:numPr>
      </w:pPr>
      <w:r>
        <w:t xml:space="preserve">Follow the above directions.</w:t>
      </w:r>
    </w:p>
    <w:p>
      <w:pPr>
        <w:pStyle w:val="Compact"/>
        <w:numPr>
          <w:ilvl w:val="1"/>
          <w:numId w:val="1054"/>
        </w:numPr>
      </w:pPr>
      <w:r>
        <w:t xml:space="preserve">The format of the MycoEd ID of fungal isolates should be in the form of: MycoEd Host ID_Your Initials_Leaf and Fragment number.</w:t>
      </w:r>
      <w:r>
        <w:t xml:space="preserve"> </w:t>
      </w:r>
      <w:r>
        <w:t xml:space="preserve">Example: MycoEd_004_ABC_2c</w:t>
      </w:r>
      <w:r>
        <w:t xml:space="preserve"> </w:t>
      </w:r>
      <w:r>
        <w:t xml:space="preserve">See: Myco-Ed Module 1.1 - Metadata, under the Sample Naming section</w:t>
      </w:r>
    </w:p>
    <w:p>
      <w:pPr>
        <w:pStyle w:val="Compact"/>
        <w:numPr>
          <w:ilvl w:val="0"/>
          <w:numId w:val="1053"/>
        </w:numPr>
      </w:pPr>
      <w:r>
        <w:t xml:space="preserve">Add other iNaturalist Observation Fields</w:t>
      </w:r>
    </w:p>
    <w:p>
      <w:pPr>
        <w:pStyle w:val="Compact"/>
        <w:numPr>
          <w:ilvl w:val="1"/>
          <w:numId w:val="1055"/>
        </w:numPr>
      </w:pPr>
      <w:r>
        <w:t xml:space="preserve">For ITS sequence data from fungal isolates, use DNA Sequence ITS</w:t>
      </w:r>
    </w:p>
    <w:p>
      <w:pPr>
        <w:pStyle w:val="Compact"/>
        <w:numPr>
          <w:ilvl w:val="1"/>
          <w:numId w:val="1055"/>
        </w:numPr>
      </w:pPr>
      <w:r>
        <w:t xml:space="preserve">To link to the host iNaturalist observation for this fungus, use the Host Observation Observation Field and add the URL to the host observation.</w:t>
      </w:r>
    </w:p>
    <w:bookmarkEnd w:id="60"/>
    <w:bookmarkEnd w:id="61"/>
    <w:bookmarkStart w:id="87" w:name="module-1.4-fungal-sampling-and-culturing"/>
    <w:p>
      <w:pPr>
        <w:pStyle w:val="Heading2"/>
      </w:pPr>
      <w:r>
        <w:t xml:space="preserve">Module 1.4 – Fungal Sampling and Culturing</w:t>
      </w:r>
    </w:p>
    <w:bookmarkStart w:id="62" w:name="purpose"/>
    <w:p>
      <w:pPr>
        <w:pStyle w:val="Heading3"/>
      </w:pPr>
      <w:r>
        <w:t xml:space="preserve">Purpose</w:t>
      </w:r>
    </w:p>
    <w:p>
      <w:pPr>
        <w:pStyle w:val="FirstParagraph"/>
      </w:pPr>
      <w:r>
        <w:t xml:space="preserve">This lab will introduce you to sterile/aseptic technique, culturing fungi, isolating cultures, and documenting fungal growth.</w:t>
      </w:r>
    </w:p>
    <w:bookmarkEnd w:id="62"/>
    <w:bookmarkStart w:id="67" w:name="introduction-1"/>
    <w:p>
      <w:pPr>
        <w:pStyle w:val="Heading3"/>
      </w:pPr>
      <w:r>
        <w:t xml:space="preserve">Introduction</w:t>
      </w:r>
    </w:p>
    <w:p>
      <w:pPr>
        <w:pStyle w:val="FirstParagraph"/>
      </w:pPr>
      <w:r>
        <w:t xml:space="preserve">Every species of plant surveyed to date hosts a multitude of fungal</w:t>
      </w:r>
      <w:r>
        <w:t xml:space="preserve"> </w:t>
      </w:r>
      <w:r>
        <w:rPr>
          <w:b/>
          <w:bCs/>
        </w:rPr>
        <w:t xml:space="preserve">endophytes</w:t>
      </w:r>
      <w:r>
        <w:t xml:space="preserve">. These symbiotic fungi exist in all plant tissues, including leaves, bark, roots, and reproductive structures such as flowers and seeds. Observation of leaves can provide information on potential plant disesase, including fungal infections. This is illustrated in</w:t>
      </w:r>
      <w:r>
        <w:t xml:space="preserve"> </w:t>
      </w:r>
      <w:hyperlink w:anchor="fig-leafpathologies">
        <w:r>
          <w:rPr>
            <w:rStyle w:val="Hyperlink"/>
          </w:rPr>
          <w:t xml:space="preserve">Figure 1</w:t>
        </w:r>
      </w:hyperlink>
      <w:r>
        <w:t xml:space="preserve">, which depicts a variety of leaf pathologies. Fungal endophytes can be cultured from healthy plant tissue, and these fungi can be important for plant health and fitness. These fungi can be mutualistic, commensal, or parasitic. They can also be latent pathogens that cause disease under certain conditions.</w:t>
      </w:r>
    </w:p>
    <w:p>
      <w:pPr>
        <w:pStyle w:val="BodyText"/>
      </w:pPr>
      <w:r>
        <w:t xml:space="preserve">All lineages of fungi contain endophytic species, however the majority of fungal endophytes described to date are Ascomycetes. Research has shown that fungal endophytes impact both plant species fitness and plant community fitness. Fungal endophytes can confer abiotic and biotic stress tolerance, influence biomass and water consumption, and alter resource allocation. The fungi live either between the plant cells, between the cell wall and the cell membrane, or sometimes even within the cell membrane. This project is part of the MycoEd Fungal Genomics Education Project.</w:t>
      </w:r>
      <w:r>
        <w:t xml:space="preserve"> </w:t>
      </w:r>
      <w:r>
        <w:rPr>
          <w:b/>
          <w:bCs/>
        </w:rPr>
        <w:t xml:space="preserve">The goal of this long-term research project is to produce fungal reference genomes to better understand their biology.</w:t>
      </w:r>
    </w:p>
    <w:tbl>
      <w:tblPr>
        <w:tblStyle w:val="Table"/>
        <w:tblW w:type="pct" w:w="5000"/>
        <w:tblLayout w:type="fixed"/>
        <w:tblLook w:firstRow="0" w:lastRow="0" w:firstColumn="0" w:lastColumn="0" w:noHBand="0" w:noVBand="0" w:val="0000"/>
      </w:tblPr>
      <w:tblGrid>
        <w:gridCol w:w="7920"/>
      </w:tblGrid>
      <w:tr>
        <w:tc>
          <w:tcPr/>
          <w:bookmarkStart w:id="66" w:name="fig-leafpathologies"/>
          <w:p>
            <w:pPr>
              <w:pStyle w:val="Compact"/>
              <w:jc w:val="center"/>
            </w:pPr>
            <w:r>
              <w:drawing>
                <wp:inline>
                  <wp:extent cx="5334000" cy="3733799"/>
                  <wp:effectExtent b="0" l="0" r="0" t="0"/>
                  <wp:docPr descr="" title="" id="64" name="Picture"/>
                  <a:graphic>
                    <a:graphicData uri="http://schemas.openxmlformats.org/drawingml/2006/picture">
                      <pic:pic>
                        <pic:nvPicPr>
                          <pic:cNvPr descr="images/LeafPathologies.png" id="65" name="Picture"/>
                          <pic:cNvPicPr>
                            <a:picLocks noChangeArrowheads="1" noChangeAspect="1"/>
                          </pic:cNvPicPr>
                        </pic:nvPicPr>
                        <pic:blipFill>
                          <a:blip r:embed="rId63"/>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Fungal Sampling. Leaves have different shapes and sizes. Leaf pathologies and diseases can be identified by inspection of leaves. Figure created with BioRender.com.</w:t>
            </w:r>
          </w:p>
          <w:bookmarkEnd w:id="66"/>
        </w:tc>
      </w:tr>
    </w:tbl>
    <w:bookmarkEnd w:id="67"/>
    <w:bookmarkStart w:id="68" w:name="learning-goals"/>
    <w:p>
      <w:pPr>
        <w:pStyle w:val="Heading3"/>
      </w:pPr>
      <w:r>
        <w:t xml:space="preserve">Learning Goals</w:t>
      </w:r>
    </w:p>
    <w:p>
      <w:pPr>
        <w:pStyle w:val="Compact"/>
        <w:numPr>
          <w:ilvl w:val="0"/>
          <w:numId w:val="1056"/>
        </w:numPr>
      </w:pPr>
      <w:r>
        <w:t xml:space="preserve">Documentation using iNaturalist</w:t>
      </w:r>
    </w:p>
    <w:p>
      <w:pPr>
        <w:pStyle w:val="Compact"/>
        <w:numPr>
          <w:ilvl w:val="0"/>
          <w:numId w:val="1056"/>
        </w:numPr>
      </w:pPr>
      <w:r>
        <w:t xml:space="preserve">Practice sterile technique</w:t>
      </w:r>
    </w:p>
    <w:p>
      <w:pPr>
        <w:pStyle w:val="Compact"/>
        <w:numPr>
          <w:ilvl w:val="0"/>
          <w:numId w:val="1056"/>
        </w:numPr>
      </w:pPr>
      <w:r>
        <w:t xml:space="preserve">Culture and isolate fungi</w:t>
      </w:r>
    </w:p>
    <w:p>
      <w:pPr>
        <w:pStyle w:val="Compact"/>
        <w:numPr>
          <w:ilvl w:val="0"/>
          <w:numId w:val="1056"/>
        </w:numPr>
      </w:pPr>
      <w:r>
        <w:t xml:space="preserve">Investigate fungal endophytes</w:t>
      </w:r>
    </w:p>
    <w:p>
      <w:pPr>
        <w:pStyle w:val="Compact"/>
        <w:numPr>
          <w:ilvl w:val="0"/>
          <w:numId w:val="1056"/>
        </w:numPr>
      </w:pPr>
      <w:r>
        <w:t xml:space="preserve">Characterize morphology of fungal cultures</w:t>
      </w:r>
    </w:p>
    <w:bookmarkEnd w:id="68"/>
    <w:bookmarkStart w:id="69" w:name="lab-supplies"/>
    <w:p>
      <w:pPr>
        <w:pStyle w:val="Heading3"/>
      </w:pPr>
      <w:r>
        <w:t xml:space="preserve">Lab Supplies</w:t>
      </w:r>
    </w:p>
    <w:p>
      <w:pPr>
        <w:pStyle w:val="Compact"/>
        <w:numPr>
          <w:ilvl w:val="0"/>
          <w:numId w:val="1057"/>
        </w:numPr>
      </w:pPr>
      <w:r>
        <w:t xml:space="preserve">3 large water agar Petri plates (150 x 10 mm) - these are for initial isolation</w:t>
      </w:r>
    </w:p>
    <w:p>
      <w:pPr>
        <w:pStyle w:val="Compact"/>
        <w:numPr>
          <w:ilvl w:val="0"/>
          <w:numId w:val="1058"/>
        </w:numPr>
      </w:pPr>
      <w:r>
        <w:t xml:space="preserve">Sharpie</w:t>
      </w:r>
    </w:p>
    <w:p>
      <w:pPr>
        <w:pStyle w:val="Compact"/>
        <w:numPr>
          <w:ilvl w:val="0"/>
          <w:numId w:val="1059"/>
        </w:numPr>
      </w:pPr>
      <w:r>
        <w:t xml:space="preserve">Parafilm</w:t>
      </w:r>
    </w:p>
    <w:p>
      <w:pPr>
        <w:pStyle w:val="Compact"/>
        <w:numPr>
          <w:ilvl w:val="0"/>
          <w:numId w:val="1060"/>
        </w:numPr>
      </w:pPr>
      <w:r>
        <w:t xml:space="preserve">Paper towels</w:t>
      </w:r>
    </w:p>
    <w:p>
      <w:pPr>
        <w:pStyle w:val="Compact"/>
        <w:numPr>
          <w:ilvl w:val="0"/>
          <w:numId w:val="1061"/>
        </w:numPr>
      </w:pPr>
      <w:r>
        <w:t xml:space="preserve">Gloves</w:t>
      </w:r>
    </w:p>
    <w:p>
      <w:pPr>
        <w:pStyle w:val="Compact"/>
        <w:numPr>
          <w:ilvl w:val="0"/>
          <w:numId w:val="1062"/>
        </w:numPr>
      </w:pPr>
      <w:r>
        <w:t xml:space="preserve">Bleach</w:t>
      </w:r>
    </w:p>
    <w:p>
      <w:pPr>
        <w:pStyle w:val="Compact"/>
        <w:numPr>
          <w:ilvl w:val="0"/>
          <w:numId w:val="1063"/>
        </w:numPr>
      </w:pPr>
      <w:r>
        <w:t xml:space="preserve">Ethanol</w:t>
      </w:r>
    </w:p>
    <w:p>
      <w:pPr>
        <w:pStyle w:val="Compact"/>
        <w:numPr>
          <w:ilvl w:val="0"/>
          <w:numId w:val="1064"/>
        </w:numPr>
      </w:pPr>
      <w:r>
        <w:t xml:space="preserve">Scalpel</w:t>
      </w:r>
    </w:p>
    <w:p>
      <w:pPr>
        <w:pStyle w:val="Compact"/>
        <w:numPr>
          <w:ilvl w:val="0"/>
          <w:numId w:val="1065"/>
        </w:numPr>
      </w:pPr>
      <w:r>
        <w:t xml:space="preserve">Metal hole punch</w:t>
      </w:r>
    </w:p>
    <w:p>
      <w:pPr>
        <w:pStyle w:val="Compact"/>
        <w:numPr>
          <w:ilvl w:val="0"/>
          <w:numId w:val="1066"/>
        </w:numPr>
      </w:pPr>
      <w:r>
        <w:t xml:space="preserve">Forceps</w:t>
      </w:r>
    </w:p>
    <w:bookmarkEnd w:id="69"/>
    <w:bookmarkStart w:id="86" w:name="instructions"/>
    <w:p>
      <w:pPr>
        <w:pStyle w:val="Heading3"/>
      </w:pPr>
      <w:r>
        <w:t xml:space="preserve">Instructions</w:t>
      </w:r>
    </w:p>
    <w:bookmarkStart w:id="70" w:name="isolation-of-fungi-from-leaves"/>
    <w:p>
      <w:pPr>
        <w:pStyle w:val="Heading4"/>
      </w:pPr>
      <w:r>
        <w:t xml:space="preserve">Isolation of Fungi from Leaves</w:t>
      </w:r>
    </w:p>
    <w:p>
      <w:pPr>
        <w:pStyle w:val="FirstParagraph"/>
      </w:pPr>
      <w:r>
        <w:t xml:space="preserve">Before you begin, read through the entire instructions. Be sure to consult your instructor if you have any questions.</w:t>
      </w:r>
    </w:p>
    <w:p>
      <w:pPr>
        <w:pStyle w:val="BodyText"/>
      </w:pPr>
      <w:r>
        <w:rPr>
          <w:b/>
          <w:bCs/>
        </w:rPr>
        <w:t xml:space="preserve">Formulate your Research Question</w:t>
      </w:r>
      <w:r>
        <w:t xml:space="preserve"> </w:t>
      </w:r>
      <w:r>
        <w:t xml:space="preserve">You will attempt to culture fungi from a total of 18 leaf sections. You may use any combination of plant species, individual plants, leaf portions, or leaf cuttings in your setup. Choose a combination that interests you. Are you interested in capturing the diversity within an individual plant? If so, are you interested in looking at the diversity of endophytes within the canopy of individual plants? For this question, you would plate leaves from lower, middle, and upper canopies. Are you interested in documenting the fungal endophyte diversity within a plant species? For this investigation, collect leaves from multiple individuals of the same species. Perhaps you want to compare species diversity between different plant species. To investigate this question, collect plant leaves from a variety of plant species.</w:t>
      </w:r>
    </w:p>
    <w:p>
      <w:pPr>
        <w:pStyle w:val="BodyText"/>
      </w:pPr>
      <w:r>
        <w:rPr>
          <w:b/>
          <w:bCs/>
        </w:rPr>
        <w:t xml:space="preserve">Design your Experimental Setup</w:t>
      </w:r>
      <w:r>
        <w:t xml:space="preserve"> </w:t>
      </w:r>
      <w:r>
        <w:t xml:space="preserve">Once you have decided what endophyte communities you would like to explore, obtain green leaves from your target host plants. These can be from deciduous or evergreen plants, including needles from conifers. You should plate your leaves within 24 hours of collection. Refrigerate your leaves if you need to store them between collection and plating.</w:t>
      </w:r>
    </w:p>
    <w:p>
      <w:pPr>
        <w:pStyle w:val="BodyText"/>
      </w:pPr>
      <w:r>
        <w:rPr>
          <w:b/>
          <w:bCs/>
        </w:rPr>
        <w:t xml:space="preserve">Metadata</w:t>
      </w:r>
      <w:r>
        <w:t xml:space="preserve"> </w:t>
      </w:r>
      <w:r>
        <w:t xml:space="preserve">Upload an image of the plants you have chosen to your course’s iNaturalist Project page. Follow the instructions in Module 1.1 - Metadata Directions to be sure you have documented all necessary metadata.</w:t>
      </w:r>
    </w:p>
    <w:p>
      <w:pPr>
        <w:pStyle w:val="BodyText"/>
      </w:pPr>
      <w:r>
        <w:rPr>
          <w:b/>
          <w:bCs/>
        </w:rPr>
        <w:t xml:space="preserve">Sampling Endophytes</w:t>
      </w:r>
    </w:p>
    <w:bookmarkEnd w:id="70"/>
    <w:bookmarkStart w:id="71" w:name="materials-needed"/>
    <w:p>
      <w:pPr>
        <w:pStyle w:val="Heading4"/>
      </w:pPr>
      <w:r>
        <w:t xml:space="preserve">Materials needed</w:t>
      </w:r>
    </w:p>
    <w:p>
      <w:pPr>
        <w:pStyle w:val="Compact"/>
        <w:numPr>
          <w:ilvl w:val="0"/>
          <w:numId w:val="1067"/>
        </w:numPr>
      </w:pPr>
      <w:r>
        <w:t xml:space="preserve">Your phone with iNaturalist.</w:t>
      </w:r>
    </w:p>
    <w:p>
      <w:pPr>
        <w:pStyle w:val="Compact"/>
        <w:numPr>
          <w:ilvl w:val="0"/>
          <w:numId w:val="1068"/>
        </w:numPr>
      </w:pPr>
      <w:r>
        <w:t xml:space="preserve">Sample labels with unique ID numbers.</w:t>
      </w:r>
    </w:p>
    <w:p>
      <w:pPr>
        <w:pStyle w:val="Compact"/>
        <w:numPr>
          <w:ilvl w:val="0"/>
          <w:numId w:val="1069"/>
        </w:numPr>
      </w:pPr>
      <w:r>
        <w:t xml:space="preserve">Paper bags for samples.</w:t>
      </w:r>
    </w:p>
    <w:p>
      <w:pPr>
        <w:pStyle w:val="Compact"/>
        <w:numPr>
          <w:ilvl w:val="0"/>
          <w:numId w:val="1070"/>
        </w:numPr>
      </w:pPr>
      <w:r>
        <w:t xml:space="preserve">Clippers, scissors, or a knife to sample leaves.</w:t>
      </w:r>
    </w:p>
    <w:bookmarkEnd w:id="71"/>
    <w:bookmarkStart w:id="76" w:name="protocol"/>
    <w:p>
      <w:pPr>
        <w:pStyle w:val="Heading4"/>
      </w:pPr>
      <w:r>
        <w:t xml:space="preserve">Protocol</w:t>
      </w:r>
    </w:p>
    <w:p>
      <w:pPr>
        <w:pStyle w:val="Compact"/>
        <w:numPr>
          <w:ilvl w:val="0"/>
          <w:numId w:val="1071"/>
        </w:numPr>
      </w:pPr>
      <w:r>
        <w:t xml:space="preserve">Find a tree, or other plant to sample. Ideally, one that has healthy leaves.</w:t>
      </w:r>
    </w:p>
    <w:p>
      <w:pPr>
        <w:pStyle w:val="Compact"/>
        <w:numPr>
          <w:ilvl w:val="0"/>
          <w:numId w:val="1071"/>
        </w:numPr>
      </w:pPr>
      <w:r>
        <w:t xml:space="preserve">Make an iNaturalist observation of the plant on your phone or device.</w:t>
      </w:r>
    </w:p>
    <w:p>
      <w:pPr>
        <w:pStyle w:val="Compact"/>
        <w:numPr>
          <w:ilvl w:val="1"/>
          <w:numId w:val="1072"/>
        </w:numPr>
      </w:pPr>
      <w:r>
        <w:t xml:space="preserve">Take multiple photos.</w:t>
      </w:r>
    </w:p>
    <w:p>
      <w:pPr>
        <w:pStyle w:val="Compact"/>
        <w:numPr>
          <w:ilvl w:val="2"/>
          <w:numId w:val="1073"/>
        </w:numPr>
      </w:pPr>
      <w:r>
        <w:t xml:space="preserve">At least one of the entire plant.</w:t>
      </w:r>
    </w:p>
    <w:p>
      <w:pPr>
        <w:pStyle w:val="Compact"/>
        <w:numPr>
          <w:ilvl w:val="2"/>
          <w:numId w:val="1073"/>
        </w:numPr>
      </w:pPr>
      <w:r>
        <w:t xml:space="preserve">Multiple closer pictures of the leaves, bark, any flowers or fruit, etc.</w:t>
      </w:r>
    </w:p>
    <w:p>
      <w:pPr>
        <w:pStyle w:val="Compact"/>
        <w:numPr>
          <w:ilvl w:val="2"/>
          <w:numId w:val="1073"/>
        </w:numPr>
      </w:pPr>
      <w:r>
        <w:t xml:space="preserve">At least one observation must include one sample label with an ID number.</w:t>
      </w:r>
    </w:p>
    <w:p>
      <w:pPr>
        <w:pStyle w:val="Compact"/>
        <w:numPr>
          <w:ilvl w:val="1"/>
          <w:numId w:val="1072"/>
        </w:numPr>
      </w:pPr>
      <w:r>
        <w:t xml:space="preserve">Go to the projects section on iNaturalist.</w:t>
      </w:r>
    </w:p>
    <w:p>
      <w:pPr>
        <w:pStyle w:val="Compact"/>
        <w:numPr>
          <w:ilvl w:val="2"/>
          <w:numId w:val="1074"/>
        </w:numPr>
      </w:pPr>
      <w:r>
        <w:t xml:space="preserve">Select</w:t>
      </w:r>
      <w:r>
        <w:t xml:space="preserve"> </w:t>
      </w:r>
      <w:r>
        <w:t xml:space="preserve">“Your iNaturalist Project”</w:t>
      </w:r>
      <w:r>
        <w:t xml:space="preserve">.</w:t>
      </w:r>
    </w:p>
    <w:p>
      <w:pPr>
        <w:pStyle w:val="Compact"/>
        <w:numPr>
          <w:ilvl w:val="1"/>
          <w:numId w:val="1072"/>
        </w:numPr>
      </w:pPr>
      <w:r>
        <w:t xml:space="preserve">Save the observation on iNaturalist.</w:t>
      </w:r>
    </w:p>
    <w:p>
      <w:pPr>
        <w:pStyle w:val="Compact"/>
        <w:numPr>
          <w:ilvl w:val="2"/>
          <w:numId w:val="1075"/>
        </w:numPr>
      </w:pPr>
      <w:r>
        <w:t xml:space="preserve">Follow instructions in Module 1.2 Using iNaturalist</w:t>
      </w:r>
    </w:p>
    <w:p>
      <w:pPr>
        <w:pStyle w:val="Compact"/>
        <w:numPr>
          <w:ilvl w:val="0"/>
          <w:numId w:val="1071"/>
        </w:numPr>
      </w:pPr>
      <w:r>
        <w:t xml:space="preserve">As indicated in</w:t>
      </w:r>
      <w:r>
        <w:t xml:space="preserve"> </w:t>
      </w:r>
      <w:hyperlink w:anchor="fig-leafsampling">
        <w:r>
          <w:rPr>
            <w:rStyle w:val="Hyperlink"/>
          </w:rPr>
          <w:t xml:space="preserve">Figure 2</w:t>
        </w:r>
      </w:hyperlink>
      <w:r>
        <w:t xml:space="preserve">, place the label in a paper bag. Record your information on the label including the unique ID number, date, location, and any other relevant information. This will be important for tracking your samples and linking them to your iNaturalist observation.</w:t>
      </w:r>
    </w:p>
    <w:p>
      <w:pPr>
        <w:pStyle w:val="Compact"/>
        <w:numPr>
          <w:ilvl w:val="0"/>
          <w:numId w:val="1071"/>
        </w:numPr>
      </w:pPr>
      <w:r>
        <w:t xml:space="preserve">Sample up to three leaves using your cutting instrument.</w:t>
      </w:r>
    </w:p>
    <w:p>
      <w:pPr>
        <w:pStyle w:val="Compact"/>
        <w:numPr>
          <w:ilvl w:val="0"/>
          <w:numId w:val="1071"/>
        </w:numPr>
      </w:pPr>
      <w:r>
        <w:t xml:space="preserve">Put the leaf samples into the bag.</w:t>
      </w:r>
    </w:p>
    <w:tbl>
      <w:tblPr>
        <w:tblStyle w:val="Table"/>
        <w:tblW w:type="pct" w:w="5000"/>
        <w:tblLayout w:type="fixed"/>
        <w:tblLook w:firstRow="0" w:lastRow="0" w:firstColumn="0" w:lastColumn="0" w:noHBand="0" w:noVBand="0" w:val="0000"/>
      </w:tblPr>
      <w:tblGrid>
        <w:gridCol w:w="7920"/>
      </w:tblGrid>
      <w:tr>
        <w:tc>
          <w:tcPr/>
          <w:bookmarkStart w:id="75" w:name="fig-leafsampling"/>
          <w:p>
            <w:pPr>
              <w:pStyle w:val="Compact"/>
              <w:jc w:val="center"/>
            </w:pPr>
            <w:r>
              <w:drawing>
                <wp:inline>
                  <wp:extent cx="5334000" cy="3733799"/>
                  <wp:effectExtent b="0" l="0" r="0" t="0"/>
                  <wp:docPr descr="" title="" id="73" name="Picture"/>
                  <a:graphic>
                    <a:graphicData uri="http://schemas.openxmlformats.org/drawingml/2006/picture">
                      <pic:pic>
                        <pic:nvPicPr>
                          <pic:cNvPr descr="images/LeafSampling.png" id="74" name="Picture"/>
                          <pic:cNvPicPr>
                            <a:picLocks noChangeArrowheads="1" noChangeAspect="1"/>
                          </pic:cNvPicPr>
                        </pic:nvPicPr>
                        <pic:blipFill>
                          <a:blip r:embed="rId72"/>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Fungal Sampling. Collect one sample/leaf per bag and complete the required information on each label. Figure created with BioRender.com.</w:t>
            </w:r>
          </w:p>
          <w:bookmarkEnd w:id="75"/>
        </w:tc>
      </w:tr>
    </w:tbl>
    <w:bookmarkEnd w:id="76"/>
    <w:bookmarkStart w:id="85" w:name="culturing-fungi-from-leaves"/>
    <w:p>
      <w:pPr>
        <w:pStyle w:val="Heading4"/>
      </w:pPr>
      <w:r>
        <w:t xml:space="preserve">Culturing Fungi From Leaves</w:t>
      </w:r>
    </w:p>
    <w:p>
      <w:pPr>
        <w:pStyle w:val="FirstParagraph"/>
      </w:pPr>
      <w:r>
        <w:t xml:space="preserve">You have 3 larger (150x10mm) Petri dishes that contain water agar. Water agar media is more clear (whitish to translucent) than the smaller Petri dishes which contain Potato Dextrose Agar (PDA). These water agar plates will be used for Part I of this exercise. Section each of these into 6 regions as depicted in</w:t>
      </w:r>
      <w:r>
        <w:t xml:space="preserve"> </w:t>
      </w:r>
      <w:hyperlink w:anchor="fig-Wateragar">
        <w:r>
          <w:rPr>
            <w:rStyle w:val="Hyperlink"/>
          </w:rPr>
          <w:t xml:space="preserve">Figure 3</w:t>
        </w:r>
      </w:hyperlink>
      <w:r>
        <w:t xml:space="preserve">. This will provide you space to culture 18 leaf sections.</w:t>
      </w:r>
    </w:p>
    <w:p>
      <w:pPr>
        <w:pStyle w:val="BodyText"/>
      </w:pPr>
      <w:r>
        <w:t xml:space="preserve">Gather all supplies including sterilized water, 70% ethanol, and 10% bleach solution. Label the Petri dishes and read through procedures before starting. Place bleach solution and sterile water in a container with enough space to dip leaf tissue. Use the provided scalpel or metal paper hole punch from your lab kit to take leaf subsamples.</w:t>
      </w:r>
    </w:p>
    <w:p>
      <w:pPr>
        <w:pStyle w:val="BodyText"/>
      </w:pPr>
      <w:r>
        <w:t xml:space="preserve">Label the</w:t>
      </w:r>
      <w:r>
        <w:t xml:space="preserve"> </w:t>
      </w:r>
      <w:hyperlink w:anchor="fig-Wateragar">
        <w:r>
          <w:rPr>
            <w:rStyle w:val="Hyperlink"/>
          </w:rPr>
          <w:t xml:space="preserve">Figure 3</w:t>
        </w:r>
      </w:hyperlink>
      <w:r>
        <w:t xml:space="preserve"> </w:t>
      </w:r>
      <w:r>
        <w:t xml:space="preserve">plate with your name and divide into six sections. Label each section with the unique ID number for the leaf sample you will be plating in that section. For example, if you are plating leaf 1a in the first section, label that section</w:t>
      </w:r>
      <w:r>
        <w:t xml:space="preserve"> </w:t>
      </w:r>
      <w:r>
        <w:t xml:space="preserve">“1a”</w:t>
      </w:r>
      <w:r>
        <w:t xml:space="preserve">. If you are plating leaf 2b in the second section, label that section</w:t>
      </w:r>
      <w:r>
        <w:t xml:space="preserve"> </w:t>
      </w:r>
      <w:r>
        <w:t xml:space="preserve">“2b”</w:t>
      </w:r>
      <w:r>
        <w:t xml:space="preserve">, and so on.</w:t>
      </w:r>
    </w:p>
    <w:tbl>
      <w:tblPr>
        <w:tblStyle w:val="Table"/>
        <w:tblW w:type="pct" w:w="5000"/>
        <w:tblLayout w:type="fixed"/>
        <w:tblLook w:firstRow="0" w:lastRow="0" w:firstColumn="0" w:lastColumn="0" w:noHBand="0" w:noVBand="0" w:val="0000"/>
      </w:tblPr>
      <w:tblGrid>
        <w:gridCol w:w="7920"/>
      </w:tblGrid>
      <w:tr>
        <w:tc>
          <w:tcPr/>
          <w:bookmarkStart w:id="80" w:name="fig-Wateragar"/>
          <w:p>
            <w:pPr>
              <w:pStyle w:val="Compact"/>
              <w:jc w:val="center"/>
            </w:pPr>
            <w:r>
              <w:drawing>
                <wp:inline>
                  <wp:extent cx="5334000" cy="3733799"/>
                  <wp:effectExtent b="0" l="0" r="0" t="0"/>
                  <wp:docPr descr="" title="" id="78" name="Picture"/>
                  <a:graphic>
                    <a:graphicData uri="http://schemas.openxmlformats.org/drawingml/2006/picture">
                      <pic:pic>
                        <pic:nvPicPr>
                          <pic:cNvPr descr="images/WaterAgar.png" id="79" name="Picture"/>
                          <pic:cNvPicPr>
                            <a:picLocks noChangeArrowheads="1" noChangeAspect="1"/>
                          </pic:cNvPicPr>
                        </pic:nvPicPr>
                        <pic:blipFill>
                          <a:blip r:embed="rId77"/>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Water Agar Plates. Take a large water agar plate and divide it into six sections using a ruler and marker. Label each section with the unique ID number for the leaf sample you will be plating in that section. Figure created with BioRender.com.</w:t>
            </w:r>
          </w:p>
          <w:bookmarkEnd w:id="80"/>
        </w:tc>
      </w:tr>
    </w:tbl>
    <w:p>
      <w:pPr>
        <w:pStyle w:val="Compact"/>
        <w:numPr>
          <w:ilvl w:val="0"/>
          <w:numId w:val="1076"/>
        </w:numPr>
      </w:pPr>
      <w:r>
        <w:t xml:space="preserve">Sanitize/sterilize all work surfaces. Wipe surfaces with ethanol. Choose a working location with the least amount of airflow to prevent contamination. If available, set up torches on either side of your work area with the flames aimed toward the middle of your workspace. The heat generated from the torches creates an the potential of airborne contaminants.</w:t>
      </w:r>
    </w:p>
    <w:p>
      <w:pPr>
        <w:pStyle w:val="Compact"/>
        <w:numPr>
          <w:ilvl w:val="0"/>
          <w:numId w:val="1076"/>
        </w:numPr>
      </w:pPr>
      <w:r>
        <w:t xml:space="preserve">Sterilize tools (scalpel or hole punch and forceps). Use ethanol and allow to air dry.</w:t>
      </w:r>
    </w:p>
    <w:p>
      <w:pPr>
        <w:pStyle w:val="Compact"/>
        <w:numPr>
          <w:ilvl w:val="0"/>
          <w:numId w:val="1076"/>
        </w:numPr>
      </w:pPr>
      <w:r>
        <w:t xml:space="preserve">Cut leaf tissues. You may take as many cuttings from each leaf as desired. Be sure to label cuttings appropriately as described above. Cuttings should be ~1 cm.</w:t>
      </w:r>
    </w:p>
    <w:p>
      <w:pPr>
        <w:pStyle w:val="Compact"/>
        <w:numPr>
          <w:ilvl w:val="0"/>
          <w:numId w:val="1076"/>
        </w:numPr>
      </w:pPr>
      <w:r>
        <w:t xml:space="preserve">Surface sterilize leaf tissue. Using sterilized forceps (heat and cool as above), immerse each cutting in 10% bleach solution for 10 seconds.</w:t>
      </w:r>
    </w:p>
    <w:p>
      <w:pPr>
        <w:pStyle w:val="Compact"/>
        <w:numPr>
          <w:ilvl w:val="1"/>
          <w:numId w:val="1077"/>
        </w:numPr>
      </w:pPr>
      <w:r>
        <w:t xml:space="preserve">To prepare the bleach solution, sterilize water by boiling water for 10 minutes. You will need enough water for the bleach solution and rinse step. Distilled water is preferred. If unavailable, use tap water. Let water cool to room temperature before coming into contact with plant tissue.</w:t>
      </w:r>
    </w:p>
    <w:p>
      <w:pPr>
        <w:pStyle w:val="Compact"/>
        <w:numPr>
          <w:ilvl w:val="1"/>
          <w:numId w:val="1077"/>
        </w:numPr>
      </w:pPr>
      <w:r>
        <w:t xml:space="preserve">Mix 1ml (1/4 teaspoon) household bleach with 500 ml (2 cups) sterilized water.</w:t>
      </w:r>
    </w:p>
    <w:p>
      <w:pPr>
        <w:pStyle w:val="Compact"/>
        <w:numPr>
          <w:ilvl w:val="0"/>
          <w:numId w:val="1076"/>
        </w:numPr>
      </w:pPr>
      <w:r>
        <w:t xml:space="preserve">Rinse leaf tissue. Transfer leaf cutting from bleach solution using forceps and swirl in sterile water or 70% ethanol to rinse. Let excess water drip off leaf cutting or place on clean kimwipes to dry.</w:t>
      </w:r>
    </w:p>
    <w:p>
      <w:pPr>
        <w:pStyle w:val="Compact"/>
        <w:numPr>
          <w:ilvl w:val="0"/>
          <w:numId w:val="1076"/>
        </w:numPr>
      </w:pPr>
      <w:r>
        <w:t xml:space="preserve">Add tissue to water agar. Place up to 6 leaf cuttings per plate of water agar labeled as described</w:t>
      </w:r>
      <w:r>
        <w:t xml:space="preserve"> </w:t>
      </w:r>
      <w:hyperlink w:anchor="fig-SamplesWaterAgar">
        <w:r>
          <w:rPr>
            <w:rStyle w:val="Hyperlink"/>
          </w:rPr>
          <w:t xml:space="preserve">Figure 4</w:t>
        </w:r>
      </w:hyperlink>
      <w:r>
        <w:t xml:space="preserve">. The water agar plates are the larger plates that contain clear to whitish media. Use sterile technique. Be sure to sterilize forceps (heat with flame and cool) in between each leaf transfer.</w:t>
      </w:r>
    </w:p>
    <w:p>
      <w:pPr>
        <w:pStyle w:val="Compact"/>
        <w:numPr>
          <w:ilvl w:val="0"/>
          <w:numId w:val="1076"/>
        </w:numPr>
      </w:pPr>
      <w:r>
        <w:t xml:space="preserve">Seal Petri dish with Parafilm. This is a stretchy material similar to Saran Wrap. Cut a strip a little wider than the Petri dish. Remove the paper backing. Hold one end of the Parafilm strip on the lip of the Petri dish so that the gap between the lid and base is covered by the Parafilm. Keeping one end fixed with one hand, stretch and wrap the parafilm around the Petri dish, sealing the gap between the lid and base of the Petri dish. The stretching of the Parafilm will facilitate the seal, you will not need any tape to keep the Parafilm in place.</w:t>
      </w:r>
    </w:p>
    <w:p>
      <w:pPr>
        <w:pStyle w:val="Compact"/>
        <w:numPr>
          <w:ilvl w:val="0"/>
          <w:numId w:val="1076"/>
        </w:numPr>
      </w:pPr>
      <w:r>
        <w:t xml:space="preserve">Incubate at room temperature in the dark and examine for growth each day.</w:t>
      </w:r>
    </w:p>
    <w:tbl>
      <w:tblPr>
        <w:tblStyle w:val="Table"/>
        <w:tblW w:type="pct" w:w="5000"/>
        <w:tblLayout w:type="fixed"/>
        <w:tblLook w:firstRow="0" w:lastRow="0" w:firstColumn="0" w:lastColumn="0" w:noHBand="0" w:noVBand="0" w:val="0000"/>
      </w:tblPr>
      <w:tblGrid>
        <w:gridCol w:w="7920"/>
      </w:tblGrid>
      <w:tr>
        <w:tc>
          <w:tcPr/>
          <w:bookmarkStart w:id="84" w:name="fig-SamplesWaterAgar"/>
          <w:p>
            <w:pPr>
              <w:pStyle w:val="Compact"/>
              <w:jc w:val="center"/>
            </w:pPr>
            <w:r>
              <w:drawing>
                <wp:inline>
                  <wp:extent cx="5334000" cy="3733799"/>
                  <wp:effectExtent b="0" l="0" r="0" t="0"/>
                  <wp:docPr descr="" title="" id="82" name="Picture"/>
                  <a:graphic>
                    <a:graphicData uri="http://schemas.openxmlformats.org/drawingml/2006/picture">
                      <pic:pic>
                        <pic:nvPicPr>
                          <pic:cNvPr descr="images/LeafSamplesWaterAgar.png" id="83" name="Picture"/>
                          <pic:cNvPicPr>
                            <a:picLocks noChangeArrowheads="1" noChangeAspect="1"/>
                          </pic:cNvPicPr>
                        </pic:nvPicPr>
                        <pic:blipFill>
                          <a:blip r:embed="rId81"/>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Place Leaf Samples on Water Agar Plates. Take a large water agar plate and divide it into six sections using a ruler and marker. Place leaf samples in each section after surface sterilizing and rinsing in ethanol. Figure created with BioRender.com.</w:t>
            </w:r>
          </w:p>
          <w:bookmarkEnd w:id="84"/>
        </w:tc>
      </w:tr>
    </w:tbl>
    <w:bookmarkEnd w:id="85"/>
    <w:bookmarkEnd w:id="86"/>
    <w:bookmarkEnd w:id="87"/>
    <w:bookmarkEnd w:id="88"/>
    <w:bookmarkStart w:id="111" w:name="module-2-fungal-isolation"/>
    <w:p>
      <w:pPr>
        <w:pStyle w:val="Heading1"/>
      </w:pPr>
      <w:r>
        <w:t xml:space="preserve">Module 2: Fungal Isolation</w:t>
      </w:r>
    </w:p>
    <w:bookmarkStart w:id="96" w:name="module-2.1-lab-prep-overview"/>
    <w:p>
      <w:pPr>
        <w:pStyle w:val="Heading2"/>
      </w:pPr>
      <w:r>
        <w:t xml:space="preserve">Module 2.1 – Lab Prep Overview</w:t>
      </w:r>
    </w:p>
    <w:bookmarkStart w:id="95" w:name="X607910f6b5d5ec784b2986740c973a9a0beb010"/>
    <w:p>
      <w:pPr>
        <w:pStyle w:val="Heading3"/>
      </w:pPr>
      <w:r>
        <w:t xml:space="preserve">Instructor Laboratory Preparation Instructions</w:t>
      </w:r>
    </w:p>
    <w:bookmarkStart w:id="94" w:name="materials-1"/>
    <w:p>
      <w:pPr>
        <w:pStyle w:val="Heading4"/>
      </w:pPr>
      <w:r>
        <w:t xml:space="preserve">Materials</w:t>
      </w:r>
    </w:p>
    <w:p>
      <w:pPr>
        <w:pStyle w:val="Compact"/>
        <w:numPr>
          <w:ilvl w:val="0"/>
          <w:numId w:val="1078"/>
        </w:numPr>
      </w:pPr>
      <w:r>
        <w:t xml:space="preserve">Cellophane</w:t>
      </w:r>
    </w:p>
    <w:p>
      <w:pPr>
        <w:pStyle w:val="Compact"/>
        <w:numPr>
          <w:ilvl w:val="0"/>
          <w:numId w:val="1079"/>
        </w:numPr>
      </w:pPr>
      <w:r>
        <w:t xml:space="preserve">100x15mm Petri dishes</w:t>
      </w:r>
    </w:p>
    <w:p>
      <w:pPr>
        <w:pStyle w:val="Compact"/>
        <w:numPr>
          <w:ilvl w:val="0"/>
          <w:numId w:val="1080"/>
        </w:numPr>
      </w:pPr>
      <w:r>
        <w:t xml:space="preserve">60x15mm Petri dishes</w:t>
      </w:r>
    </w:p>
    <w:p>
      <w:pPr>
        <w:pStyle w:val="Compact"/>
        <w:numPr>
          <w:ilvl w:val="0"/>
          <w:numId w:val="1081"/>
        </w:numPr>
      </w:pPr>
      <w:r>
        <w:t xml:space="preserve">Bacteriological agar</w:t>
      </w:r>
    </w:p>
    <w:p>
      <w:pPr>
        <w:pStyle w:val="Compact"/>
        <w:numPr>
          <w:ilvl w:val="0"/>
          <w:numId w:val="1082"/>
        </w:numPr>
      </w:pPr>
      <w:r>
        <w:t xml:space="preserve">Potato Dextrose Agar (PDA)</w:t>
      </w:r>
    </w:p>
    <w:p>
      <w:pPr>
        <w:pStyle w:val="Compact"/>
        <w:numPr>
          <w:ilvl w:val="0"/>
          <w:numId w:val="1083"/>
        </w:numPr>
      </w:pPr>
      <w:r>
        <w:t xml:space="preserve">Forceps</w:t>
      </w:r>
    </w:p>
    <w:p>
      <w:pPr>
        <w:pStyle w:val="Compact"/>
        <w:numPr>
          <w:ilvl w:val="0"/>
          <w:numId w:val="1084"/>
        </w:numPr>
      </w:pPr>
      <w:r>
        <w:t xml:space="preserve">Scalpel</w:t>
      </w:r>
    </w:p>
    <w:p>
      <w:pPr>
        <w:pStyle w:val="FirstParagraph"/>
      </w:pPr>
      <w:r>
        <w:rPr>
          <w:b/>
          <w:bCs/>
        </w:rPr>
        <w:t xml:space="preserve">Lab Prep: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important.png" id="91" name="Picture"/>
                          <pic:cNvPicPr>
                            <a:picLocks noChangeArrowheads="1" noChangeAspect="1"/>
                          </pic:cNvPicPr>
                        </pic:nvPicPr>
                        <pic:blipFill>
                          <a:blip r:embed="rId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Read all directions and gather all supplies before beginning. Carefully clean your work area with bleach, and/or ethanol.</w:t>
            </w:r>
          </w:p>
          <w:p/>
        </w:tc>
      </w:tr>
    </w:tbl>
    <w:p>
      <w:pPr>
        <w:pStyle w:val="BodyText"/>
      </w:pPr>
      <w:r>
        <w:rPr>
          <w:b/>
          <w:bCs/>
        </w:rPr>
        <w:t xml:space="preserve">Potato Dextrose Agar (PDA) Plates:</w:t>
      </w:r>
      <w:r>
        <w:t xml:space="preserve"> </w:t>
      </w:r>
      <w:r>
        <w:t xml:space="preserve">Fungi cultured from leaves on water agar is transferred to nutrient Potato Dextrose Agar (PDA) plates.</w:t>
      </w:r>
      <w:r>
        <w:t xml:space="preserve"> </w:t>
      </w:r>
      <w:r>
        <w:rPr>
          <w:b/>
          <w:bCs/>
        </w:rPr>
        <w:t xml:space="preserve">We use one 60x15 mm Petri dish for each fungal isolate.</w:t>
      </w:r>
    </w:p>
    <w:p>
      <w:pPr>
        <w:pStyle w:val="BodyText"/>
      </w:pPr>
      <w:r>
        <w:rPr>
          <w:b/>
          <w:bCs/>
        </w:rPr>
        <w:t xml:space="preserve">Potato Dextrose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60x15mm plates in a sterile environment. Do not let it cool too long as the media will solidify. Each 60x15mm plate holds approximately 8 ml media. If plates will be used immediately smaller amounts of media can be poured into plates. If plates will be stored, use larger amounts. Store plates in the original Petri dish sleeve in the refrigerator (~4 °C) until use.</w:t>
      </w:r>
    </w:p>
    <w:p>
      <w:pPr>
        <w:pStyle w:val="BodyText"/>
      </w:pPr>
      <w:r>
        <w:rPr>
          <w:b/>
          <w:bCs/>
        </w:rPr>
        <w:t xml:space="preserve">Option: Adding Antibiotics:</w:t>
      </w:r>
      <w:r>
        <w:t xml:space="preserve"> </w:t>
      </w:r>
      <w:r>
        <w:t xml:space="preserve">Once your PDA has cooled, you may choose to add antibiotics to the media. Streptomycin (streptomycin sulfate) is commonly used at a concentration of 50mg/L in agar. Add the appropriate amount to your media once cool to the touch and before pouring plates.</w:t>
      </w:r>
    </w:p>
    <w:p>
      <w:pPr>
        <w:pStyle w:val="BodyText"/>
      </w:pPr>
      <w:r>
        <w:rPr>
          <w:b/>
          <w:bCs/>
        </w:rPr>
        <w:t xml:space="preserve">Cellophane Plates:</w:t>
      </w:r>
      <w:r>
        <w:t xml:space="preserve"> </w:t>
      </w:r>
      <w:r>
        <w:t xml:space="preserve">Fungal tissue can be harvested from cellophane plates. Cut cellophane discs slightly smaller than the petri dish so that they lay flat on the PDA media. Using the bottom of the petri dish as a template, draw a circle on the cellophane and cut out discs on the inside of the line.</w:t>
      </w:r>
    </w:p>
    <w:p>
      <w:pPr>
        <w:pStyle w:val="BodyText"/>
      </w:pPr>
      <w:r>
        <w:t xml:space="preserve">Place cellophane discs into an autoclavable container with water. Place each cellophane disc individually into the water and try to stagger them in the water. This staggering step ensures that you can more easily remove the discs from the water. Cover your container with foil and sterilize by autoclaving at 15 lbs. pressure at 121 °C for 15 minutes.</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p>
      <w:pPr>
        <w:pStyle w:val="BodyText"/>
      </w:pPr>
      <w:r>
        <w:rPr>
          <w:b/>
          <w:bCs/>
        </w:rPr>
        <w:t xml:space="preserve">Disposal:</w:t>
      </w:r>
      <w:r>
        <w:t xml:space="preserve"> </w:t>
      </w:r>
      <w:r>
        <w:t xml:space="preserve">Place all Petri dishes in an autoclavable bag and sterilize at 15 lbs pressure (121°C) for 15 minutes. Follow institutional protocol for post-sterilization disposal. Be sure that the disposal of any heavy metals or other chemicals are properly handled.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important.png" id="93" name="Picture"/>
                          <pic:cNvPicPr>
                            <a:picLocks noChangeArrowheads="1" noChangeAspect="1"/>
                          </pic:cNvPicPr>
                        </pic:nvPicPr>
                        <pic:blipFill>
                          <a:blip r:embed="rId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Please use the red biohazard bags for disposal of all Petri dishes and materials that have come into contact with fungi. This includes gloves, paper towels, Kimwipes, and any other materials used during the lab. Do not dispose of these materials in regular trash or recycling bins.</w:t>
            </w:r>
          </w:p>
          <w:p/>
        </w:tc>
      </w:tr>
    </w:tbl>
    <w:bookmarkEnd w:id="94"/>
    <w:bookmarkEnd w:id="95"/>
    <w:bookmarkEnd w:id="96"/>
    <w:bookmarkStart w:id="110" w:name="module-2.2---fungal-isolation"/>
    <w:p>
      <w:pPr>
        <w:pStyle w:val="Heading2"/>
      </w:pPr>
      <w:r>
        <w:t xml:space="preserve">Module 2.2 - Fungal Isolation</w:t>
      </w:r>
    </w:p>
    <w:bookmarkStart w:id="99" w:name="purpose-1"/>
    <w:p>
      <w:pPr>
        <w:pStyle w:val="Heading3"/>
      </w:pPr>
      <w:r>
        <w:t xml:space="preserve">Purpose</w:t>
      </w:r>
    </w:p>
    <w:p>
      <w:pPr>
        <w:pStyle w:val="FirstParagraph"/>
      </w:pPr>
      <w:r>
        <w:t xml:space="preserve">This lab will introduce you to sterile technique, culturing fungi, isolating cultures, and documenting fungal growth.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warning.png" id="98"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Note that we will be working with 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p>
          <w:p>
            <w:pPr>
              <w:pStyle w:val="BodyText"/>
            </w:pPr>
            <w:pPr>
              <w:spacing w:after="16"/>
            </w:pPr>
            <w:r>
              <w:t xml:space="preserve">Additionally, we may not be able to work in a laminar flow hood, which increases the risk of contamination. Be extra cautious with sterile technique and be prepared for some contamination in your plates. If you have access to a laminar flow hood, please use it for this lab.</w:t>
            </w:r>
          </w:p>
          <w:p/>
        </w:tc>
      </w:tr>
    </w:tbl>
    <w:bookmarkEnd w:id="99"/>
    <w:bookmarkStart w:id="100" w:name="introduction-2"/>
    <w:p>
      <w:pPr>
        <w:pStyle w:val="Heading3"/>
      </w:pPr>
      <w:r>
        <w:t xml:space="preserve">Introduction</w:t>
      </w:r>
    </w:p>
    <w:p>
      <w:pPr>
        <w:pStyle w:val="FirstParagraph"/>
      </w:pPr>
      <w:r>
        <w:t xml:space="preserve">In the previous lab, we started the process of sampling fungal endophytes. We documented the host plant using iNaturalist and then sampled foliar tissues from the plants. These foliar tissues were transported to the lab, surface sterilized to remove any external contaminants, and dissected. The dissected tissues were plated onto water agar plates, sealed, and labeled.</w:t>
      </w:r>
    </w:p>
    <w:p>
      <w:pPr>
        <w:pStyle w:val="BodyText"/>
      </w:pPr>
      <w:r>
        <w:t xml:space="preserve">Today, we will isolate, or subculture, these fungi onto PDA agar (Potato Dextrose Agar). This nutrient agar will allow for fungal growth. We will then measure the growth rate of each individual fungal isolate.</w:t>
      </w:r>
    </w:p>
    <w:p>
      <w:pPr>
        <w:pStyle w:val="BodyText"/>
      </w:pPr>
      <w:r>
        <w:t xml:space="preserve">This project is part of the</w:t>
      </w:r>
      <w:r>
        <w:t xml:space="preserve"> </w:t>
      </w:r>
      <w:hyperlink r:id="rId10">
        <w:r>
          <w:rPr>
            <w:rStyle w:val="Hyperlink"/>
          </w:rPr>
          <w:t xml:space="preserve">Myco-Ed Fungal Genomics Education Project</w:t>
        </w:r>
      </w:hyperlink>
      <w:r>
        <w:t xml:space="preserve">. The goal of this long-term research project is to develop annotated genomes of fungal endophytes to better understand their ecology and how they impact their host plants.</w:t>
      </w:r>
    </w:p>
    <w:bookmarkEnd w:id="100"/>
    <w:bookmarkStart w:id="101" w:name="learning-goals-1"/>
    <w:p>
      <w:pPr>
        <w:pStyle w:val="Heading3"/>
      </w:pPr>
      <w:r>
        <w:t xml:space="preserve">Learning Goals</w:t>
      </w:r>
    </w:p>
    <w:p>
      <w:pPr>
        <w:pStyle w:val="Compact"/>
        <w:numPr>
          <w:ilvl w:val="0"/>
          <w:numId w:val="1085"/>
        </w:numPr>
      </w:pPr>
      <w:r>
        <w:t xml:space="preserve">Practice sterile technique</w:t>
      </w:r>
    </w:p>
    <w:p>
      <w:pPr>
        <w:pStyle w:val="Compact"/>
        <w:numPr>
          <w:ilvl w:val="0"/>
          <w:numId w:val="1085"/>
        </w:numPr>
      </w:pPr>
      <w:r>
        <w:t xml:space="preserve">Culture and isolate fungi</w:t>
      </w:r>
    </w:p>
    <w:p>
      <w:pPr>
        <w:pStyle w:val="Compact"/>
        <w:numPr>
          <w:ilvl w:val="0"/>
          <w:numId w:val="1085"/>
        </w:numPr>
      </w:pPr>
      <w:r>
        <w:t xml:space="preserve">Investigate fungal endophytes</w:t>
      </w:r>
    </w:p>
    <w:p>
      <w:pPr>
        <w:pStyle w:val="Compact"/>
        <w:numPr>
          <w:ilvl w:val="0"/>
          <w:numId w:val="1085"/>
        </w:numPr>
      </w:pPr>
      <w:r>
        <w:t xml:space="preserve">Characterize morphology of fungal cultures</w:t>
      </w:r>
    </w:p>
    <w:p>
      <w:pPr>
        <w:pStyle w:val="Compact"/>
        <w:numPr>
          <w:ilvl w:val="0"/>
          <w:numId w:val="1085"/>
        </w:numPr>
      </w:pPr>
      <w:r>
        <w:t xml:space="preserve">Create data spreadsheets</w:t>
      </w:r>
    </w:p>
    <w:p>
      <w:pPr>
        <w:pStyle w:val="Compact"/>
        <w:numPr>
          <w:ilvl w:val="0"/>
          <w:numId w:val="1085"/>
        </w:numPr>
      </w:pPr>
      <w:r>
        <w:t xml:space="preserve">Isolate fungi for molecular extraction and analysis</w:t>
      </w:r>
    </w:p>
    <w:p>
      <w:pPr>
        <w:pStyle w:val="Compact"/>
        <w:numPr>
          <w:ilvl w:val="0"/>
          <w:numId w:val="1085"/>
        </w:numPr>
      </w:pPr>
      <w:r>
        <w:t xml:space="preserve">Create growth curves</w:t>
      </w:r>
    </w:p>
    <w:bookmarkEnd w:id="101"/>
    <w:bookmarkStart w:id="109" w:name="instructions-1"/>
    <w:p>
      <w:pPr>
        <w:pStyle w:val="Heading3"/>
      </w:pPr>
      <w:r>
        <w:t xml:space="preserve">Instructions</w:t>
      </w:r>
    </w:p>
    <w:bookmarkStart w:id="102" w:name="materials-2"/>
    <w:p>
      <w:pPr>
        <w:pStyle w:val="Heading4"/>
      </w:pPr>
      <w:r>
        <w:t xml:space="preserve">Materials</w:t>
      </w:r>
    </w:p>
    <w:p>
      <w:pPr>
        <w:pStyle w:val="Compact"/>
        <w:numPr>
          <w:ilvl w:val="0"/>
          <w:numId w:val="1086"/>
        </w:numPr>
      </w:pPr>
      <w:r>
        <w:t xml:space="preserve">Fungal endophyte sample plates</w:t>
      </w:r>
    </w:p>
    <w:p>
      <w:pPr>
        <w:pStyle w:val="Compact"/>
        <w:numPr>
          <w:ilvl w:val="0"/>
          <w:numId w:val="1087"/>
        </w:numPr>
      </w:pPr>
      <w:r>
        <w:t xml:space="preserve">PDA plates (60x15 mm)</w:t>
      </w:r>
    </w:p>
    <w:p>
      <w:pPr>
        <w:pStyle w:val="Compact"/>
        <w:numPr>
          <w:ilvl w:val="0"/>
          <w:numId w:val="1088"/>
        </w:numPr>
      </w:pPr>
      <w:r>
        <w:t xml:space="preserve">70% ethanol</w:t>
      </w:r>
    </w:p>
    <w:p>
      <w:pPr>
        <w:pStyle w:val="Compact"/>
        <w:numPr>
          <w:ilvl w:val="0"/>
          <w:numId w:val="1089"/>
        </w:numPr>
      </w:pPr>
      <w:r>
        <w:t xml:space="preserve">Kimwipes and paper towels</w:t>
      </w:r>
    </w:p>
    <w:p>
      <w:pPr>
        <w:pStyle w:val="Compact"/>
        <w:numPr>
          <w:ilvl w:val="0"/>
          <w:numId w:val="1090"/>
        </w:numPr>
      </w:pPr>
      <w:r>
        <w:t xml:space="preserve">Parafilm</w:t>
      </w:r>
    </w:p>
    <w:p>
      <w:pPr>
        <w:pStyle w:val="Compact"/>
        <w:numPr>
          <w:ilvl w:val="0"/>
          <w:numId w:val="1091"/>
        </w:numPr>
      </w:pPr>
      <w:r>
        <w:t xml:space="preserve">Fine-tip Sharpie</w:t>
      </w:r>
    </w:p>
    <w:p>
      <w:pPr>
        <w:pStyle w:val="Compact"/>
        <w:numPr>
          <w:ilvl w:val="0"/>
          <w:numId w:val="1092"/>
        </w:numPr>
      </w:pPr>
      <w:r>
        <w:t xml:space="preserve">Ethanol for sterilization</w:t>
      </w:r>
    </w:p>
    <w:p>
      <w:pPr>
        <w:pStyle w:val="Compact"/>
        <w:numPr>
          <w:ilvl w:val="0"/>
          <w:numId w:val="1093"/>
        </w:numPr>
      </w:pPr>
      <w:r>
        <w:t xml:space="preserve">Scalpel</w:t>
      </w:r>
    </w:p>
    <w:p>
      <w:pPr>
        <w:pStyle w:val="Compact"/>
        <w:numPr>
          <w:ilvl w:val="0"/>
          <w:numId w:val="1094"/>
        </w:numPr>
      </w:pPr>
      <w:r>
        <w:t xml:space="preserve">Ruler</w:t>
      </w:r>
    </w:p>
    <w:p>
      <w:pPr>
        <w:pStyle w:val="Compact"/>
        <w:numPr>
          <w:ilvl w:val="0"/>
          <w:numId w:val="1095"/>
        </w:numPr>
      </w:pPr>
      <w:r>
        <w:t xml:space="preserve">Forceps</w:t>
      </w:r>
    </w:p>
    <w:bookmarkEnd w:id="102"/>
    <w:bookmarkStart w:id="107" w:name="X2a686204ef2636cfa94f5241192951a8a671134"/>
    <w:p>
      <w:pPr>
        <w:pStyle w:val="Heading4"/>
      </w:pPr>
      <w:r>
        <w:t xml:space="preserve">Part I - Subculturing Fungal Endophytes into Fungal Isolates</w:t>
      </w:r>
    </w:p>
    <w:p>
      <w:pPr>
        <w:pStyle w:val="FirstParagraph"/>
      </w:pPr>
      <w:r>
        <w:t xml:space="preserve">Fungal cultures usually emerge as white fuzz from your leaf discs, however, the hyphae might be pigmented, such as a brown or greenish color.</w:t>
      </w:r>
      <w:r>
        <w:t xml:space="preserve"> </w:t>
      </w:r>
      <w:hyperlink w:anchor="fig-fungalhyphae">
        <w:r>
          <w:rPr>
            <w:rStyle w:val="Hyperlink"/>
          </w:rPr>
          <w:t xml:space="preserve">Figure 5</w:t>
        </w:r>
      </w:hyperlink>
      <w:r>
        <w:t xml:space="preserve"> </w:t>
      </w:r>
      <w:r>
        <w:t xml:space="preserve">depicts the fungal hyphae in brown and blue emerging from the green leaf tissue. The fungi are utilizing the nutrients available in the leaf tissue for growth as water agar does not contain nutrients. To promote the growth necessary for downstream analyses, it is essential to transfer the fungi to a growth medium that contains nutrients. For our exercise we are using Potato Dextrose Agar (PDA) as nutrient media. These are smaller Petri dishes and the media has a yellowish tint (compared to the larger Petri dishes containing the clear, or whitish, water agar from your initial isolation). This transfer step also allows for the separation of each fungal isolate to ensure pure cultures.</w:t>
      </w:r>
    </w:p>
    <w:tbl>
      <w:tblPr>
        <w:tblStyle w:val="Table"/>
        <w:tblW w:type="pct" w:w="5000"/>
        <w:tblLayout w:type="fixed"/>
        <w:tblLook w:firstRow="0" w:lastRow="0" w:firstColumn="0" w:lastColumn="0" w:noHBand="0" w:noVBand="0" w:val="0000"/>
      </w:tblPr>
      <w:tblGrid>
        <w:gridCol w:w="7920"/>
      </w:tblGrid>
      <w:tr>
        <w:tc>
          <w:tcPr/>
          <w:bookmarkStart w:id="106" w:name="fig-fungalhyphae"/>
          <w:p>
            <w:pPr>
              <w:pStyle w:val="Compact"/>
              <w:jc w:val="center"/>
            </w:pPr>
            <w:r>
              <w:drawing>
                <wp:inline>
                  <wp:extent cx="5334000" cy="3733799"/>
                  <wp:effectExtent b="0" l="0" r="0" t="0"/>
                  <wp:docPr descr="" title="" id="104" name="Picture"/>
                  <a:graphic>
                    <a:graphicData uri="http://schemas.openxmlformats.org/drawingml/2006/picture">
                      <pic:pic>
                        <pic:nvPicPr>
                          <pic:cNvPr descr="images/FungalHyphae.png" id="105" name="Picture"/>
                          <pic:cNvPicPr>
                            <a:picLocks noChangeArrowheads="1" noChangeAspect="1"/>
                          </pic:cNvPicPr>
                        </pic:nvPicPr>
                        <pic:blipFill>
                          <a:blip r:embed="rId103"/>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Fungal Hyphae Emerging from Green Leaf Tissue. Leaves have different shapes and sizes. Leaf pathologies and diseases can be identified by inspection of leaves. Figure created with BioRender.com.</w:t>
            </w:r>
          </w:p>
          <w:bookmarkEnd w:id="106"/>
        </w:tc>
      </w:tr>
    </w:tbl>
    <w:p>
      <w:pPr>
        <w:pStyle w:val="BodyText"/>
      </w:pPr>
      <w:r>
        <w:t xml:space="preserve">Fungal growth from the leaf cuttings may occur over the span of a few weeks, so you may have to transfer several times. Your fungal cultures will be most successful if you transfer them within a few days (1-3) from emergence or detection.</w:t>
      </w:r>
    </w:p>
    <w:p>
      <w:pPr>
        <w:pStyle w:val="Compact"/>
        <w:numPr>
          <w:ilvl w:val="0"/>
          <w:numId w:val="1096"/>
        </w:numPr>
      </w:pPr>
      <w:r>
        <w:t xml:space="preserve">Practice Sterile Technique. Wear gloves. Clean work surface with disinfectant. If available, wipe surfaces with 70% ethanol. Choose a working location with the least amount of airflow to prevent contamination. Decrease the potential of airborne contaminants falling onto your workspace or into your Petri dishes.</w:t>
      </w:r>
    </w:p>
    <w:p>
      <w:pPr>
        <w:pStyle w:val="Compact"/>
        <w:numPr>
          <w:ilvl w:val="0"/>
          <w:numId w:val="1096"/>
        </w:numPr>
      </w:pPr>
      <w:r>
        <w:t xml:space="preserve">Label a PDA Petri dish with the sample number and date for each isolate (described in Module 1.1 - Metadata). Always label along the bottom edge. This ensures the label stays with the fungus, even if the top lid falls off. Label the edge of the plate because you don’t want to obscure light transmission through the plate. Also, mark lines on the bottom of the plate as shown in Figure 2 to record the growth rate. Be sure to transfer only one fungal isolate to each PDA petri dish.</w:t>
      </w:r>
    </w:p>
    <w:p>
      <w:pPr>
        <w:pStyle w:val="Compact"/>
        <w:numPr>
          <w:ilvl w:val="0"/>
          <w:numId w:val="1096"/>
        </w:numPr>
      </w:pPr>
      <w:r>
        <w:t xml:space="preserve">Use a stefilized scalpel.</w:t>
      </w:r>
    </w:p>
    <w:p>
      <w:pPr>
        <w:pStyle w:val="Compact"/>
        <w:numPr>
          <w:ilvl w:val="0"/>
          <w:numId w:val="1096"/>
        </w:numPr>
      </w:pPr>
      <w:r>
        <w:t xml:space="preserve">Make a</w:t>
      </w:r>
      <w:r>
        <w:t xml:space="preserve"> </w:t>
      </w:r>
      <w:r>
        <w:t xml:space="preserve">“plug”</w:t>
      </w:r>
      <w:r>
        <w:t xml:space="preserve">. Cut a small chunk of water agar containing hyphae of target isolate using a sterilized scalpel. Transfer this plug of agar and hyphae to the PDA plate. Ideally, you will have the least amount of agar transferred to the new petri dish.</w:t>
      </w:r>
    </w:p>
    <w:p>
      <w:pPr>
        <w:pStyle w:val="Compact"/>
        <w:numPr>
          <w:ilvl w:val="1"/>
          <w:numId w:val="1097"/>
        </w:numPr>
      </w:pPr>
      <w:r>
        <w:t xml:space="preserve">Work quickly and cleanly and consider your technique to prevent contamination. Remove Parafilm from the water agar plate.</w:t>
      </w:r>
    </w:p>
    <w:p>
      <w:pPr>
        <w:pStyle w:val="Compact"/>
        <w:numPr>
          <w:ilvl w:val="1"/>
          <w:numId w:val="1097"/>
        </w:numPr>
      </w:pPr>
      <w:r>
        <w:t xml:space="preserve">Tilt or lift the lid of the water agar petri dish as little as possible, try to keep the lid covering or hovering over the plate to prevent airborne contaminants.</w:t>
      </w:r>
    </w:p>
    <w:p>
      <w:pPr>
        <w:pStyle w:val="Compact"/>
        <w:numPr>
          <w:ilvl w:val="1"/>
          <w:numId w:val="1097"/>
        </w:numPr>
      </w:pPr>
      <w:r>
        <w:t xml:space="preserve">Using a sterile scalpel remove the chunk of agar from the target fungal isolate.</w:t>
      </w:r>
    </w:p>
    <w:p>
      <w:pPr>
        <w:pStyle w:val="Compact"/>
        <w:numPr>
          <w:ilvl w:val="1"/>
          <w:numId w:val="1097"/>
        </w:numPr>
      </w:pPr>
      <w:r>
        <w:t xml:space="preserve">Replace the lid of the water agar.</w:t>
      </w:r>
    </w:p>
    <w:p>
      <w:pPr>
        <w:pStyle w:val="Compact"/>
        <w:numPr>
          <w:ilvl w:val="1"/>
          <w:numId w:val="1097"/>
        </w:numPr>
      </w:pPr>
      <w:r>
        <w:t xml:space="preserve">Open the PDA Petri dish lid by slightly tilting the lid, or lifting the lid straight up. Place the agar chunk into the middle (or as mid-plate as possible) of the PDA petri dish. The agar will likely stick to the scalpel, so do your best to remove the chunk without contamination.</w:t>
      </w:r>
    </w:p>
    <w:p>
      <w:pPr>
        <w:pStyle w:val="Compact"/>
        <w:numPr>
          <w:ilvl w:val="1"/>
          <w:numId w:val="1097"/>
        </w:numPr>
      </w:pPr>
      <w:r>
        <w:t xml:space="preserve">Close the lid of the PDA petri dish lid as quickly as possible. Seal with parafilm.</w:t>
      </w:r>
    </w:p>
    <w:bookmarkEnd w:id="107"/>
    <w:bookmarkStart w:id="108" w:name="part-ii-measuring-growth-rates"/>
    <w:p>
      <w:pPr>
        <w:pStyle w:val="Heading4"/>
      </w:pPr>
      <w:r>
        <w:t xml:space="preserve">Part II – Measuring Growth Rates</w:t>
      </w:r>
    </w:p>
    <w:p>
      <w:pPr>
        <w:pStyle w:val="Compact"/>
        <w:numPr>
          <w:ilvl w:val="0"/>
          <w:numId w:val="1098"/>
        </w:numPr>
      </w:pPr>
      <w:r>
        <w:t xml:space="preserve">Design a data sheet to record growth.</w:t>
      </w:r>
    </w:p>
    <w:p>
      <w:pPr>
        <w:pStyle w:val="Compact"/>
        <w:numPr>
          <w:ilvl w:val="0"/>
          <w:numId w:val="1098"/>
        </w:numPr>
      </w:pPr>
      <w:r>
        <w:t xml:space="preserve">On the bottom of the plate, trace the edge of your fungal culture using a fine-tip Sharpie (Figures 3 and 4).</w:t>
      </w:r>
    </w:p>
    <w:p>
      <w:pPr>
        <w:pStyle w:val="Compact"/>
        <w:numPr>
          <w:ilvl w:val="0"/>
          <w:numId w:val="1098"/>
        </w:numPr>
      </w:pPr>
      <w:r>
        <w:t xml:space="preserve">Measure, in mm, new growth at each of the eight edges along the lines (Figures 3 and 4)</w:t>
      </w:r>
    </w:p>
    <w:p>
      <w:pPr>
        <w:pStyle w:val="Compact"/>
        <w:numPr>
          <w:ilvl w:val="0"/>
          <w:numId w:val="1098"/>
        </w:numPr>
      </w:pPr>
      <w:r>
        <w:t xml:space="preserve">Average the eight measurements to get the average growth (Table 1).</w:t>
      </w:r>
    </w:p>
    <w:p>
      <w:pPr>
        <w:pStyle w:val="FirstParagraph"/>
      </w:pPr>
      <w:r>
        <w:rPr>
          <w:b/>
          <w:bCs/>
        </w:rPr>
        <w:t xml:space="preserve">Table 1: Daily Growth Average</w:t>
      </w:r>
    </w:p>
    <w:p>
      <w:pPr>
        <w:pStyle w:val="TableCaption"/>
      </w:pPr>
      <w:r>
        <w:t xml:space="preserve">Table 1. Daily Growth Average</w:t>
      </w:r>
    </w:p>
    <w:tbl>
      <w:tblPr>
        <w:tblStyle w:val="Table"/>
        <w:tblW w:type="auto" w:w="0"/>
        <w:tblLook w:firstRow="1" w:lastRow="0" w:firstColumn="0" w:lastColumn="0" w:noHBand="0" w:noVBand="0" w:val="0020"/>
        <w:tblCaption w:val="Table 1. Daily Growth Average"/>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1</w:t>
            </w:r>
          </w:p>
        </w:tc>
        <w:tc>
          <w:tcPr/>
          <w:p>
            <w:pPr>
              <w:pStyle w:val="Compact"/>
            </w:pPr>
            <w:r>
              <w:t xml:space="preserve">3 mm</w:t>
            </w:r>
          </w:p>
        </w:tc>
      </w:tr>
      <w:tr>
        <w:tc>
          <w:tcPr/>
          <w:p>
            <w:pPr>
              <w:pStyle w:val="Compact"/>
            </w:pPr>
            <w:r>
              <w:t xml:space="preserve">2</w:t>
            </w:r>
          </w:p>
        </w:tc>
        <w:tc>
          <w:tcPr/>
          <w:p>
            <w:pPr>
              <w:pStyle w:val="Compact"/>
            </w:pPr>
            <w:r>
              <w:t xml:space="preserve">2.5 mm</w:t>
            </w:r>
          </w:p>
        </w:tc>
      </w:tr>
      <w:tr>
        <w:tc>
          <w:tcPr/>
          <w:p>
            <w:pPr>
              <w:pStyle w:val="Compact"/>
            </w:pPr>
            <w:r>
              <w:t xml:space="preserve">3</w:t>
            </w:r>
          </w:p>
        </w:tc>
        <w:tc>
          <w:tcPr/>
          <w:p>
            <w:pPr>
              <w:pStyle w:val="Compact"/>
            </w:pPr>
            <w:r>
              <w:t xml:space="preserve">2.7 mm</w:t>
            </w:r>
          </w:p>
        </w:tc>
      </w:tr>
      <w:tr>
        <w:tc>
          <w:tcPr/>
          <w:p>
            <w:pPr>
              <w:pStyle w:val="Compact"/>
            </w:pPr>
            <w:r>
              <w:t xml:space="preserve">4</w:t>
            </w:r>
          </w:p>
        </w:tc>
        <w:tc>
          <w:tcPr/>
          <w:p>
            <w:pPr>
              <w:pStyle w:val="Compact"/>
            </w:pPr>
            <w:r>
              <w:t xml:space="preserve">1.8 mm</w:t>
            </w:r>
          </w:p>
        </w:tc>
      </w:tr>
      <w:tr>
        <w:tc>
          <w:tcPr/>
          <w:p>
            <w:pPr>
              <w:pStyle w:val="Compact"/>
            </w:pPr>
            <w:r>
              <w:t xml:space="preserve">5</w:t>
            </w:r>
          </w:p>
        </w:tc>
        <w:tc>
          <w:tcPr/>
          <w:p>
            <w:pPr>
              <w:pStyle w:val="Compact"/>
            </w:pPr>
            <w:r>
              <w:t xml:space="preserve">3.1 mm</w:t>
            </w:r>
          </w:p>
        </w:tc>
      </w:tr>
      <w:tr>
        <w:tc>
          <w:tcPr/>
          <w:p>
            <w:pPr>
              <w:pStyle w:val="Compact"/>
            </w:pPr>
            <w:r>
              <w:t xml:space="preserve">6</w:t>
            </w:r>
          </w:p>
        </w:tc>
        <w:tc>
          <w:tcPr/>
          <w:p>
            <w:pPr>
              <w:pStyle w:val="Compact"/>
            </w:pPr>
            <w:r>
              <w:t xml:space="preserve">2.2 mm</w:t>
            </w:r>
          </w:p>
        </w:tc>
      </w:tr>
      <w:tr>
        <w:tc>
          <w:tcPr/>
          <w:p>
            <w:pPr>
              <w:pStyle w:val="Compact"/>
            </w:pPr>
            <w:r>
              <w:t xml:space="preserve">7</w:t>
            </w:r>
          </w:p>
        </w:tc>
        <w:tc>
          <w:tcPr/>
          <w:p>
            <w:pPr>
              <w:pStyle w:val="Compact"/>
            </w:pPr>
            <w:r>
              <w:t xml:space="preserve">2.6 mm</w:t>
            </w:r>
          </w:p>
        </w:tc>
      </w:tr>
      <w:tr>
        <w:tc>
          <w:tcPr/>
          <w:p>
            <w:pPr>
              <w:pStyle w:val="Compact"/>
            </w:pPr>
            <w:r>
              <w:t xml:space="preserve">8</w:t>
            </w:r>
          </w:p>
        </w:tc>
        <w:tc>
          <w:tcPr/>
          <w:p>
            <w:pPr>
              <w:pStyle w:val="Compact"/>
            </w:pPr>
            <w:r>
              <w:t xml:space="preserve">2.1 mm</w:t>
            </w:r>
          </w:p>
        </w:tc>
      </w:tr>
      <w:tr>
        <w:tc>
          <w:tcPr/>
          <w:p>
            <w:pPr>
              <w:pStyle w:val="Compact"/>
            </w:pPr>
            <w:r>
              <w:t xml:space="preserve">Average</w:t>
            </w:r>
          </w:p>
        </w:tc>
        <w:tc>
          <w:tcPr/>
          <w:p>
            <w:pPr>
              <w:pStyle w:val="Compact"/>
            </w:pPr>
            <w:r>
              <w:t xml:space="preserve">2.5 mm</w:t>
            </w:r>
          </w:p>
        </w:tc>
      </w:tr>
    </w:tbl>
    <w:p>
      <w:pPr>
        <w:pStyle w:val="Compact"/>
        <w:numPr>
          <w:ilvl w:val="0"/>
          <w:numId w:val="1099"/>
        </w:numPr>
      </w:pPr>
      <w:r>
        <w:t xml:space="preserve">Continue to measure average growth in mm 7 days from plating.</w:t>
      </w:r>
    </w:p>
    <w:p>
      <w:pPr>
        <w:pStyle w:val="Compact"/>
        <w:numPr>
          <w:ilvl w:val="0"/>
          <w:numId w:val="1099"/>
        </w:numPr>
      </w:pPr>
      <w:r>
        <w:t xml:space="preserve">Calculate the average growth rate (distance/time).</w:t>
      </w:r>
    </w:p>
    <w:p>
      <w:pPr>
        <w:pStyle w:val="Compact"/>
        <w:numPr>
          <w:ilvl w:val="0"/>
          <w:numId w:val="1099"/>
        </w:numPr>
      </w:pPr>
      <w:r>
        <w:t xml:space="preserve">Plot a graph of your fungal isolate(s) growth rate.</w:t>
      </w:r>
    </w:p>
    <w:p>
      <w:pPr>
        <w:pStyle w:val="Compact"/>
        <w:numPr>
          <w:ilvl w:val="0"/>
          <w:numId w:val="1099"/>
        </w:numPr>
      </w:pPr>
      <w:r>
        <w:t xml:space="preserve">Submit images and your data sheet and a graph of growth rates in your lab blog post for this project. Please take images to add to your blog post.</w:t>
      </w:r>
    </w:p>
    <w:bookmarkEnd w:id="108"/>
    <w:bookmarkEnd w:id="109"/>
    <w:bookmarkEnd w:id="110"/>
    <w:bookmarkEnd w:id="111"/>
    <w:bookmarkStart w:id="119" w:name="module-3-phenotypic-assays"/>
    <w:p>
      <w:pPr>
        <w:pStyle w:val="Heading1"/>
      </w:pPr>
      <w:r>
        <w:t xml:space="preserve">Module 3: Phenotypic Assays</w:t>
      </w:r>
    </w:p>
    <w:bookmarkStart w:id="113" w:name="module-3.1-phenotypic-assays"/>
    <w:p>
      <w:pPr>
        <w:pStyle w:val="Heading2"/>
      </w:pPr>
      <w:r>
        <w:t xml:space="preserve">Module 3.1 – Phenotypic Assays</w:t>
      </w:r>
    </w:p>
    <w:bookmarkStart w:id="112" w:name="X7ceddf16062824a3bde6cd0475f549d1fd9a5ed"/>
    <w:p>
      <w:pPr>
        <w:pStyle w:val="Heading3"/>
      </w:pPr>
      <w:r>
        <w:t xml:space="preserve">Instructor Laboratory Preparation Instructions</w:t>
      </w:r>
    </w:p>
    <w:p>
      <w:pPr>
        <w:pStyle w:val="FirstParagraph"/>
      </w:pPr>
      <w:r>
        <w:rPr>
          <w:b/>
          <w:bCs/>
        </w:rPr>
        <w:t xml:space="preserve">Materials and Equipment:</w:t>
      </w:r>
      <w:r>
        <w:t xml:space="preserve"> </w:t>
      </w:r>
      <w:r>
        <w:t xml:space="preserve">- [ ] Autoclave</w:t>
      </w:r>
      <w:r>
        <w:t xml:space="preserve"> </w:t>
      </w:r>
      <w:r>
        <w:t xml:space="preserve">- [ ] Laminar flow hood (if available)</w:t>
      </w:r>
      <w:r>
        <w:t xml:space="preserve"> </w:t>
      </w:r>
      <w:r>
        <w:t xml:space="preserve">- [ ] 60x15mm Petri Dishes</w:t>
      </w:r>
      <w:r>
        <w:t xml:space="preserve"> </w:t>
      </w:r>
      <w:r>
        <w:t xml:space="preserve">- [ ] Bacteriological agar</w:t>
      </w:r>
      <w:r>
        <w:t xml:space="preserve"> </w:t>
      </w:r>
      <w:r>
        <w:t xml:space="preserve">- [ ] Potato Dextrose Agar (PDA) with antibiotics</w:t>
      </w:r>
      <w:r>
        <w:t xml:space="preserve"> </w:t>
      </w:r>
      <w:r>
        <w:t xml:space="preserve">- [ ] Zinc sulfate</w:t>
      </w:r>
      <w:r>
        <w:t xml:space="preserve"> </w:t>
      </w:r>
      <w:r>
        <w:t xml:space="preserve">- [ ] Forceps</w:t>
      </w:r>
      <w:r>
        <w:t xml:space="preserve"> </w:t>
      </w:r>
      <w:r>
        <w:t xml:space="preserve">- [ ] Scalpel (sterilized)</w:t>
      </w:r>
    </w:p>
    <w:p>
      <w:pPr>
        <w:pStyle w:val="BodyText"/>
      </w:pPr>
      <w:r>
        <w:rPr>
          <w:b/>
          <w:bCs/>
        </w:rPr>
        <w:t xml:space="preserve">Potato Dextrose Agar (PDA) with Zn Plates for Zn Stress Assay:</w:t>
      </w:r>
      <w:r>
        <w:t xml:space="preserve"> </w:t>
      </w:r>
      <w:r>
        <w:t xml:space="preserve">Suspend 39 grams Potato Dextrose Agar in 1000 ml (1 L) distilled water (or follow the directions on the bottle label). Add the appropriate amount of Zn sulfate to obtain concentrations of 1 mM Zn and 10 mM Zn in the media bottle. Heat to boiling to dissolve the medium completely (in most cases, this step can be skipped as autoclaving will dissolve media). Sterilize by autoclaving at 15 lbs pressure (121°C) for 15 minutes.</w:t>
      </w:r>
    </w:p>
    <w:p>
      <w:pPr>
        <w:pStyle w:val="BodyText"/>
      </w:pPr>
      <w:r>
        <w:rPr>
          <w:b/>
          <w:bCs/>
        </w:rPr>
        <w:t xml:space="preserve">(PDA) Plates for Temperature Assay:</w:t>
      </w:r>
      <w:r>
        <w:t xml:space="preserve"> </w:t>
      </w:r>
      <w:r>
        <w:t xml:space="preserve">Suspend 39 grams Potato Dextrose Agar in 1000 ml (1 L) distilled water (or follow the directions on bottle label).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 mm plates in a sterile environment. Do not let it cool too long before pouring as the media will solidify. Each 60x15 mm plate holds approximately 8 mL of media. If plates will be used immediately smaller amounts of media can be poured into plates. If plates will be stored, use larger amounts. Store plates in original Petri dish sleeve in refrigerator (~4 °C) until use.</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bookmarkEnd w:id="112"/>
    <w:bookmarkEnd w:id="113"/>
    <w:bookmarkStart w:id="118" w:name="module-3.2-phenotypic-assays"/>
    <w:p>
      <w:pPr>
        <w:pStyle w:val="Heading2"/>
      </w:pPr>
      <w:r>
        <w:t xml:space="preserve">Module 3.2 – Phenotypic Assays</w:t>
      </w:r>
    </w:p>
    <w:bookmarkStart w:id="114" w:name="phenotypic-assays"/>
    <w:p>
      <w:pPr>
        <w:pStyle w:val="Heading3"/>
      </w:pPr>
      <w:r>
        <w:t xml:space="preserve">Phenotypic Assays</w:t>
      </w:r>
    </w:p>
    <w:p>
      <w:pPr>
        <w:pStyle w:val="FirstParagraph"/>
      </w:pPr>
      <w:r>
        <w:rPr>
          <w:b/>
          <w:bCs/>
        </w:rPr>
        <w:t xml:space="preserve">Objectives:</w:t>
      </w:r>
      <w:r>
        <w:t xml:space="preserve"> </w:t>
      </w:r>
      <w:r>
        <w:t xml:space="preserve">1. Determine how fungal isolates react to environmental stressors</w:t>
      </w:r>
    </w:p>
    <w:p>
      <w:pPr>
        <w:pStyle w:val="BodyText"/>
      </w:pPr>
      <w:r>
        <w:rPr>
          <w:b/>
          <w:bCs/>
        </w:rPr>
        <w:t xml:space="preserve">Materials:</w:t>
      </w:r>
      <w:r>
        <w:t xml:space="preserve"> </w:t>
      </w:r>
      <w:r>
        <w:t xml:space="preserve">- Student fungal isolates</w:t>
      </w:r>
    </w:p>
    <w:p>
      <w:pPr>
        <w:pStyle w:val="BodyText"/>
      </w:pPr>
      <w:r>
        <w:rPr>
          <w:b/>
          <w:bCs/>
        </w:rPr>
        <w:t xml:space="preserve">Procedures:</w:t>
      </w:r>
      <w:r>
        <w:t xml:space="preserve"> </w:t>
      </w:r>
      <w:r>
        <w:t xml:space="preserve">- Observe your fungal cultures and determine if they are pure cultures</w:t>
      </w:r>
      <w:r>
        <w:t xml:space="preserve"> </w:t>
      </w:r>
      <w:r>
        <w:t xml:space="preserve">- We will use these cultures to set up stress tests (Zn assay and temperature assay) and for molecular identification.</w:t>
      </w:r>
    </w:p>
    <w:bookmarkEnd w:id="114"/>
    <w:bookmarkStart w:id="115" w:name="zn-stress-assay"/>
    <w:p>
      <w:pPr>
        <w:pStyle w:val="Heading3"/>
      </w:pPr>
      <w:r>
        <w:t xml:space="preserve">Zn Stress Assay</w:t>
      </w:r>
    </w:p>
    <w:p>
      <w:pPr>
        <w:pStyle w:val="FirstParagraph"/>
      </w:pPr>
      <w:r>
        <w:t xml:space="preserve">In this lab, we will be investigating the tolerance and growth response of foliar fungal endophytes to varying concentrations of zinc (Zn). Zinc is an essential trace element for many biological processes, but in elevated concentrations, it can become toxic to fungi and other microorganisms. To understand how these fungi cope with different levels of Zn, we will isolate fungal endophytes from plant leaves and subject them to media containing 0 mM, 1 mM, and 10 mM of Zn. By measuring their growth rates over several weeks, we aim to determine the impact of Zn on their growth and survival.</w:t>
      </w:r>
    </w:p>
    <w:p>
      <w:pPr>
        <w:pStyle w:val="BodyText"/>
      </w:pPr>
      <w:r>
        <w:t xml:space="preserve">Testing foliar fungal endophytes for Zn tolerance is particularly relevant as these fungi play crucial roles in plant health and ecosystem functioning. Endophytes can enhance plant growth, provide resistance to pathogens, and contribute to nutrient cycling. Understanding their tolerance to heavy metals like Zn is important for ecological studies, especially in areas affected by pollution or where plants are used in phytoremediation efforts. By assessing their ability to thrive in environments with varying Zn concentrations, we can gain insights into their resilience and potential applications in sustainable agriculture and environmental management.</w:t>
      </w:r>
    </w:p>
    <w:p>
      <w:pPr>
        <w:pStyle w:val="BodyText"/>
      </w:pPr>
      <w:r>
        <w:rPr>
          <w:b/>
          <w:bCs/>
        </w:rPr>
        <w:t xml:space="preserve">Objectives:</w:t>
      </w:r>
      <w:r>
        <w:t xml:space="preserve"> </w:t>
      </w:r>
      <w:r>
        <w:t xml:space="preserve">1. Determine if the fungal isolates are tolerant of Zn.</w:t>
      </w:r>
      <w:r>
        <w:t xml:space="preserve"> </w:t>
      </w:r>
      <w:r>
        <w:t xml:space="preserve">2. Measure how different concentrations of Zn influence fungal growth rates.</w:t>
      </w:r>
    </w:p>
    <w:p>
      <w:pPr>
        <w:pStyle w:val="BodyText"/>
      </w:pPr>
      <w:r>
        <w:rPr>
          <w:b/>
          <w:bCs/>
        </w:rPr>
        <w:t xml:space="preserve">Materials:</w:t>
      </w:r>
      <w:r>
        <w:t xml:space="preserve"> </w:t>
      </w:r>
      <w:r>
        <w:t xml:space="preserve">- [ ] Pure fungal cultures</w:t>
      </w:r>
      <w:r>
        <w:t xml:space="preserve"> </w:t>
      </w:r>
      <w:r>
        <w:t xml:space="preserve">- [ ] PDA 0 mM Zn + antibiotics</w:t>
      </w:r>
      <w:r>
        <w:t xml:space="preserve"> </w:t>
      </w:r>
      <w:r>
        <w:t xml:space="preserve">- [ ] PDA 1 mM Zn + antibiotics</w:t>
      </w:r>
      <w:r>
        <w:t xml:space="preserve"> </w:t>
      </w:r>
      <w:r>
        <w:t xml:space="preserve">- [ ] PDA 10 mM Zn + antibiotics</w:t>
      </w:r>
      <w:r>
        <w:t xml:space="preserve"> </w:t>
      </w:r>
      <w:r>
        <w:t xml:space="preserve">- [ ] Fine tip Sharpie or marker</w:t>
      </w:r>
      <w:r>
        <w:t xml:space="preserve"> </w:t>
      </w:r>
      <w:r>
        <w:t xml:space="preserve">- [ ] Agar cutting tool and whole punch</w:t>
      </w:r>
      <w:r>
        <w:t xml:space="preserve"> </w:t>
      </w:r>
      <w:r>
        <w:t xml:space="preserve">- [ ] Ethanol jar</w:t>
      </w:r>
    </w:p>
    <w:p>
      <w:pPr>
        <w:pStyle w:val="BodyText"/>
      </w:pPr>
      <w:r>
        <w:rPr>
          <w:b/>
          <w:bCs/>
        </w:rPr>
        <w:t xml:space="preserve">Procedures:</w:t>
      </w:r>
      <w:r>
        <w:t xml:space="preserve"> </w:t>
      </w:r>
      <w:r>
        <w:t xml:space="preserve">- Label your plates with identifying information</w:t>
      </w:r>
      <w:r>
        <w:t xml:space="preserve"> </w:t>
      </w:r>
      <w:r>
        <w:t xml:space="preserve">- On the bottom of each plate, draw four lines that intersect in the center of the plate (Figure 1)</w:t>
      </w:r>
      <w:r>
        <w:t xml:space="preserve"> </w:t>
      </w:r>
      <w:r>
        <w:t xml:space="preserve">- Cut out three 0.5 cm² chunks from the edge of your pure culture and place one in the center of each of the Zn plates</w:t>
      </w:r>
      <w:r>
        <w:t xml:space="preserve"> </w:t>
      </w:r>
      <w:r>
        <w:t xml:space="preserve">- Close and parafilm your plates</w:t>
      </w:r>
      <w:r>
        <w:t xml:space="preserve"> </w:t>
      </w:r>
      <w:r>
        <w:t xml:space="preserve">- Carefully, flip the plates over and trace the cube using a fine tip Sharpie</w:t>
      </w:r>
      <w:r>
        <w:t xml:space="preserve"> </w:t>
      </w:r>
      <w:r>
        <w:t xml:space="preserve">- Place the plate (unflipped) at room temperature in the dark and observe growth over the next few weeks</w:t>
      </w:r>
    </w:p>
    <w:bookmarkEnd w:id="115"/>
    <w:bookmarkStart w:id="116" w:name="temperature-assays"/>
    <w:p>
      <w:pPr>
        <w:pStyle w:val="Heading3"/>
      </w:pPr>
      <w:r>
        <w:t xml:space="preserve">Temperature Assays</w:t>
      </w:r>
    </w:p>
    <w:p>
      <w:pPr>
        <w:pStyle w:val="FirstParagraph"/>
      </w:pPr>
      <w:r>
        <w:t xml:space="preserve">In this lab, we will explore the effects of temperature on the growth and survival of foliar fungal endophytes. Temperature is a critical environmental factor that influences fungal physiology and ecological dynamics. To investigate how these fungi respond to different thermal conditions, we will isolate fungal endophytes from plant leaves and cultivate them at three distinct temperatures: 4°C, room temperature (approximately 20°C), and 28°C. By measuring their growth rates over several weeks, we will better understand their tolerance to different temperatures.</w:t>
      </w:r>
    </w:p>
    <w:p>
      <w:pPr>
        <w:pStyle w:val="BodyText"/>
      </w:pPr>
      <w:r>
        <w:rPr>
          <w:b/>
          <w:bCs/>
        </w:rPr>
        <w:t xml:space="preserve">Objectives:</w:t>
      </w:r>
      <w:r>
        <w:t xml:space="preserve"> </w:t>
      </w:r>
      <w:r>
        <w:t xml:space="preserve">1. Determine optimal growth temperature.</w:t>
      </w:r>
      <w:r>
        <w:t xml:space="preserve"> </w:t>
      </w:r>
      <w:r>
        <w:t xml:space="preserve">2. Measure how different temperatures influence fungal growth rates.</w:t>
      </w:r>
    </w:p>
    <w:p>
      <w:pPr>
        <w:pStyle w:val="BodyText"/>
      </w:pPr>
      <w:r>
        <w:rPr>
          <w:b/>
          <w:bCs/>
        </w:rPr>
        <w:t xml:space="preserve">Materials:</w:t>
      </w:r>
      <w:r>
        <w:t xml:space="preserve"> </w:t>
      </w:r>
      <w:r>
        <w:t xml:space="preserve">- Pure cultures (2 per student)</w:t>
      </w:r>
      <w:r>
        <w:t xml:space="preserve"> </w:t>
      </w:r>
      <w:r>
        <w:t xml:space="preserve">- PDA with antibiotics (6 per student)</w:t>
      </w:r>
      <w:r>
        <w:t xml:space="preserve"> </w:t>
      </w:r>
      <w:r>
        <w:t xml:space="preserve">- Fine tip Sharpie or marker</w:t>
      </w:r>
      <w:r>
        <w:t xml:space="preserve"> </w:t>
      </w:r>
      <w:r>
        <w:t xml:space="preserve">- Culture cutting tool</w:t>
      </w:r>
      <w:r>
        <w:t xml:space="preserve"> </w:t>
      </w:r>
      <w:r>
        <w:t xml:space="preserve">- Ethanol jar</w:t>
      </w:r>
    </w:p>
    <w:p>
      <w:pPr>
        <w:pStyle w:val="BodyText"/>
      </w:pPr>
      <w:r>
        <w:rPr>
          <w:b/>
          <w:bCs/>
        </w:rPr>
        <w:t xml:space="preserve">Procedures:</w:t>
      </w:r>
      <w:r>
        <w:t xml:space="preserve"> </w:t>
      </w:r>
      <w:r>
        <w:t xml:space="preserve">- Label your plates with identifying information and growth temperatures (2 per temp.)</w:t>
      </w:r>
      <w:r>
        <w:t xml:space="preserve"> </w:t>
      </w:r>
      <w:r>
        <w:t xml:space="preserve">- On the bottom of each plate, draw four lines that intersect in the center of the plate (Figure 6.1)</w:t>
      </w:r>
      <w:r>
        <w:t xml:space="preserve"> </w:t>
      </w:r>
      <w:r>
        <w:t xml:space="preserve">- Cut out three 0.5 cm chunks from the edge of your pure culture and place one in the center of each of the temperature plates</w:t>
      </w:r>
      <w:r>
        <w:t xml:space="preserve"> </w:t>
      </w:r>
      <w:r>
        <w:t xml:space="preserve">- Close and parafilm your plates</w:t>
      </w:r>
      <w:r>
        <w:t xml:space="preserve"> </w:t>
      </w:r>
      <w:r>
        <w:t xml:space="preserve">- Carefully, flip the plates over and trace the cube using a fine-tip Sharpie</w:t>
      </w:r>
      <w:r>
        <w:t xml:space="preserve"> </w:t>
      </w:r>
      <w:r>
        <w:t xml:space="preserve">- Bring your plates to the front of the class and place them (unflipped) in the correct box for incubation</w:t>
      </w:r>
    </w:p>
    <w:bookmarkEnd w:id="116"/>
    <w:bookmarkStart w:id="117" w:name="measuring-fungal-growth"/>
    <w:p>
      <w:pPr>
        <w:pStyle w:val="Heading3"/>
      </w:pPr>
      <w:r>
        <w:t xml:space="preserve">Measuring Fungal Growth</w:t>
      </w:r>
    </w:p>
    <w:p>
      <w:pPr>
        <w:pStyle w:val="FirstParagraph"/>
      </w:pPr>
      <w:r>
        <w:rPr>
          <w:b/>
          <w:bCs/>
        </w:rPr>
        <w:t xml:space="preserve">Objectives:</w:t>
      </w:r>
      <w:r>
        <w:t xml:space="preserve"> </w:t>
      </w:r>
      <w:r>
        <w:t xml:space="preserve">1. Measure growth for Zn stress assay</w:t>
      </w:r>
      <w:r>
        <w:t xml:space="preserve"> </w:t>
      </w:r>
      <w:r>
        <w:t xml:space="preserve">2. Measure growth for temperature assay</w:t>
      </w:r>
    </w:p>
    <w:p>
      <w:pPr>
        <w:pStyle w:val="BodyText"/>
      </w:pPr>
      <w:r>
        <w:rPr>
          <w:b/>
          <w:bCs/>
        </w:rPr>
        <w:t xml:space="preserve">Materials:</w:t>
      </w:r>
      <w:r>
        <w:t xml:space="preserve"> </w:t>
      </w:r>
      <w:r>
        <w:t xml:space="preserve">- Fine tip Sharpie</w:t>
      </w:r>
      <w:r>
        <w:t xml:space="preserve"> </w:t>
      </w:r>
      <w:r>
        <w:t xml:space="preserve">- Three Zn culture plates</w:t>
      </w:r>
      <w:r>
        <w:t xml:space="preserve"> </w:t>
      </w:r>
      <w:r>
        <w:t xml:space="preserve">- Three temperature culture plates</w:t>
      </w:r>
      <w:r>
        <w:t xml:space="preserve"> </w:t>
      </w:r>
      <w:r>
        <w:t xml:space="preserve">- Ruler to measure growth in mm (mm ruler)</w:t>
      </w:r>
    </w:p>
    <w:p>
      <w:pPr>
        <w:pStyle w:val="BodyText"/>
      </w:pPr>
      <w:r>
        <w:rPr>
          <w:b/>
          <w:bCs/>
        </w:rPr>
        <w:t xml:space="preserve">Procedures:</w:t>
      </w:r>
      <w:r>
        <w:t xml:space="preserve"> </w:t>
      </w:r>
      <w:r>
        <w:t xml:space="preserve">- On the bottom of the plate, trace the edge of your fungal culture</w:t>
      </w:r>
      <w:r>
        <w:t xml:space="preserve"> </w:t>
      </w:r>
      <w:r>
        <w:t xml:space="preserve">- Measure, in mm, new growth at each of the four edges along the lines</w:t>
      </w:r>
      <w:r>
        <w:t xml:space="preserve"> </w:t>
      </w:r>
      <w:r>
        <w:t xml:space="preserve">- Average the eight measurements to get the average growth and determine the average growth rate (distance/time)</w:t>
      </w:r>
    </w:p>
    <w:bookmarkEnd w:id="117"/>
    <w:bookmarkEnd w:id="118"/>
    <w:bookmarkEnd w:id="119"/>
    <w:bookmarkStart w:id="145" w:name="module-4-dna-sequencing"/>
    <w:p>
      <w:pPr>
        <w:pStyle w:val="Heading1"/>
      </w:pPr>
      <w:r>
        <w:t xml:space="preserve">Module 4: DNA Sequencing</w:t>
      </w:r>
    </w:p>
    <w:bookmarkStart w:id="122" w:name="X1f9141d941555e98bd81ab73b3543cfd3247ac1"/>
    <w:p>
      <w:pPr>
        <w:pStyle w:val="Heading2"/>
      </w:pPr>
      <w:r>
        <w:t xml:space="preserve">Module 4.1 – DNA Sequencing and Species Identification Instructor Resources</w:t>
      </w:r>
    </w:p>
    <w:bookmarkStart w:id="121" w:name="Xf2d43db359788ca93a2d8fe43440f1f2685953f"/>
    <w:p>
      <w:pPr>
        <w:pStyle w:val="Heading3"/>
      </w:pPr>
      <w:r>
        <w:t xml:space="preserve">Instructor Laboratory Preparation Instructions</w:t>
      </w:r>
    </w:p>
    <w:bookmarkStart w:id="120" w:name="materials-3"/>
    <w:p>
      <w:pPr>
        <w:pStyle w:val="Heading4"/>
      </w:pPr>
      <w:r>
        <w:t xml:space="preserve">Materials</w:t>
      </w:r>
    </w:p>
    <w:p>
      <w:pPr>
        <w:pStyle w:val="FirstParagraph"/>
      </w:pPr>
      <w:r>
        <w:t xml:space="preserve">This list may vary depending on your preferred extraction, amplification, and sequencing protocols.</w:t>
      </w:r>
    </w:p>
    <w:p>
      <w:pPr>
        <w:pStyle w:val="Compact"/>
        <w:numPr>
          <w:ilvl w:val="0"/>
          <w:numId w:val="1100"/>
        </w:numPr>
      </w:pPr>
      <w:r>
        <w:t xml:space="preserve">☐ Gloves</w:t>
      </w:r>
    </w:p>
    <w:p>
      <w:pPr>
        <w:pStyle w:val="Compact"/>
        <w:numPr>
          <w:ilvl w:val="0"/>
          <w:numId w:val="1100"/>
        </w:numPr>
      </w:pPr>
      <w:r>
        <w:t xml:space="preserve">☐ Sharpie</w:t>
      </w:r>
    </w:p>
    <w:p>
      <w:pPr>
        <w:pStyle w:val="Compact"/>
        <w:numPr>
          <w:ilvl w:val="0"/>
          <w:numId w:val="1100"/>
        </w:numPr>
      </w:pPr>
      <w:r>
        <w:t xml:space="preserve">☐ Thermal cycler</w:t>
      </w:r>
    </w:p>
    <w:p>
      <w:pPr>
        <w:pStyle w:val="Compact"/>
        <w:numPr>
          <w:ilvl w:val="0"/>
          <w:numId w:val="1100"/>
        </w:numPr>
      </w:pPr>
      <w:r>
        <w:t xml:space="preserve">☐ Vortex</w:t>
      </w:r>
    </w:p>
    <w:p>
      <w:pPr>
        <w:pStyle w:val="Compact"/>
        <w:numPr>
          <w:ilvl w:val="0"/>
          <w:numId w:val="1100"/>
        </w:numPr>
      </w:pPr>
      <w:r>
        <w:t xml:space="preserve">☐ Centrifuge for PCR and microfuge tubes</w:t>
      </w:r>
    </w:p>
    <w:p>
      <w:pPr>
        <w:pStyle w:val="Compact"/>
        <w:numPr>
          <w:ilvl w:val="0"/>
          <w:numId w:val="1100"/>
        </w:numPr>
      </w:pPr>
      <w:r>
        <w:t xml:space="preserve">☐ Heat block/thermomixer for 1.5-2.0 ml microfuge tubes</w:t>
      </w:r>
    </w:p>
    <w:p>
      <w:pPr>
        <w:pStyle w:val="Compact"/>
        <w:numPr>
          <w:ilvl w:val="0"/>
          <w:numId w:val="1100"/>
        </w:numPr>
      </w:pPr>
      <w:r>
        <w:t xml:space="preserve">☐ 1.5mL microcentrifuge tubes (Eppendorf DNA LoBind)</w:t>
      </w:r>
    </w:p>
    <w:p>
      <w:pPr>
        <w:pStyle w:val="Compact"/>
        <w:numPr>
          <w:ilvl w:val="0"/>
          <w:numId w:val="1100"/>
        </w:numPr>
      </w:pPr>
      <w:r>
        <w:t xml:space="preserve">☐ 0.2 mL PCR tubes</w:t>
      </w:r>
    </w:p>
    <w:p>
      <w:pPr>
        <w:pStyle w:val="Compact"/>
        <w:numPr>
          <w:ilvl w:val="0"/>
          <w:numId w:val="1100"/>
        </w:numPr>
      </w:pPr>
      <w:r>
        <w:t xml:space="preserve">☐ Microfuge and PCR tube racks</w:t>
      </w:r>
    </w:p>
    <w:p>
      <w:pPr>
        <w:pStyle w:val="Compact"/>
        <w:numPr>
          <w:ilvl w:val="0"/>
          <w:numId w:val="1100"/>
        </w:numPr>
      </w:pPr>
      <w:r>
        <w:t xml:space="preserve">☐ Labeling tape</w:t>
      </w:r>
    </w:p>
    <w:p>
      <w:pPr>
        <w:pStyle w:val="Compact"/>
        <w:numPr>
          <w:ilvl w:val="0"/>
          <w:numId w:val="1100"/>
        </w:numPr>
      </w:pPr>
      <w:r>
        <w:t xml:space="preserve">☐ Monarch® Spin gDNA Extraction Kit (New England BioLabs,T3010S)</w:t>
      </w:r>
    </w:p>
    <w:p>
      <w:pPr>
        <w:pStyle w:val="Compact"/>
        <w:numPr>
          <w:ilvl w:val="0"/>
          <w:numId w:val="1100"/>
        </w:numPr>
      </w:pPr>
      <w:r>
        <w:t xml:space="preserve">☐ MetaPolyzyme, DNA free (Millipore Sigma, MAC4LDF-5X1VL)</w:t>
      </w:r>
    </w:p>
    <w:p>
      <w:pPr>
        <w:pStyle w:val="Compact"/>
        <w:numPr>
          <w:ilvl w:val="0"/>
          <w:numId w:val="1100"/>
        </w:numPr>
      </w:pPr>
      <w:r>
        <w:t xml:space="preserve">☐ TE Buffer</w:t>
      </w:r>
    </w:p>
    <w:p>
      <w:pPr>
        <w:pStyle w:val="Compact"/>
        <w:numPr>
          <w:ilvl w:val="0"/>
          <w:numId w:val="1100"/>
        </w:numPr>
      </w:pPr>
      <w:r>
        <w:t xml:space="preserve">☐ CTAB solution (100 ml, Promega, MC1411)</w:t>
      </w:r>
    </w:p>
    <w:p>
      <w:pPr>
        <w:pStyle w:val="Compact"/>
        <w:numPr>
          <w:ilvl w:val="0"/>
          <w:numId w:val="1100"/>
        </w:numPr>
      </w:pPr>
      <w:r>
        <w:t xml:space="preserve">☐ Parafilm</w:t>
      </w:r>
    </w:p>
    <w:p>
      <w:pPr>
        <w:pStyle w:val="Compact"/>
        <w:numPr>
          <w:ilvl w:val="0"/>
          <w:numId w:val="1100"/>
        </w:numPr>
      </w:pPr>
      <w:r>
        <w:t xml:space="preserve">☐ 70% ETOH</w:t>
      </w:r>
    </w:p>
    <w:p>
      <w:pPr>
        <w:pStyle w:val="Compact"/>
        <w:numPr>
          <w:ilvl w:val="0"/>
          <w:numId w:val="1100"/>
        </w:numPr>
      </w:pPr>
      <w:r>
        <w:t xml:space="preserve">☐ 1-10, 20-200, and 100-1000 µL micropipettors</w:t>
      </w:r>
    </w:p>
    <w:p>
      <w:pPr>
        <w:pStyle w:val="Compact"/>
        <w:numPr>
          <w:ilvl w:val="0"/>
          <w:numId w:val="1100"/>
        </w:numPr>
      </w:pPr>
      <w:r>
        <w:t xml:space="preserve">☐ 1-10, 20-200, and 100-1000 µL micropipette tips (preferably filtered)</w:t>
      </w:r>
    </w:p>
    <w:p>
      <w:pPr>
        <w:pStyle w:val="Compact"/>
        <w:numPr>
          <w:ilvl w:val="0"/>
          <w:numId w:val="1100"/>
        </w:numPr>
      </w:pPr>
      <w:r>
        <w:t xml:space="preserve">☐ Kimwipes</w:t>
      </w:r>
    </w:p>
    <w:p>
      <w:pPr>
        <w:pStyle w:val="Compact"/>
        <w:numPr>
          <w:ilvl w:val="0"/>
          <w:numId w:val="1100"/>
        </w:numPr>
      </w:pPr>
      <w:r>
        <w:t xml:space="preserve">☐ PCR primers (ITS1f, ITS4, 5.8SR, fITS7) ordered from Integrated DNA Technologies (IDT) or similar supplier normalized to 100 µM in TE buffer. The following primers are commonly used for fungal DNA barcoding:</w:t>
      </w:r>
    </w:p>
    <w:p>
      <w:pPr>
        <w:pStyle w:val="Compact"/>
        <w:numPr>
          <w:ilvl w:val="1"/>
          <w:numId w:val="1101"/>
        </w:numPr>
      </w:pPr>
      <w:r>
        <w:t xml:space="preserve">ITS1f: 5’-CTTGGTCATTTAGAGGAAGTAA-3’</w:t>
      </w:r>
    </w:p>
    <w:p>
      <w:pPr>
        <w:pStyle w:val="Compact"/>
        <w:numPr>
          <w:ilvl w:val="1"/>
          <w:numId w:val="1101"/>
        </w:numPr>
      </w:pPr>
      <w:r>
        <w:t xml:space="preserve">ITS4: 5’-TCCTCCGCTTATTGATATGC-3’</w:t>
      </w:r>
    </w:p>
    <w:p>
      <w:pPr>
        <w:pStyle w:val="Compact"/>
        <w:numPr>
          <w:ilvl w:val="1"/>
          <w:numId w:val="1101"/>
        </w:numPr>
      </w:pPr>
      <w:r>
        <w:t xml:space="preserve">5.8SR: 5’-CGCTGCGTTCTTCATCG-3’</w:t>
      </w:r>
    </w:p>
    <w:p>
      <w:pPr>
        <w:pStyle w:val="Compact"/>
        <w:numPr>
          <w:ilvl w:val="1"/>
          <w:numId w:val="1101"/>
        </w:numPr>
      </w:pPr>
      <w:r>
        <w:t xml:space="preserve">fITS7: 5’-GTGARTCATCGAATCTTTG-3’</w:t>
      </w:r>
    </w:p>
    <w:p>
      <w:pPr>
        <w:pStyle w:val="Compact"/>
        <w:numPr>
          <w:ilvl w:val="0"/>
          <w:numId w:val="1100"/>
        </w:numPr>
      </w:pPr>
      <w:r>
        <w:t xml:space="preserve">☐ Q5® Hot Start High-Fidelity 2X Master Mix - 100 reactions(New England BioLabs, M0494S)</w:t>
      </w:r>
    </w:p>
    <w:p>
      <w:pPr>
        <w:pStyle w:val="Compact"/>
        <w:numPr>
          <w:ilvl w:val="0"/>
          <w:numId w:val="1100"/>
        </w:numPr>
      </w:pPr>
      <w:r>
        <w:t xml:space="preserve">☐ PCR water (New England BioLabs, B1500S)</w:t>
      </w:r>
    </w:p>
    <w:p>
      <w:pPr>
        <w:pStyle w:val="Compact"/>
        <w:numPr>
          <w:ilvl w:val="0"/>
          <w:numId w:val="1100"/>
        </w:numPr>
      </w:pPr>
      <w:r>
        <w:t xml:space="preserve">☐ Exo-CIP Rapid PCR Cleanup Kit - 100 reactions (New England BioLabs, E1050S)</w:t>
      </w:r>
    </w:p>
    <w:p>
      <w:pPr>
        <w:pStyle w:val="Compact"/>
        <w:numPr>
          <w:ilvl w:val="0"/>
          <w:numId w:val="1100"/>
        </w:numPr>
      </w:pPr>
      <w:r>
        <w:t xml:space="preserve">☐ E-Gel system with 1.2% agarose gels (ThermoFisher, G4010010) or similar gel electrophoresis system</w:t>
      </w:r>
    </w:p>
    <w:p>
      <w:pPr>
        <w:pStyle w:val="Compact"/>
        <w:numPr>
          <w:ilvl w:val="0"/>
          <w:numId w:val="1100"/>
        </w:numPr>
      </w:pPr>
      <w:r>
        <w:t xml:space="preserve">☐ E-Gel™ Sizing DNA Ladder (ThermoFisher, 10488100)</w:t>
      </w:r>
    </w:p>
    <w:p>
      <w:pPr>
        <w:pStyle w:val="Compact"/>
        <w:numPr>
          <w:ilvl w:val="0"/>
          <w:numId w:val="1100"/>
        </w:numPr>
      </w:pPr>
      <w:r>
        <w:t xml:space="preserve">☐ DNA quantification system (for example, Qubit Fluorometer with dsDNA HS Assay Kit, ThermoFisher, Q32851)</w:t>
      </w:r>
    </w:p>
    <w:p>
      <w:pPr>
        <w:pStyle w:val="Compact"/>
        <w:numPr>
          <w:ilvl w:val="0"/>
          <w:numId w:val="1100"/>
        </w:numPr>
      </w:pPr>
      <w:r>
        <w:t xml:space="preserve">☐ Access to Sanger sequencing services (for example, Genewiz, Eurofins, Eton, or similar provider).</w:t>
      </w:r>
    </w:p>
    <w:p>
      <w:pPr>
        <w:pStyle w:val="Compact"/>
        <w:numPr>
          <w:ilvl w:val="0"/>
          <w:numId w:val="1100"/>
        </w:numPr>
      </w:pPr>
      <w:r>
        <w:t xml:space="preserve">☐ Rapid Barcoding Kit v14 (Oxford Nanopore Technologies), SQK-RBK114.24 or similar kit for long-read sequencing (optional)</w:t>
      </w:r>
    </w:p>
    <w:p>
      <w:pPr>
        <w:pStyle w:val="Compact"/>
        <w:numPr>
          <w:ilvl w:val="0"/>
          <w:numId w:val="1100"/>
        </w:numPr>
      </w:pPr>
      <w:r>
        <w:t xml:space="preserve">☐ MinION sequencing device</w:t>
      </w:r>
    </w:p>
    <w:p>
      <w:pPr>
        <w:pStyle w:val="Compact"/>
        <w:numPr>
          <w:ilvl w:val="0"/>
          <w:numId w:val="1100"/>
        </w:numPr>
      </w:pPr>
      <w:r>
        <w:t xml:space="preserve">☐ MinION flow cells (R10.4.1 or similar, Oxford Nanopore Technologies, FLO-MIN114)</w:t>
      </w:r>
    </w:p>
    <w:p>
      <w:pPr>
        <w:pStyle w:val="Compact"/>
        <w:numPr>
          <w:ilvl w:val="0"/>
          <w:numId w:val="1100"/>
        </w:numPr>
      </w:pPr>
      <w:r>
        <w:t xml:space="preserve">☐ Ultrapure BSA 50mg/ml (ThermoFisher, AM2616) for long-read sequencing</w:t>
      </w:r>
    </w:p>
    <w:p>
      <w:pPr>
        <w:pStyle w:val="Compact"/>
        <w:numPr>
          <w:ilvl w:val="0"/>
          <w:numId w:val="1100"/>
        </w:numPr>
      </w:pPr>
      <w:r>
        <w:t xml:space="preserve">☐ 1.5mL microcentrifuge tubes (Eppendorf DNA LoBind) for long-read sequencing</w:t>
      </w:r>
    </w:p>
    <w:p>
      <w:pPr>
        <w:pStyle w:val="Compact"/>
        <w:numPr>
          <w:ilvl w:val="0"/>
          <w:numId w:val="1100"/>
        </w:numPr>
      </w:pPr>
      <w:r>
        <w:t xml:space="preserve">0.2 mL PCR tubes for long-read sequencing</w:t>
      </w:r>
    </w:p>
    <w:p>
      <w:pPr>
        <w:pStyle w:val="Compact"/>
        <w:numPr>
          <w:ilvl w:val="0"/>
          <w:numId w:val="1100"/>
        </w:numPr>
      </w:pPr>
      <w:r>
        <w:t xml:space="preserve">Magnetic rack for 1.5ml microcentrifuge tubes (for example, ThermoFisher DynaMag-2, 12321D) for long-read sequencing</w:t>
      </w:r>
    </w:p>
    <w:p>
      <w:pPr>
        <w:pStyle w:val="Compact"/>
        <w:numPr>
          <w:ilvl w:val="0"/>
          <w:numId w:val="1100"/>
        </w:numPr>
      </w:pPr>
      <w:r>
        <w:t xml:space="preserve">Nuclease-free water and 100% ethanol to prepare 80% ethanol for long-read sequencing</w:t>
      </w:r>
    </w:p>
    <w:p>
      <w:pPr>
        <w:pStyle w:val="FirstParagraph"/>
      </w:pPr>
      <w:r>
        <w:rPr>
          <w:b/>
          <w:bCs/>
        </w:rPr>
        <w:t xml:space="preserve">Diluting and prepping PCR primers</w:t>
      </w:r>
      <w:r>
        <w:t xml:space="preserve"> </w:t>
      </w:r>
      <w:r>
        <w:t xml:space="preserve">1. To dilute the vial to a stock concentration of 100 picomols/microliter first read the number of µmols present in the tube.</w:t>
      </w:r>
      <w:r>
        <w:t xml:space="preserve"> </w:t>
      </w:r>
      <w:r>
        <w:t xml:space="preserve">a. Using this number, divide by 10, and add that many µL of PCR pure water to the tubes. This will give you a concentration of 100 pmol/µL</w:t>
      </w:r>
      <w:r>
        <w:t xml:space="preserve"> </w:t>
      </w:r>
      <w:r>
        <w:t xml:space="preserve">2. To make PCR ready primers we need to dilute the concentration to 10 pmol/µL.</w:t>
      </w:r>
      <w:r>
        <w:t xml:space="preserve"> </w:t>
      </w:r>
      <w:r>
        <w:t xml:space="preserve">a. Add 180 µL PCR pure water to a 1.5 mL microcentrifuge tube.</w:t>
      </w:r>
      <w:r>
        <w:t xml:space="preserve"> </w:t>
      </w:r>
      <w:r>
        <w:t xml:space="preserve">b. Label the tube according to the primer being added.</w:t>
      </w:r>
      <w:r>
        <w:t xml:space="preserve"> </w:t>
      </w:r>
      <w:r>
        <w:t xml:space="preserve">c. Add 20 µL of the 100 pmol/µL concentration primer.</w:t>
      </w:r>
    </w:p>
    <w:bookmarkEnd w:id="120"/>
    <w:bookmarkEnd w:id="121"/>
    <w:bookmarkEnd w:id="122"/>
    <w:bookmarkStart w:id="144" w:name="X84ab9f30f319591ed283388a48344a8ca0af377"/>
    <w:p>
      <w:pPr>
        <w:pStyle w:val="Heading2"/>
      </w:pPr>
      <w:r>
        <w:t xml:space="preserve">Module 4.2 – DNA Sequencing and Species Identification</w:t>
      </w:r>
    </w:p>
    <w:bookmarkStart w:id="123" w:name="purpose-2"/>
    <w:p>
      <w:pPr>
        <w:pStyle w:val="Heading3"/>
      </w:pPr>
      <w:r>
        <w:t xml:space="preserve">Purpose</w:t>
      </w:r>
    </w:p>
    <w:p>
      <w:pPr>
        <w:pStyle w:val="FirstParagraph"/>
      </w:pPr>
      <w:r>
        <w:t xml:space="preserve">The purpose of this module is to molecularly identify fungal isolates using the Internal Transcribed Spacer</w:t>
      </w:r>
      <w:r>
        <w:t xml:space="preserve"> </w:t>
      </w:r>
      <w:r>
        <w:rPr>
          <w:b/>
          <w:bCs/>
        </w:rPr>
        <w:t xml:space="preserve">(ITS)</w:t>
      </w:r>
      <w:r>
        <w:t xml:space="preserve"> </w:t>
      </w:r>
      <w:r>
        <w:t xml:space="preserve">rDNA region, also known as the fungal barcode. You will extract genomic DNA (gDNA) from your isolates, amplify the ITS rDNA using polymerase chain reaction (PCR), clean PCR product, Sanger sequence PCR product, and use DNA sequence to obtain a name for your isolate.</w:t>
      </w:r>
    </w:p>
    <w:bookmarkEnd w:id="123"/>
    <w:bookmarkStart w:id="124" w:name="learning-goals-2"/>
    <w:p>
      <w:pPr>
        <w:pStyle w:val="Heading3"/>
      </w:pPr>
      <w:r>
        <w:t xml:space="preserve">Learning Goals</w:t>
      </w:r>
    </w:p>
    <w:p>
      <w:pPr>
        <w:pStyle w:val="Compact"/>
        <w:numPr>
          <w:ilvl w:val="0"/>
          <w:numId w:val="1102"/>
        </w:numPr>
      </w:pPr>
      <w:r>
        <w:t xml:space="preserve">Practice extracting fungal DNA</w:t>
      </w:r>
    </w:p>
    <w:p>
      <w:pPr>
        <w:pStyle w:val="Compact"/>
        <w:numPr>
          <w:ilvl w:val="0"/>
          <w:numId w:val="1102"/>
        </w:numPr>
      </w:pPr>
      <w:r>
        <w:t xml:space="preserve">Successfully PCR amplify fungal ITS</w:t>
      </w:r>
    </w:p>
    <w:p>
      <w:pPr>
        <w:pStyle w:val="Compact"/>
        <w:numPr>
          <w:ilvl w:val="0"/>
          <w:numId w:val="1102"/>
        </w:numPr>
      </w:pPr>
      <w:r>
        <w:t xml:space="preserve">Learn to BLAST ITS sequence to identify fungal isolates</w:t>
      </w:r>
    </w:p>
    <w:bookmarkEnd w:id="124"/>
    <w:bookmarkStart w:id="128" w:name="part-i-dna-extraction"/>
    <w:p>
      <w:pPr>
        <w:pStyle w:val="Heading3"/>
      </w:pPr>
      <w:r>
        <w:t xml:space="preserve">Part I: DNA Extraction</w:t>
      </w:r>
    </w:p>
    <w:bookmarkStart w:id="125" w:name="introduction-3"/>
    <w:p>
      <w:pPr>
        <w:pStyle w:val="Heading4"/>
      </w:pPr>
      <w:r>
        <w:t xml:space="preserve">Introduction</w:t>
      </w:r>
    </w:p>
    <w:p>
      <w:pPr>
        <w:pStyle w:val="FirstParagraph"/>
      </w:pPr>
      <w:r>
        <w:t xml:space="preserve">Identification of fungal cultures requires knowledge and techniques beyond the scope of this course. Luckily, we can use DNA sequencing of the fungal barcode region (ITS rDNA region) to obtain an identification for our isolates. To do this, you must (1) extract gDNA from a pure culture of your fungal isolate; (2) specifically amplify (make millions of copies) a portion of the ITS rDNA region using polymerase chain reaction (PCR); (3) sequence the PCR product using Sanger sequencing; and (4) submit your sequences for comparison against an online gene database (NCBI’s GenBank).</w:t>
      </w:r>
    </w:p>
    <w:p>
      <w:pPr>
        <w:pStyle w:val="BodyText"/>
      </w:pPr>
      <w:r>
        <w:t xml:space="preserve">In this part of the module, you will extract DNA from your fungal isolates. There are many ways to isolate DNA from fungi. Here we will use a very simple kit that uses an alkaline (pH 9.5-10) extraction solution at high heat to disrupt cells and release gDNA.</w:t>
      </w:r>
    </w:p>
    <w:bookmarkEnd w:id="125"/>
    <w:bookmarkStart w:id="126" w:name="materials-4"/>
    <w:p>
      <w:pPr>
        <w:pStyle w:val="Heading4"/>
      </w:pPr>
      <w:r>
        <w:t xml:space="preserve">Materials</w:t>
      </w:r>
    </w:p>
    <w:p>
      <w:pPr>
        <w:pStyle w:val="Compact"/>
        <w:numPr>
          <w:ilvl w:val="0"/>
          <w:numId w:val="1103"/>
        </w:numPr>
      </w:pPr>
      <w:r>
        <w:t xml:space="preserve">☐ Fungal isolates</w:t>
      </w:r>
    </w:p>
    <w:p>
      <w:pPr>
        <w:pStyle w:val="Compact"/>
        <w:numPr>
          <w:ilvl w:val="0"/>
          <w:numId w:val="1103"/>
        </w:numPr>
      </w:pPr>
      <w:r>
        <w:t xml:space="preserve">[ ]0.2 mL PCR tubes</w:t>
      </w:r>
    </w:p>
    <w:p>
      <w:pPr>
        <w:pStyle w:val="Compact"/>
        <w:numPr>
          <w:ilvl w:val="0"/>
          <w:numId w:val="1103"/>
        </w:numPr>
      </w:pPr>
      <w:r>
        <w:t xml:space="preserve">[ ]P20 micropipette with tips</w:t>
      </w:r>
    </w:p>
    <w:p>
      <w:pPr>
        <w:pStyle w:val="Compact"/>
        <w:numPr>
          <w:ilvl w:val="0"/>
          <w:numId w:val="1103"/>
        </w:numPr>
      </w:pPr>
      <w:r>
        <w:t xml:space="preserve">[ ]DNA extraction kit (New England BioLabs, Monarch® Spin gDNA Extraction Kit, T3010S)</w:t>
      </w:r>
    </w:p>
    <w:p>
      <w:pPr>
        <w:pStyle w:val="Compact"/>
        <w:numPr>
          <w:ilvl w:val="0"/>
          <w:numId w:val="1103"/>
        </w:numPr>
      </w:pPr>
      <w:r>
        <w:t xml:space="preserve">[ ]DNA quantification system (for example, Qubit Fluorometer with dsDNA HS Assay Kit, ThermoFisher, Q32851)</w:t>
      </w:r>
    </w:p>
    <w:p>
      <w:pPr>
        <w:pStyle w:val="Compact"/>
        <w:numPr>
          <w:ilvl w:val="0"/>
          <w:numId w:val="1103"/>
        </w:numPr>
      </w:pPr>
      <w:r>
        <w:t xml:space="preserve">[ ]Ethanol jar</w:t>
      </w:r>
    </w:p>
    <w:p>
      <w:pPr>
        <w:pStyle w:val="Compact"/>
        <w:numPr>
          <w:ilvl w:val="0"/>
          <w:numId w:val="1103"/>
        </w:numPr>
      </w:pPr>
      <w:r>
        <w:t xml:space="preserve">[ ]Loop, pick, and forceps</w:t>
      </w:r>
    </w:p>
    <w:bookmarkEnd w:id="126"/>
    <w:bookmarkStart w:id="127" w:name="procedures"/>
    <w:p>
      <w:pPr>
        <w:pStyle w:val="Heading4"/>
      </w:pPr>
      <w:r>
        <w:t xml:space="preserve">Procedures</w:t>
      </w:r>
    </w:p>
    <w:p>
      <w:pPr>
        <w:pStyle w:val="Compact"/>
        <w:numPr>
          <w:ilvl w:val="0"/>
          <w:numId w:val="1104"/>
        </w:numPr>
      </w:pPr>
      <w:r>
        <w:t xml:space="preserve">Using the micropipette, aliquot 20 µL of ES into 0.2 mL snap-cap PCR tubes. We will run DNA extraction in duplicates, so fill two PCR tubes per culture.</w:t>
      </w:r>
      <w:r>
        <w:t xml:space="preserve"> </w:t>
      </w:r>
      <w:r>
        <w:t xml:space="preserve">NOTE: Label your tubes before adding ES. Label on both the cap and side of the tubes, so you can identify the samples as yours and can differentiate to which culture they belong.</w:t>
      </w:r>
    </w:p>
    <w:p>
      <w:pPr>
        <w:pStyle w:val="Compact"/>
        <w:numPr>
          <w:ilvl w:val="0"/>
          <w:numId w:val="1104"/>
        </w:numPr>
      </w:pPr>
      <w:r>
        <w:t xml:space="preserve">Place the tissue sample into the ES. Submerge and smash the sample against the tube wall if possible.</w:t>
      </w:r>
      <w:r>
        <w:t xml:space="preserve"> </w:t>
      </w:r>
      <w:r>
        <w:t xml:space="preserve">NOTE: be careful not to add any agar to the ES as this will impact the pH of the solution and the extraction of gDNA.</w:t>
      </w:r>
    </w:p>
    <w:p>
      <w:pPr>
        <w:pStyle w:val="Compact"/>
        <w:numPr>
          <w:ilvl w:val="0"/>
          <w:numId w:val="1104"/>
        </w:numPr>
      </w:pPr>
      <w:r>
        <w:t xml:space="preserve">Close the snap-caps and incubate at 65 °C for 10 minutes followed by 95 °C for 10 minutes.</w:t>
      </w:r>
    </w:p>
    <w:p>
      <w:pPr>
        <w:pStyle w:val="Compact"/>
        <w:numPr>
          <w:ilvl w:val="0"/>
          <w:numId w:val="1104"/>
        </w:numPr>
      </w:pPr>
      <w:r>
        <w:t xml:space="preserve">Using the micropipette, aliquot an equal volume of DS (20 µL) to your extracts. Ensure that you can still read the labels and store in the freezer until next week. We will use these extractions to amplify the fungal ITS rDNA region using PCR.</w:t>
      </w:r>
    </w:p>
    <w:bookmarkEnd w:id="127"/>
    <w:bookmarkEnd w:id="128"/>
    <w:bookmarkStart w:id="133" w:name="part-ii-polymerase-chain-reaction-pcr"/>
    <w:p>
      <w:pPr>
        <w:pStyle w:val="Heading3"/>
      </w:pPr>
      <w:r>
        <w:t xml:space="preserve">Part II: Polymerase Chain Reaction (PCR)</w:t>
      </w:r>
    </w:p>
    <w:bookmarkStart w:id="129" w:name="introduction-to-pcr"/>
    <w:p>
      <w:pPr>
        <w:pStyle w:val="Heading4"/>
      </w:pPr>
      <w:r>
        <w:t xml:space="preserve">Introduction to PCR</w:t>
      </w:r>
    </w:p>
    <w:p>
      <w:pPr>
        <w:pStyle w:val="FirstParagraph"/>
      </w:pPr>
      <w:r>
        <w:t xml:space="preserve">The polymerase chain reaction (PCR), developed in the mid-1980s, amplifies a specific DNA region by creating millions or billions of copies by</w:t>
      </w:r>
      <w:r>
        <w:t xml:space="preserve"> </w:t>
      </w:r>
      <w:r>
        <w:t xml:space="preserve">‘in vitro DNA replication’</w:t>
      </w:r>
      <w:r>
        <w:t xml:space="preserve">. It uses a thermostable form of bacterial DNA polymerase, the enzyme that copies DNA, isolated from Thermus aquaticum, a thermophilic bacterium isolated from a Yellowstone hot spring. This enzyme,</w:t>
      </w:r>
      <w:r>
        <w:t xml:space="preserve"> </w:t>
      </w:r>
      <w:r>
        <w:t xml:space="preserve">‘Taq polymerase’</w:t>
      </w:r>
      <w:r>
        <w:t xml:space="preserve">, is active at 72 °C and can withstand brief heating to 95 °C. Thus, the PCR reaction is an example of how environmental microbes have benefited biotechnology and revolutionized biology.</w:t>
      </w:r>
    </w:p>
    <w:p>
      <w:pPr>
        <w:pStyle w:val="BodyText"/>
      </w:pPr>
      <w:r>
        <w:t xml:space="preserve">The PCR reaction consists of mixing your template DNA with two primers: short sequences of DNA that are complementary to the ends of the region you want to amplify. The forward primer binds to one strand at the beginning of the region, and the reverse primer binds to the complementary strand at the end of the region. Primers are designed using computer databases of gene sequences, and synthesized chemically. In addition to the primers, Taq polymerase (or a synthetic polymerase enzyme), and your DNA, the PCR reaction also needs a buffer containing MgCl2 and dNTPs (the four bases of DNA). The reaction is run on a machine called a thermal cycler, which automatically heats the reaction first to 95 °C to melt the double-stranded DNA (break H-bonds between strands), then to about 53 °C to allow the primers to anneal to the template DNA, and finally to 72 °C to allow the polymerase to add dNTPs and extend the product. Typically, scientists run 25-35 cycles of this reaction, producing 225 - 235 copies of the target region.</w:t>
      </w:r>
    </w:p>
    <w:p>
      <w:pPr>
        <w:pStyle w:val="BodyText"/>
      </w:pPr>
      <w:r>
        <w:t xml:space="preserve">Figure 1: rDNA region containing the variable regions ITS-1 and ITS-2. Our forward primer (ITS-1F) will target a portion of the SSU and our reverse primer (ITS4) will target a portion of the LSU. Thereby, amplifying both variable regions and the 5.8S subunit.</w:t>
      </w:r>
    </w:p>
    <w:bookmarkEnd w:id="129"/>
    <w:bookmarkStart w:id="130" w:name="materials-5"/>
    <w:p>
      <w:pPr>
        <w:pStyle w:val="Heading4"/>
      </w:pPr>
      <w:r>
        <w:t xml:space="preserve">Materials</w:t>
      </w:r>
    </w:p>
    <w:p>
      <w:pPr>
        <w:pStyle w:val="Compact"/>
        <w:numPr>
          <w:ilvl w:val="0"/>
          <w:numId w:val="1105"/>
        </w:numPr>
      </w:pPr>
      <w:r>
        <w:t xml:space="preserve">DNA extraction kit</w:t>
      </w:r>
    </w:p>
    <w:p>
      <w:pPr>
        <w:pStyle w:val="Compact"/>
        <w:numPr>
          <w:ilvl w:val="0"/>
          <w:numId w:val="1106"/>
        </w:numPr>
      </w:pPr>
      <w:r>
        <w:t xml:space="preserve">Control DNA sample</w:t>
      </w:r>
    </w:p>
    <w:p>
      <w:pPr>
        <w:pStyle w:val="Compact"/>
        <w:numPr>
          <w:ilvl w:val="0"/>
          <w:numId w:val="1107"/>
        </w:numPr>
      </w:pPr>
      <w:r>
        <w:t xml:space="preserve">0.2 mL PCR tubes</w:t>
      </w:r>
    </w:p>
    <w:p>
      <w:pPr>
        <w:pStyle w:val="Compact"/>
        <w:numPr>
          <w:ilvl w:val="0"/>
          <w:numId w:val="1108"/>
        </w:numPr>
      </w:pPr>
      <w:r>
        <w:t xml:space="preserve">P10 micropipette with tips</w:t>
      </w:r>
    </w:p>
    <w:p>
      <w:pPr>
        <w:pStyle w:val="Compact"/>
        <w:numPr>
          <w:ilvl w:val="0"/>
          <w:numId w:val="1109"/>
        </w:numPr>
      </w:pPr>
      <w:r>
        <w:t xml:space="preserve">P20 micropipette with tips</w:t>
      </w:r>
    </w:p>
    <w:p>
      <w:pPr>
        <w:pStyle w:val="Compact"/>
        <w:numPr>
          <w:ilvl w:val="0"/>
          <w:numId w:val="1110"/>
        </w:numPr>
      </w:pPr>
      <w:r>
        <w:t xml:space="preserve">P200 micropipette with tips</w:t>
      </w:r>
    </w:p>
    <w:p>
      <w:pPr>
        <w:pStyle w:val="Compact"/>
        <w:numPr>
          <w:ilvl w:val="0"/>
          <w:numId w:val="1111"/>
        </w:numPr>
      </w:pPr>
      <w:r>
        <w:t xml:space="preserve">P1000 micropipette with tips</w:t>
      </w:r>
    </w:p>
    <w:p>
      <w:pPr>
        <w:pStyle w:val="Compact"/>
        <w:numPr>
          <w:ilvl w:val="0"/>
          <w:numId w:val="1112"/>
        </w:numPr>
      </w:pPr>
      <w:r>
        <w:t xml:space="preserve">Master mix containing buffer (MgCl2, dNTPs, primers, polymerase enzyme)</w:t>
      </w:r>
    </w:p>
    <w:p>
      <w:pPr>
        <w:pStyle w:val="Compact"/>
        <w:numPr>
          <w:ilvl w:val="0"/>
          <w:numId w:val="1113"/>
        </w:numPr>
      </w:pPr>
      <w:r>
        <w:t xml:space="preserve">PCR tube centrifuge</w:t>
      </w:r>
    </w:p>
    <w:p>
      <w:pPr>
        <w:pStyle w:val="Compact"/>
        <w:numPr>
          <w:ilvl w:val="0"/>
          <w:numId w:val="1114"/>
        </w:numPr>
      </w:pPr>
      <w:r>
        <w:t xml:space="preserve">Thermal cycler</w:t>
      </w:r>
    </w:p>
    <w:bookmarkEnd w:id="130"/>
    <w:bookmarkStart w:id="131" w:name="procedures-1"/>
    <w:p>
      <w:pPr>
        <w:pStyle w:val="Heading4"/>
      </w:pPr>
      <w:r>
        <w:t xml:space="preserve">Procedures</w:t>
      </w:r>
    </w:p>
    <w:p>
      <w:pPr>
        <w:pStyle w:val="FirstParagraph"/>
      </w:pPr>
      <w:r>
        <w:t xml:space="preserve">We will run 20 µL PCR reactions</w:t>
      </w:r>
      <w:r>
        <w:t xml:space="preserve"> </w:t>
      </w:r>
      <w:r>
        <w:t xml:space="preserve">1. Add 18 µL of PCR master mix (contains PCR buffer, polymerase enzyme, dNTPs, and primers) to one PCR tube per sample. You can use the same pipette tip to aliquot master mix to PCR tubes.</w:t>
      </w:r>
      <w:r>
        <w:t xml:space="preserve"> </w:t>
      </w:r>
      <w:r>
        <w:t xml:space="preserve">::</w:t>
      </w:r>
      <w:r>
        <w:t xml:space="preserve"> </w:t>
      </w:r>
      <w:r>
        <w:t xml:space="preserve">::: {.callout-caution}</w:t>
      </w:r>
      <w:r>
        <w:t xml:space="preserve"> </w:t>
      </w:r>
      <w:r>
        <w:t xml:space="preserve">Careful! Cap all PCR tubes when not in use to avoid cross-contamination.</w:t>
      </w:r>
      <w:r>
        <w:t xml:space="preserve"> </w:t>
      </w:r>
      <w:r>
        <w:t xml:space="preserve">:::</w:t>
      </w:r>
    </w:p>
    <w:p>
      <w:pPr>
        <w:pStyle w:val="Compact"/>
        <w:numPr>
          <w:ilvl w:val="0"/>
          <w:numId w:val="1115"/>
        </w:numPr>
      </w:pPr>
      <w:r>
        <w:t xml:space="preserve">Dilute DNA 1:10 (2 µl of DNA + 18 µL of DS)</w:t>
      </w:r>
    </w:p>
    <w:p>
      <w:pPr>
        <w:pStyle w:val="Compact"/>
        <w:numPr>
          <w:ilvl w:val="0"/>
          <w:numId w:val="1115"/>
        </w:numPr>
      </w:pPr>
      <w:r>
        <w:t xml:space="preserve">Transfer 2 µL of your 1:10 diluted DNA to one PCR tube containing master mix.</w:t>
      </w:r>
      <w:r>
        <w:t xml:space="preserve"> </w:t>
      </w:r>
      <w:r>
        <w:t xml:space="preserve">NOTE: Only one sample per tube and make sure to use a fresh tip for each sample to avoid cross-contamination.</w:t>
      </w:r>
    </w:p>
    <w:p>
      <w:pPr>
        <w:pStyle w:val="Compact"/>
        <w:numPr>
          <w:ilvl w:val="0"/>
          <w:numId w:val="1115"/>
        </w:numPr>
      </w:pPr>
      <w:r>
        <w:t xml:space="preserve">Spin down your tubes before placing them in the thermal cycler. Run the reaction and observe the temperature cycles. After the reactions are finished, we will store your PCR products at -20 °C.</w:t>
      </w:r>
    </w:p>
    <w:bookmarkEnd w:id="131"/>
    <w:bookmarkStart w:id="132" w:name="X7a9437114b66a535474c7c1f8d36e2e2fb635f1"/>
    <w:p>
      <w:pPr>
        <w:pStyle w:val="Heading4"/>
      </w:pPr>
      <w:r>
        <w:t xml:space="preserve">PCR Troubleshooting after Gel Electrophoresis</w:t>
      </w:r>
    </w:p>
    <w:p>
      <w:pPr>
        <w:pStyle w:val="Compact"/>
        <w:numPr>
          <w:ilvl w:val="0"/>
          <w:numId w:val="1116"/>
        </w:numPr>
      </w:pPr>
      <w:r>
        <w:t xml:space="preserve">No amplification on any samples: check primers, polymerase, and other reagents.</w:t>
      </w:r>
    </w:p>
    <w:p>
      <w:pPr>
        <w:pStyle w:val="Compact"/>
        <w:numPr>
          <w:ilvl w:val="0"/>
          <w:numId w:val="1116"/>
        </w:numPr>
      </w:pPr>
      <w:r>
        <w:t xml:space="preserve">Positive control OK, but samples show no amplification: Try dilutions of samples to check for inhibitors. Try a control with a primer set for common organisms to check that you can PCR something. Check the DNA amount.</w:t>
      </w:r>
    </w:p>
    <w:p>
      <w:pPr>
        <w:pStyle w:val="Compact"/>
        <w:numPr>
          <w:ilvl w:val="0"/>
          <w:numId w:val="1116"/>
        </w:numPr>
      </w:pPr>
      <w:r>
        <w:t xml:space="preserve">Weak or multiple bands, smear: Mispriming from the incorrect program. Check primer concentration: an imbalance of primers can lead to multiple bands.</w:t>
      </w:r>
    </w:p>
    <w:bookmarkEnd w:id="132"/>
    <w:bookmarkEnd w:id="133"/>
    <w:bookmarkStart w:id="138" w:name="Xa56d1bcb59fce4b4b930a83e03267d90d70e02d"/>
    <w:p>
      <w:pPr>
        <w:pStyle w:val="Heading3"/>
      </w:pPr>
      <w:r>
        <w:t xml:space="preserve">Part III: Gel Electrophoresis Introduction</w:t>
      </w:r>
    </w:p>
    <w:p>
      <w:pPr>
        <w:pStyle w:val="FirstParagraph"/>
      </w:pPr>
      <w:r>
        <w:t xml:space="preserve">Gel electrophoresis is a technique used to separate and analyze DNA based on fragment sizes and to verify the success of PCR. Gel electrophoresis separates DNA molecules based on size by applying an electrical current to either side of the gel. Since DNA is negatively charged, we load our DNA on the positive side of the gel to allow it to run toward the positive side of the gel when power is applied. The agarose gel allows the separation of DNA fragments based on size as the polysaccharide matrix acts as a sieve allowing small fragments to migrate faster and larger fragments slower.</w:t>
      </w:r>
    </w:p>
    <w:p>
      <w:pPr>
        <w:pStyle w:val="BodyText"/>
      </w:pPr>
      <w:r>
        <w:t xml:space="preserve">Today, we will use gel electrophoresis to verify the success of our PCR reaction. We are looking for PCR product bands between</w:t>
      </w:r>
    </w:p>
    <w:bookmarkStart w:id="134" w:name="X1d0f71b5e6ce6f8901c0f085ed862647f0d1b0d"/>
    <w:p>
      <w:pPr>
        <w:pStyle w:val="Heading4"/>
      </w:pPr>
      <w:r>
        <w:t xml:space="preserve">Prep 1% agarose gels for gel electrophoresis</w:t>
      </w:r>
    </w:p>
    <w:p>
      <w:pPr>
        <w:pStyle w:val="FirstParagraph"/>
      </w:pPr>
      <w:r>
        <w:t xml:space="preserve">To give enough time for the gel to cool and solidify, this task should be done in the first hour of the lab.</w:t>
      </w:r>
    </w:p>
    <w:bookmarkEnd w:id="134"/>
    <w:bookmarkStart w:id="135" w:name="materials-needed-1"/>
    <w:p>
      <w:pPr>
        <w:pStyle w:val="Heading4"/>
      </w:pPr>
      <w:r>
        <w:t xml:space="preserve">Materials Needed</w:t>
      </w:r>
    </w:p>
    <w:p>
      <w:pPr>
        <w:pStyle w:val="Compact"/>
        <w:numPr>
          <w:ilvl w:val="0"/>
          <w:numId w:val="1117"/>
        </w:numPr>
      </w:pPr>
      <w:r>
        <w:t xml:space="preserve">Agarose</w:t>
      </w:r>
    </w:p>
    <w:p>
      <w:pPr>
        <w:pStyle w:val="Compact"/>
        <w:numPr>
          <w:ilvl w:val="0"/>
          <w:numId w:val="1117"/>
        </w:numPr>
      </w:pPr>
      <w:r>
        <w:t xml:space="preserve">1X TAE (or TE, TBE, or SB) buffer to make gels and running buffer</w:t>
      </w:r>
      <w:r>
        <w:t xml:space="preserve"> </w:t>
      </w:r>
      <w:r>
        <w:t xml:space="preserve">Note: Use the same buffer for making and running the gel</w:t>
      </w:r>
    </w:p>
    <w:p>
      <w:pPr>
        <w:pStyle w:val="Compact"/>
        <w:numPr>
          <w:ilvl w:val="0"/>
          <w:numId w:val="1117"/>
        </w:numPr>
      </w:pPr>
      <w:r>
        <w:t xml:space="preserve">SYBR Safe to visualize DNA</w:t>
      </w:r>
    </w:p>
    <w:p>
      <w:pPr>
        <w:pStyle w:val="Compact"/>
        <w:numPr>
          <w:ilvl w:val="0"/>
          <w:numId w:val="1117"/>
        </w:numPr>
      </w:pPr>
      <w:r>
        <w:t xml:space="preserve">250 mL Erlenmeyer Flask</w:t>
      </w:r>
    </w:p>
    <w:p>
      <w:pPr>
        <w:pStyle w:val="Compact"/>
        <w:numPr>
          <w:ilvl w:val="0"/>
          <w:numId w:val="1117"/>
        </w:numPr>
      </w:pPr>
      <w:r>
        <w:t xml:space="preserve">P20 micropipette with tips</w:t>
      </w:r>
    </w:p>
    <w:p>
      <w:pPr>
        <w:pStyle w:val="Compact"/>
        <w:numPr>
          <w:ilvl w:val="0"/>
          <w:numId w:val="1117"/>
        </w:numPr>
      </w:pPr>
      <w:r>
        <w:t xml:space="preserve">PCR products</w:t>
      </w:r>
    </w:p>
    <w:p>
      <w:pPr>
        <w:pStyle w:val="Compact"/>
        <w:numPr>
          <w:ilvl w:val="0"/>
          <w:numId w:val="1117"/>
        </w:numPr>
      </w:pPr>
      <w:r>
        <w:t xml:space="preserve">100 bp Ladder</w:t>
      </w:r>
    </w:p>
    <w:p>
      <w:pPr>
        <w:pStyle w:val="Compact"/>
        <w:numPr>
          <w:ilvl w:val="0"/>
          <w:numId w:val="1117"/>
        </w:numPr>
      </w:pPr>
      <w:r>
        <w:t xml:space="preserve">Digital Balance</w:t>
      </w:r>
    </w:p>
    <w:p>
      <w:pPr>
        <w:pStyle w:val="Compact"/>
        <w:numPr>
          <w:ilvl w:val="0"/>
          <w:numId w:val="1117"/>
        </w:numPr>
      </w:pPr>
      <w:r>
        <w:t xml:space="preserve">Weigh Boats</w:t>
      </w:r>
    </w:p>
    <w:p>
      <w:pPr>
        <w:pStyle w:val="Compact"/>
        <w:numPr>
          <w:ilvl w:val="0"/>
          <w:numId w:val="1117"/>
        </w:numPr>
      </w:pPr>
      <w:r>
        <w:t xml:space="preserve">Gel rigs</w:t>
      </w:r>
    </w:p>
    <w:p>
      <w:pPr>
        <w:pStyle w:val="Compact"/>
        <w:numPr>
          <w:ilvl w:val="0"/>
          <w:numId w:val="1117"/>
        </w:numPr>
      </w:pPr>
      <w:r>
        <w:t xml:space="preserve">Gel comb</w:t>
      </w:r>
    </w:p>
    <w:p>
      <w:pPr>
        <w:pStyle w:val="Compact"/>
        <w:numPr>
          <w:ilvl w:val="0"/>
          <w:numId w:val="1117"/>
        </w:numPr>
      </w:pPr>
      <w:r>
        <w:t xml:space="preserve">Power source</w:t>
      </w:r>
    </w:p>
    <w:bookmarkEnd w:id="135"/>
    <w:bookmarkStart w:id="136" w:name="X27e3611931edb00682f71c58d3e85dfeecf25c4"/>
    <w:p>
      <w:pPr>
        <w:pStyle w:val="Heading4"/>
      </w:pPr>
      <w:r>
        <w:t xml:space="preserve">Gel Preparation Protocol (Prep gel at least 20 minutes prior to use)</w:t>
      </w:r>
    </w:p>
    <w:p>
      <w:pPr>
        <w:pStyle w:val="Compact"/>
        <w:numPr>
          <w:ilvl w:val="0"/>
          <w:numId w:val="1118"/>
        </w:numPr>
      </w:pPr>
      <w:r>
        <w:t xml:space="preserve">Measure 100 mL of 1x TE buffer in an Erlenmeyer flask.</w:t>
      </w:r>
    </w:p>
    <w:p>
      <w:pPr>
        <w:pStyle w:val="Compact"/>
        <w:numPr>
          <w:ilvl w:val="0"/>
          <w:numId w:val="1118"/>
        </w:numPr>
      </w:pPr>
      <w:r>
        <w:t xml:space="preserve">Add 1 gram of agarose to the buffer.</w:t>
      </w:r>
    </w:p>
    <w:p>
      <w:pPr>
        <w:pStyle w:val="Compact"/>
        <w:numPr>
          <w:ilvl w:val="0"/>
          <w:numId w:val="1118"/>
        </w:numPr>
      </w:pPr>
      <w:r>
        <w:t xml:space="preserve">Microwave for 30-second intervals.</w:t>
      </w:r>
    </w:p>
    <w:p>
      <w:pPr>
        <w:pStyle w:val="Compact"/>
        <w:numPr>
          <w:ilvl w:val="0"/>
          <w:numId w:val="1118"/>
        </w:numPr>
      </w:pPr>
      <w:r>
        <w:t xml:space="preserve">Remove and swirl after each interval. If you still see un-melted agarose, continue in 30-second intervals until completely melted. If the agarose starts to boil, stop the microwave immediately to prevent it from boiling over.</w:t>
      </w:r>
    </w:p>
    <w:p>
      <w:pPr>
        <w:pStyle w:val="Compact"/>
        <w:numPr>
          <w:ilvl w:val="0"/>
          <w:numId w:val="1118"/>
        </w:numPr>
      </w:pPr>
      <w:r>
        <w:t xml:space="preserve">Once all the agarose is melted, let sit on the counter until it cools enough to handle. Don’t let it cool too long as it will solidify.</w:t>
      </w:r>
    </w:p>
    <w:p>
      <w:pPr>
        <w:pStyle w:val="Compact"/>
        <w:numPr>
          <w:ilvl w:val="0"/>
          <w:numId w:val="1118"/>
        </w:numPr>
      </w:pPr>
      <w:r>
        <w:t xml:space="preserve">Set up the agarose mold and add a comb.</w:t>
      </w:r>
    </w:p>
    <w:p>
      <w:pPr>
        <w:pStyle w:val="Compact"/>
        <w:numPr>
          <w:ilvl w:val="0"/>
          <w:numId w:val="1118"/>
        </w:numPr>
      </w:pPr>
      <w:r>
        <w:t xml:space="preserve">Once the agarose has cooled to the touch. Pour into the mold. Make sure the agarose is approximately 1/3 to 1/2 way up the combs.</w:t>
      </w:r>
    </w:p>
    <w:p>
      <w:pPr>
        <w:pStyle w:val="Compact"/>
        <w:numPr>
          <w:ilvl w:val="0"/>
          <w:numId w:val="1118"/>
        </w:numPr>
      </w:pPr>
      <w:r>
        <w:t xml:space="preserve">If bubbles are present, use a micropipette tip to draw them to the sides of the gel.</w:t>
      </w:r>
    </w:p>
    <w:p>
      <w:pPr>
        <w:pStyle w:val="Compact"/>
        <w:numPr>
          <w:ilvl w:val="0"/>
          <w:numId w:val="1118"/>
        </w:numPr>
      </w:pPr>
      <w:r>
        <w:t xml:space="preserve">Allow approximately 20 minutes for the gel to solidify and become somewhat translucent.</w:t>
      </w:r>
    </w:p>
    <w:p>
      <w:pPr>
        <w:pStyle w:val="Compact"/>
        <w:numPr>
          <w:ilvl w:val="0"/>
          <w:numId w:val="1118"/>
        </w:numPr>
      </w:pPr>
      <w:r>
        <w:t xml:space="preserve">Gently remove the comb.</w:t>
      </w:r>
    </w:p>
    <w:p>
      <w:pPr>
        <w:pStyle w:val="Compact"/>
        <w:numPr>
          <w:ilvl w:val="0"/>
          <w:numId w:val="1118"/>
        </w:numPr>
      </w:pPr>
      <w:r>
        <w:t xml:space="preserve">Remove gel from casting mold and place in gel rig. The gel rig is oriented to</w:t>
      </w:r>
      <w:r>
        <w:t xml:space="preserve"> </w:t>
      </w:r>
      <w:r>
        <w:t xml:space="preserve">“run to red.”</w:t>
      </w:r>
      <w:r>
        <w:t xml:space="preserve"> </w:t>
      </w:r>
      <w:r>
        <w:t xml:space="preserve">Place the wells created from the comb towards the black electrode, opposite the red electrode.</w:t>
      </w:r>
    </w:p>
    <w:p>
      <w:pPr>
        <w:pStyle w:val="Compact"/>
        <w:numPr>
          <w:ilvl w:val="0"/>
          <w:numId w:val="1118"/>
        </w:numPr>
      </w:pPr>
      <w:r>
        <w:t xml:space="preserve">Gels can be wrapped in saran wrap and stored for approximately 1 week.</w:t>
      </w:r>
    </w:p>
    <w:bookmarkEnd w:id="136"/>
    <w:bookmarkStart w:id="137" w:name="gel-loading"/>
    <w:p>
      <w:pPr>
        <w:pStyle w:val="Heading4"/>
      </w:pPr>
      <w:r>
        <w:t xml:space="preserve">Gel Loading</w:t>
      </w:r>
    </w:p>
    <w:p>
      <w:pPr>
        <w:pStyle w:val="Compact"/>
        <w:numPr>
          <w:ilvl w:val="0"/>
          <w:numId w:val="1119"/>
        </w:numPr>
      </w:pPr>
      <w:r>
        <w:t xml:space="preserve">Fill the gel rig with 1X TAE (or equivalent) buffer until it covers the surface of the gel.</w:t>
      </w:r>
    </w:p>
    <w:p>
      <w:pPr>
        <w:pStyle w:val="Compact"/>
        <w:numPr>
          <w:ilvl w:val="0"/>
          <w:numId w:val="1119"/>
        </w:numPr>
      </w:pPr>
      <w:r>
        <w:t xml:space="preserve">Make a map of your samples in your gel.</w:t>
      </w:r>
    </w:p>
    <w:p>
      <w:pPr>
        <w:pStyle w:val="Compact"/>
        <w:numPr>
          <w:ilvl w:val="0"/>
          <w:numId w:val="1119"/>
        </w:numPr>
      </w:pPr>
      <w:r>
        <w:t xml:space="preserve">Load Gel</w:t>
      </w:r>
    </w:p>
    <w:p>
      <w:pPr>
        <w:pStyle w:val="Compact"/>
        <w:numPr>
          <w:ilvl w:val="1"/>
          <w:numId w:val="1120"/>
        </w:numPr>
      </w:pPr>
      <w:r>
        <w:t xml:space="preserve">PCR product without loading dye: Using a micropipettor add drops (less than 1 μL) of loading dye to the plastic side of parafilm. Add 5 μL PCR product to loading dye. Swirl with pipette tip. Draw up the product and proceed to step 4.</w:t>
      </w:r>
    </w:p>
    <w:p>
      <w:pPr>
        <w:pStyle w:val="Compact"/>
        <w:numPr>
          <w:ilvl w:val="1"/>
          <w:numId w:val="1120"/>
        </w:numPr>
      </w:pPr>
      <w:r>
        <w:t xml:space="preserve">PCR product with loading dye: Draw up 5 μL of PCR product using micropipette.</w:t>
      </w:r>
    </w:p>
    <w:p>
      <w:pPr>
        <w:pStyle w:val="Compact"/>
        <w:numPr>
          <w:ilvl w:val="0"/>
          <w:numId w:val="1119"/>
        </w:numPr>
      </w:pPr>
      <w:r>
        <w:t xml:space="preserve">Dip pipette tip into the submerged well very carefully, without piercing through the gel. Depress the pipette slowly. Too much pressure or speed will force the sample out of the well. Without releasing the plunger, draw out the pipette. If you release the plunger, you will draw your sample back into the pipette.</w:t>
      </w:r>
    </w:p>
    <w:p>
      <w:pPr>
        <w:pStyle w:val="Compact"/>
        <w:numPr>
          <w:ilvl w:val="0"/>
          <w:numId w:val="1119"/>
        </w:numPr>
      </w:pPr>
      <w:r>
        <w:t xml:space="preserve">Be sure to reserve one well per row for a standardized DNA ladder.</w:t>
      </w:r>
    </w:p>
    <w:p>
      <w:pPr>
        <w:pStyle w:val="Compact"/>
        <w:numPr>
          <w:ilvl w:val="0"/>
          <w:numId w:val="1119"/>
        </w:numPr>
      </w:pPr>
      <w:r>
        <w:t xml:space="preserve">Run at 300 volts for about 15 minutes</w:t>
      </w:r>
    </w:p>
    <w:p>
      <w:pPr>
        <w:pStyle w:val="Compact"/>
        <w:numPr>
          <w:ilvl w:val="1"/>
          <w:numId w:val="1121"/>
        </w:numPr>
      </w:pPr>
      <w:r>
        <w:t xml:space="preserve">Keep an eye on the migration of your PCR product across the gel to ensure it doesn’t run off the other end of the gel.</w:t>
      </w:r>
    </w:p>
    <w:p>
      <w:pPr>
        <w:pStyle w:val="Compact"/>
        <w:numPr>
          <w:ilvl w:val="0"/>
          <w:numId w:val="1119"/>
        </w:numPr>
      </w:pPr>
      <w:r>
        <w:t xml:space="preserve">Visualize with UV light.</w:t>
      </w:r>
    </w:p>
    <w:bookmarkEnd w:id="137"/>
    <w:bookmarkEnd w:id="138"/>
    <w:bookmarkStart w:id="139" w:name="part-iv-pcr-cleanup"/>
    <w:p>
      <w:pPr>
        <w:pStyle w:val="Heading3"/>
      </w:pPr>
      <w:r>
        <w:t xml:space="preserve">Part IV: PCR Cleanup</w:t>
      </w:r>
    </w:p>
    <w:p>
      <w:pPr>
        <w:pStyle w:val="FirstParagraph"/>
      </w:pPr>
      <w:r>
        <w:t xml:space="preserve">In order to sequence PCR products, the primers and other contaminants must be removed.</w:t>
      </w:r>
      <w:r>
        <w:t xml:space="preserve"> </w:t>
      </w:r>
      <w:r>
        <w:t xml:space="preserve">1. Remove ExoSAP-IT™ reagent from –20 °C freezer and keep on ice throughout this procedure.</w:t>
      </w:r>
      <w:r>
        <w:t xml:space="preserve"> </w:t>
      </w:r>
      <w:r>
        <w:t xml:space="preserve">2. Mix 5 µL of a post-PCR reaction product with 2 µL of ExoSAPIT™ reagent for a combined 7 µL reaction volume. When treating PCR product volumes greater than 5 µL, simply increase the amount of ExoSAP-IT™ reagent proportionally.</w:t>
      </w:r>
      <w:r>
        <w:t xml:space="preserve"> </w:t>
      </w:r>
      <w:r>
        <w:t xml:space="preserve">3. Incubate at 37 °C for 15 minutes to degrade remaining primers and nucleotides.</w:t>
      </w:r>
      <w:r>
        <w:t xml:space="preserve"> </w:t>
      </w:r>
      <w:r>
        <w:t xml:space="preserve">4. Incubate at 80 °C for 15 minutes to inactivate ExoSAP-IT™ reagent.</w:t>
      </w:r>
      <w:r>
        <w:t xml:space="preserve"> </w:t>
      </w:r>
      <w:r>
        <w:t xml:space="preserve">5. The PCR product is now ready for use in DNA sequencing. Treated PCR products may be stored at –20°C until required</w:t>
      </w:r>
    </w:p>
    <w:bookmarkEnd w:id="139"/>
    <w:bookmarkStart w:id="140" w:name="part-v-sanger-sequencing"/>
    <w:p>
      <w:pPr>
        <w:pStyle w:val="Heading3"/>
      </w:pPr>
      <w:r>
        <w:t xml:space="preserve">Part V: Sanger Sequencing</w:t>
      </w:r>
    </w:p>
    <w:p>
      <w:pPr>
        <w:pStyle w:val="FirstParagraph"/>
      </w:pPr>
      <w:r>
        <w:t xml:space="preserve">Your cleaned PCR product will be sent to an external facility for Sanger sequencing.</w:t>
      </w:r>
    </w:p>
    <w:bookmarkEnd w:id="140"/>
    <w:bookmarkStart w:id="142" w:name="X119230681215c553508703bd9b858aabc863314"/>
    <w:p>
      <w:pPr>
        <w:pStyle w:val="Heading3"/>
      </w:pPr>
      <w:r>
        <w:t xml:space="preserve">Part VI: Identifying Species using DNA Barcode</w:t>
      </w:r>
    </w:p>
    <w:bookmarkStart w:id="141" w:name="identify-your-sequence-data-using-blast"/>
    <w:p>
      <w:pPr>
        <w:pStyle w:val="Heading4"/>
      </w:pPr>
      <w:r>
        <w:t xml:space="preserve">Identify your sequence data using BLAST</w:t>
      </w:r>
    </w:p>
    <w:p>
      <w:pPr>
        <w:pStyle w:val="FirstParagraph"/>
      </w:pPr>
      <w:r>
        <w:t xml:space="preserve">To identify the sequence you’ve produced and determine if it represents the specimen you’ve sequenced and not some other contaminant, you can compare the sequence to a database of reference sequences. This is from the National Center for Biotechnology Information’s (NCBI) Genbank database.</w:t>
      </w:r>
    </w:p>
    <w:p>
      <w:pPr>
        <w:pStyle w:val="Compact"/>
        <w:numPr>
          <w:ilvl w:val="0"/>
          <w:numId w:val="1122"/>
        </w:numPr>
      </w:pPr>
      <w:r>
        <w:t xml:space="preserve">Go to NCBI: https://www.ncbi.nlm.nih.gov/.</w:t>
      </w:r>
    </w:p>
    <w:p>
      <w:pPr>
        <w:pStyle w:val="Compact"/>
        <w:numPr>
          <w:ilvl w:val="0"/>
          <w:numId w:val="1122"/>
        </w:numPr>
      </w:pPr>
      <w:r>
        <w:t xml:space="preserve">Click on</w:t>
      </w:r>
      <w:r>
        <w:t xml:space="preserve"> </w:t>
      </w:r>
      <w:r>
        <w:t xml:space="preserve">“BLAST”</w:t>
      </w:r>
      <w:r>
        <w:t xml:space="preserve"> </w:t>
      </w:r>
      <w:r>
        <w:t xml:space="preserve">in the right-hand column under</w:t>
      </w:r>
      <w:r>
        <w:t xml:space="preserve"> </w:t>
      </w:r>
      <w:r>
        <w:t xml:space="preserve">“Popular Resources”</w:t>
      </w:r>
    </w:p>
    <w:p>
      <w:pPr>
        <w:pStyle w:val="Compact"/>
        <w:numPr>
          <w:ilvl w:val="1"/>
          <w:numId w:val="1123"/>
        </w:numPr>
      </w:pPr>
      <w:r>
        <w:t xml:space="preserve">BLAST = Basic Local Alignment Search Tool</w:t>
      </w:r>
    </w:p>
    <w:p>
      <w:pPr>
        <w:pStyle w:val="Compact"/>
        <w:numPr>
          <w:ilvl w:val="0"/>
          <w:numId w:val="1122"/>
        </w:numPr>
      </w:pPr>
      <w:r>
        <w:t xml:space="preserve">Click on the Nucleotide BLAST image.</w:t>
      </w:r>
    </w:p>
    <w:p>
      <w:pPr>
        <w:pStyle w:val="Compact"/>
        <w:numPr>
          <w:ilvl w:val="1"/>
          <w:numId w:val="1124"/>
        </w:numPr>
      </w:pPr>
      <w:r>
        <w:t xml:space="preserve">There are numerous BLAST options depending on the data you are working with. The two basics are nucleotides and amino acid (=Protein) sequence BLASTS. The blastx and blastn options allow you to convert these sequences into the complementary format.</w:t>
      </w:r>
    </w:p>
    <w:p>
      <w:pPr>
        <w:pStyle w:val="Compact"/>
        <w:numPr>
          <w:ilvl w:val="0"/>
          <w:numId w:val="1122"/>
        </w:numPr>
      </w:pPr>
      <w:r>
        <w:t xml:space="preserve">Paste your sequence data into the big space under</w:t>
      </w:r>
      <w:r>
        <w:t xml:space="preserve"> </w:t>
      </w:r>
      <w:r>
        <w:t xml:space="preserve">“Enter Query Sequence”</w:t>
      </w:r>
      <w:r>
        <w:t xml:space="preserve">.</w:t>
      </w:r>
    </w:p>
    <w:p>
      <w:pPr>
        <w:pStyle w:val="Compact"/>
        <w:numPr>
          <w:ilvl w:val="1"/>
          <w:numId w:val="1125"/>
        </w:numPr>
      </w:pPr>
      <w:r>
        <w:t xml:space="preserve">Open your FASTA file and select your sequences. This is the DNA sequence from the beginning of the</w:t>
      </w:r>
      <w:r>
        <w:t xml:space="preserve"> </w:t>
      </w:r>
      <w:r>
        <w:t xml:space="preserve">“&gt;”</w:t>
      </w:r>
      <w:r>
        <w:t xml:space="preserve"> </w:t>
      </w:r>
      <w:r>
        <w:t xml:space="preserve">symbol, all the way to the end (e.g., the beginning of the next</w:t>
      </w:r>
      <w:r>
        <w:t xml:space="preserve"> </w:t>
      </w:r>
      <w:r>
        <w:t xml:space="preserve">“&gt;”</w:t>
      </w:r>
      <w:r>
        <w:t xml:space="preserve"> </w:t>
      </w:r>
      <w:r>
        <w:t xml:space="preserve">symbol).</w:t>
      </w:r>
    </w:p>
    <w:p>
      <w:pPr>
        <w:pStyle w:val="Compact"/>
        <w:numPr>
          <w:ilvl w:val="0"/>
          <w:numId w:val="1122"/>
        </w:numPr>
      </w:pPr>
      <w:r>
        <w:t xml:space="preserve">Under Choose Search Set you can keep it under</w:t>
      </w:r>
      <w:r>
        <w:t xml:space="preserve"> </w:t>
      </w:r>
      <w:r>
        <w:t xml:space="preserve">“Standard databases (nr etc.)”</w:t>
      </w:r>
      <w:r>
        <w:t xml:space="preserve">.</w:t>
      </w:r>
    </w:p>
    <w:p>
      <w:pPr>
        <w:pStyle w:val="Compact"/>
        <w:numPr>
          <w:ilvl w:val="1"/>
          <w:numId w:val="1126"/>
        </w:numPr>
      </w:pPr>
      <w:r>
        <w:t xml:space="preserve">You can come back and re-perform the BLAST using the</w:t>
      </w:r>
      <w:r>
        <w:t xml:space="preserve"> </w:t>
      </w:r>
      <w:r>
        <w:t xml:space="preserve">“rRNA/ITS databases”</w:t>
      </w:r>
      <w:r>
        <w:t xml:space="preserve">. After selecting this, choose</w:t>
      </w:r>
      <w:r>
        <w:t xml:space="preserve"> </w:t>
      </w:r>
      <w:r>
        <w:t xml:space="preserve">“Internal transcribed spacer region (ITS) from Fungi type and reference material”</w:t>
      </w:r>
      <w:r>
        <w:t xml:space="preserve">. This will be a much narrower database and set of comparisons, but the confidence in the results providing a correct ID will be</w:t>
      </w:r>
      <w:r>
        <w:t xml:space="preserve"> </w:t>
      </w:r>
      <w:r>
        <w:rPr>
          <w:i/>
          <w:iCs/>
        </w:rPr>
        <w:t xml:space="preserve">MUCH</w:t>
      </w:r>
      <w:r>
        <w:t xml:space="preserve"> </w:t>
      </w:r>
      <w:r>
        <w:t xml:space="preserve">higher.</w:t>
      </w:r>
    </w:p>
    <w:p>
      <w:pPr>
        <w:pStyle w:val="Compact"/>
        <w:numPr>
          <w:ilvl w:val="0"/>
          <w:numId w:val="1122"/>
        </w:numPr>
      </w:pPr>
      <w:r>
        <w:t xml:space="preserve">Select the</w:t>
      </w:r>
      <w:r>
        <w:t xml:space="preserve"> </w:t>
      </w:r>
      <w:r>
        <w:t xml:space="preserve">“BLAST”</w:t>
      </w:r>
      <w:r>
        <w:t xml:space="preserve"> </w:t>
      </w:r>
      <w:r>
        <w:t xml:space="preserve">button at the end.</w:t>
      </w:r>
    </w:p>
    <w:p>
      <w:pPr>
        <w:pStyle w:val="Compact"/>
        <w:numPr>
          <w:ilvl w:val="1"/>
          <w:numId w:val="1127"/>
        </w:numPr>
      </w:pPr>
      <w:r>
        <w:t xml:space="preserve">Genbank will then begin to query your sequence against sequences in the database. The top hit that comes back will be the sequence that is most like your sequence based on several stats.</w:t>
      </w:r>
    </w:p>
    <w:p>
      <w:pPr>
        <w:pStyle w:val="Compact"/>
        <w:numPr>
          <w:ilvl w:val="1"/>
          <w:numId w:val="1127"/>
        </w:numPr>
      </w:pPr>
      <w:r>
        <w:t xml:space="preserve">Percent Identity = What percent of your sequence (query sequence) is identical to the matched sequence.</w:t>
      </w:r>
    </w:p>
    <w:p>
      <w:pPr>
        <w:pStyle w:val="Compact"/>
        <w:numPr>
          <w:ilvl w:val="1"/>
          <w:numId w:val="1127"/>
        </w:numPr>
      </w:pPr>
      <w:r>
        <w:t xml:space="preserve">Query Cover = How much of the query sequence covers the matched sequence.</w:t>
      </w:r>
    </w:p>
    <w:p>
      <w:pPr>
        <w:pStyle w:val="Compact"/>
        <w:numPr>
          <w:ilvl w:val="1"/>
          <w:numId w:val="1127"/>
        </w:numPr>
      </w:pPr>
      <w:r>
        <w:t xml:space="preserve">E value = The probability that this match occurred by chance in the provided database.</w:t>
      </w:r>
    </w:p>
    <w:p>
      <w:pPr>
        <w:pStyle w:val="Compact"/>
        <w:numPr>
          <w:ilvl w:val="0"/>
          <w:numId w:val="1122"/>
        </w:numPr>
      </w:pPr>
      <w:r>
        <w:t xml:space="preserve">Review the results.</w:t>
      </w:r>
    </w:p>
    <w:p>
      <w:pPr>
        <w:pStyle w:val="Compact"/>
        <w:numPr>
          <w:ilvl w:val="1"/>
          <w:numId w:val="1128"/>
        </w:numPr>
      </w:pPr>
      <w:r>
        <w:t xml:space="preserve">What is the</w:t>
      </w:r>
      <w:r>
        <w:t xml:space="preserve"> </w:t>
      </w:r>
      <w:r>
        <w:t xml:space="preserve">“top hit”</w:t>
      </w:r>
      <w:r>
        <w:t xml:space="preserve">?</w:t>
      </w:r>
    </w:p>
    <w:p>
      <w:pPr>
        <w:pStyle w:val="Compact"/>
        <w:numPr>
          <w:ilvl w:val="1"/>
          <w:numId w:val="1128"/>
        </w:numPr>
      </w:pPr>
      <w:r>
        <w:t xml:space="preserve">How much support is provided for this hit given the current database used?</w:t>
      </w:r>
    </w:p>
    <w:p>
      <w:pPr>
        <w:pStyle w:val="Compact"/>
        <w:numPr>
          <w:ilvl w:val="1"/>
          <w:numId w:val="1128"/>
        </w:numPr>
      </w:pPr>
      <w:r>
        <w:t xml:space="preserve">What is the taxonomic ID of this result? What kind of fungi are these?</w:t>
      </w:r>
    </w:p>
    <w:p>
      <w:pPr>
        <w:pStyle w:val="Compact"/>
        <w:numPr>
          <w:ilvl w:val="1"/>
          <w:numId w:val="1128"/>
        </w:numPr>
      </w:pPr>
      <w:r>
        <w:t xml:space="preserve">You may google the names and search under Wikipedia to get a better understanding of these organisms and what is known.</w:t>
      </w:r>
    </w:p>
    <w:bookmarkEnd w:id="141"/>
    <w:bookmarkEnd w:id="142"/>
    <w:bookmarkStart w:id="143" w:name="Xcb8d6e6bb4bb243cf7eddf79d1da1ef522e8a0a"/>
    <w:p>
      <w:pPr>
        <w:pStyle w:val="Heading3"/>
      </w:pPr>
      <w:r>
        <w:t xml:space="preserve">Part VII: Data Management - Spreadsheets and iNaturalist</w:t>
      </w:r>
    </w:p>
    <w:p>
      <w:pPr>
        <w:pStyle w:val="FirstParagraph"/>
      </w:pPr>
      <w:r>
        <w:t xml:space="preserve">[Content for this part would continue from the protocols, but it’s cut off in the text]</w:t>
      </w:r>
    </w:p>
    <w:bookmarkEnd w:id="143"/>
    <w:bookmarkEnd w:id="144"/>
    <w:bookmarkEnd w:id="145"/>
    <w:bookmarkStart w:id="157" w:name="module-5-tissue-preparation"/>
    <w:p>
      <w:pPr>
        <w:pStyle w:val="Heading1"/>
      </w:pPr>
      <w:r>
        <w:t xml:space="preserve">Module 5: Tissue Preparation</w:t>
      </w:r>
    </w:p>
    <w:bookmarkStart w:id="148" w:name="X0d17ba572a281133a22d073b368b9fbe73454ca"/>
    <w:p>
      <w:pPr>
        <w:pStyle w:val="Heading2"/>
      </w:pPr>
      <w:r>
        <w:t xml:space="preserve">Module 5.1 – Tissue Preparation for Genome Sequencing</w:t>
      </w:r>
    </w:p>
    <w:bookmarkStart w:id="147" w:name="Xaadd1af7be5342dd14d66f9d9ba06249647885a"/>
    <w:p>
      <w:pPr>
        <w:pStyle w:val="Heading3"/>
      </w:pPr>
      <w:r>
        <w:t xml:space="preserve">Instructor Laboratory Preparation Instructions</w:t>
      </w:r>
    </w:p>
    <w:bookmarkStart w:id="146" w:name="materials-and-equipment"/>
    <w:p>
      <w:pPr>
        <w:pStyle w:val="Heading4"/>
      </w:pPr>
      <w:r>
        <w:t xml:space="preserve">Materials and Equipment</w:t>
      </w:r>
    </w:p>
    <w:p>
      <w:pPr>
        <w:pStyle w:val="Compact"/>
        <w:numPr>
          <w:ilvl w:val="0"/>
          <w:numId w:val="1129"/>
        </w:numPr>
      </w:pPr>
      <w:r>
        <w:t xml:space="preserve">Autoclave</w:t>
      </w:r>
    </w:p>
    <w:p>
      <w:pPr>
        <w:pStyle w:val="Compact"/>
        <w:numPr>
          <w:ilvl w:val="0"/>
          <w:numId w:val="1130"/>
        </w:numPr>
      </w:pPr>
      <w:r>
        <w:t xml:space="preserve">Laminar Flow Hood (if available)</w:t>
      </w:r>
    </w:p>
    <w:p>
      <w:pPr>
        <w:pStyle w:val="Compact"/>
        <w:numPr>
          <w:ilvl w:val="0"/>
          <w:numId w:val="1131"/>
        </w:numPr>
      </w:pPr>
      <w:r>
        <w:t xml:space="preserve">Cellophane</w:t>
      </w:r>
    </w:p>
    <w:p>
      <w:pPr>
        <w:pStyle w:val="Compact"/>
        <w:numPr>
          <w:ilvl w:val="0"/>
          <w:numId w:val="1132"/>
        </w:numPr>
      </w:pPr>
      <w:r>
        <w:t xml:space="preserve">100x15mm Petri Dishes</w:t>
      </w:r>
    </w:p>
    <w:p>
      <w:pPr>
        <w:pStyle w:val="Compact"/>
        <w:numPr>
          <w:ilvl w:val="0"/>
          <w:numId w:val="1133"/>
        </w:numPr>
      </w:pPr>
      <w:r>
        <w:t xml:space="preserve">60x15mm Petri Dishes</w:t>
      </w:r>
    </w:p>
    <w:p>
      <w:pPr>
        <w:pStyle w:val="Compact"/>
        <w:numPr>
          <w:ilvl w:val="0"/>
          <w:numId w:val="1134"/>
        </w:numPr>
      </w:pPr>
      <w:r>
        <w:t xml:space="preserve">Agar, Bacteriological</w:t>
      </w:r>
    </w:p>
    <w:p>
      <w:pPr>
        <w:pStyle w:val="Compact"/>
        <w:numPr>
          <w:ilvl w:val="0"/>
          <w:numId w:val="1135"/>
        </w:numPr>
      </w:pPr>
      <w:r>
        <w:t xml:space="preserve">Potato Dextrose Agar (PDA) media</w:t>
      </w:r>
    </w:p>
    <w:p>
      <w:pPr>
        <w:pStyle w:val="Compact"/>
        <w:numPr>
          <w:ilvl w:val="0"/>
          <w:numId w:val="1136"/>
        </w:numPr>
      </w:pPr>
      <w:r>
        <w:t xml:space="preserve">Alcohol for sterilization</w:t>
      </w:r>
    </w:p>
    <w:p>
      <w:pPr>
        <w:pStyle w:val="Compact"/>
        <w:numPr>
          <w:ilvl w:val="0"/>
          <w:numId w:val="1137"/>
        </w:numPr>
      </w:pPr>
      <w:r>
        <w:t xml:space="preserve">Forceps</w:t>
      </w:r>
    </w:p>
    <w:p>
      <w:pPr>
        <w:pStyle w:val="Compact"/>
        <w:numPr>
          <w:ilvl w:val="0"/>
          <w:numId w:val="1138"/>
        </w:numPr>
      </w:pPr>
      <w:r>
        <w:t xml:space="preserve">Scalpel</w:t>
      </w:r>
    </w:p>
    <w:p>
      <w:pPr>
        <w:pStyle w:val="FirstParagraph"/>
      </w:pPr>
      <w:r>
        <w:rPr>
          <w:b/>
          <w:bCs/>
        </w:rPr>
        <w:t xml:space="preserve">Sterility:</w:t>
      </w:r>
      <w:r>
        <w:t xml:space="preserve"> </w:t>
      </w:r>
      <w:r>
        <w:t xml:space="preserve">First, clean your work area with bleach, and/or ethanol. Work carefully to maintain prevent contamination of your samples. Always sterilize your implements (forceps and scalpel) by dipping them in alcohol and allow time to air dry.</w:t>
      </w:r>
    </w:p>
    <w:p>
      <w:pPr>
        <w:pStyle w:val="BodyText"/>
      </w:pPr>
      <w:r>
        <w:rPr>
          <w:b/>
          <w:bCs/>
        </w:rPr>
        <w:t xml:space="preserve">Potato Dextrose Agar (PDA) Plates</w:t>
      </w:r>
      <w:r>
        <w:t xml:space="preserve"> </w:t>
      </w:r>
      <w:r>
        <w:t xml:space="preserve">Fungi cultured from leaves on water agar are transferred to nutrient Potato Dextrose Agar (PDA) plates. We use one 60x15 mm Petri dish for each fungal isolate.</w:t>
      </w:r>
    </w:p>
    <w:p>
      <w:pPr>
        <w:pStyle w:val="BodyText"/>
      </w:pPr>
      <w:r>
        <w:rPr>
          <w:b/>
          <w:bCs/>
        </w:rPr>
        <w:t xml:space="preserve">Potato Dextrose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60x15mm plates in a sterile environment. Do not let it cool too long as the media will solidify. Each 60x15mm plate holds approximately 8 ml media. If plates will be used immediately smaller amounts of media can be poured into plates. If plates will be stored, use larger amounts. Store plates in the original Petri dish sleeve in the refrigerator (~4 °C) until use.</w:t>
      </w:r>
    </w:p>
    <w:p>
      <w:pPr>
        <w:pStyle w:val="BodyText"/>
      </w:pPr>
      <w:r>
        <w:rPr>
          <w:b/>
          <w:bCs/>
        </w:rPr>
        <w:t xml:space="preserve">Cellophane Plates</w:t>
      </w:r>
      <w:r>
        <w:t xml:space="preserve"> </w:t>
      </w:r>
      <w:r>
        <w:t xml:space="preserve">Fungal tissue can be harvested from cellophane plates. Cut cellophane discs slightly smaller than the Petri dish so that they lay flat on the PDA media. Using the bottom of the Petri dish as a template, draw a circle on the cellophane and the cut out discs on the inside of the line.</w:t>
      </w:r>
    </w:p>
    <w:p>
      <w:pPr>
        <w:pStyle w:val="BodyText"/>
      </w:pPr>
      <w:r>
        <w:t xml:space="preserve">Place cellophane discs into an autoclavable container with water. Place each cellophane disc individually into the water and try to stagger them in the water. This staggering step ensures that you can more easily remove the discs from the water. Cover your container with foil and sterilize by autoclaving at 15 lbs pressure (121°C) for 15 minutes.</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bookmarkEnd w:id="146"/>
    <w:bookmarkEnd w:id="147"/>
    <w:bookmarkEnd w:id="148"/>
    <w:bookmarkStart w:id="156" w:name="Xc8205bcafd44c2f0f2777871d0b670e5430cb18"/>
    <w:p>
      <w:pPr>
        <w:pStyle w:val="Heading2"/>
      </w:pPr>
      <w:r>
        <w:t xml:space="preserve">Module 5.2 – Tissue Preparation for Genome Sequencing</w:t>
      </w:r>
    </w:p>
    <w:bookmarkStart w:id="149" w:name="purpose-3"/>
    <w:p>
      <w:pPr>
        <w:pStyle w:val="Heading3"/>
      </w:pPr>
      <w:r>
        <w:t xml:space="preserve">Purpose</w:t>
      </w:r>
    </w:p>
    <w:p>
      <w:pPr>
        <w:pStyle w:val="FirstParagraph"/>
      </w:pPr>
      <w:r>
        <w:t xml:space="preserve">This protocol guides you through the culturing and harvesting of fungal tissue for molecular applications.</w:t>
      </w:r>
    </w:p>
    <w:bookmarkEnd w:id="149"/>
    <w:bookmarkStart w:id="150" w:name="introduction-4"/>
    <w:p>
      <w:pPr>
        <w:pStyle w:val="Heading3"/>
      </w:pPr>
      <w:r>
        <w:t xml:space="preserve">Introduction</w:t>
      </w:r>
    </w:p>
    <w:p>
      <w:pPr>
        <w:pStyle w:val="FirstParagraph"/>
      </w:pPr>
      <w:r>
        <w:t xml:space="preserve">The long-term goal of this endophyte isolation project is to develop a robust dataset of fungal genomes. We are piloting this project in our course to determine if whole genome extractions are possible using home laboratory techniques. If successful, the project will be expanded in several directions. Any data generated from this project will be made available on the Mycocosm Web Portal. These data can then be used by students and researchers to analyze fungal genomes. Beyond phylogenetic inferences and evolutionary reconstructions, a variety of research questions can be addressed using fungal genomic data. Genomic data can elucidate the functions of these fungi and contribute to an understanding of their biology. In addition, if this pilot project is successful, future studies will incorporate stress factors, such as salts, metals, or temperatures, to understand the morphological, physiological and genetic responses of fungi to environmental stressors.</w:t>
      </w:r>
    </w:p>
    <w:p>
      <w:pPr>
        <w:pStyle w:val="BodyText"/>
      </w:pPr>
      <w:r>
        <w:t xml:space="preserve">This pilot project is being conducted in collaboration with mycologists and mycology students across North America. In addition to Oregon State University, students from the University of Colorado, both Denver and Boulder, Denver Botanic Gardens, Colorado State University, and Duke University, are collecting tissue and isolating fungal endophytes from plant hosts. Genomic data will be generated by the Joint Genome Institute. This is the first project of its kind and the most comprehensive project investigating endophytes on a large geographic and taxonomic scale.</w:t>
      </w:r>
    </w:p>
    <w:p>
      <w:pPr>
        <w:pStyle w:val="BodyText"/>
      </w:pPr>
      <w:r>
        <w:t xml:space="preserve">To prepare your fungal tissue for full genome sequencing, you will transfer some mycelia to a Petri dish with cellophane.</w:t>
      </w:r>
    </w:p>
    <w:p>
      <w:pPr>
        <w:pStyle w:val="BodyText"/>
      </w:pPr>
      <w:r>
        <w:t xml:space="preserve">Once fungal endophytes have been cultured from host plants, these fungal cultures will be identified using ITS (the fungal barcode region) sequencing. The ITS sequence will provide some level of taxonomic placement of your isolate, perhaps even to species. This ITS identification step also allows the determination of which fungal cultures to submit for full genome sequencing.</w:t>
      </w:r>
    </w:p>
    <w:bookmarkEnd w:id="150"/>
    <w:bookmarkStart w:id="151" w:name="sub-culturing-on-cellophane"/>
    <w:p>
      <w:pPr>
        <w:pStyle w:val="Heading3"/>
      </w:pPr>
      <w:r>
        <w:t xml:space="preserve">Sub-Culturing on Cellophane</w:t>
      </w:r>
    </w:p>
    <w:p>
      <w:pPr>
        <w:pStyle w:val="Compact"/>
        <w:numPr>
          <w:ilvl w:val="0"/>
          <w:numId w:val="1139"/>
        </w:numPr>
      </w:pPr>
      <w:r>
        <w:t xml:space="preserve">Clean your workspace as described previously. Work under flames or in a laminar flow hood if available.</w:t>
      </w:r>
    </w:p>
    <w:p>
      <w:pPr>
        <w:pStyle w:val="Compact"/>
        <w:numPr>
          <w:ilvl w:val="0"/>
          <w:numId w:val="1139"/>
        </w:numPr>
      </w:pPr>
      <w:r>
        <w:t xml:space="preserve">Label your Cellophane lined Petri Dish appropriately.</w:t>
      </w:r>
    </w:p>
    <w:p>
      <w:pPr>
        <w:pStyle w:val="Compact"/>
        <w:numPr>
          <w:ilvl w:val="0"/>
          <w:numId w:val="1139"/>
        </w:numPr>
      </w:pPr>
      <w:r>
        <w:t xml:space="preserve">Sterilize implements (forceps and scalpel).</w:t>
      </w:r>
    </w:p>
    <w:p>
      <w:pPr>
        <w:pStyle w:val="Compact"/>
        <w:numPr>
          <w:ilvl w:val="0"/>
          <w:numId w:val="1139"/>
        </w:numPr>
      </w:pPr>
      <w:r>
        <w:t xml:space="preserve">Scrape mycelia from PDA plates that you have been growing. Be sure to avoid transferring any media as much as possible.</w:t>
      </w:r>
    </w:p>
    <w:p>
      <w:pPr>
        <w:pStyle w:val="Compact"/>
        <w:numPr>
          <w:ilvl w:val="1"/>
          <w:numId w:val="1140"/>
        </w:numPr>
      </w:pPr>
      <w:r>
        <w:t xml:space="preserve">Leaving the assay plate on the bench space, remove the parafilm of the inoculation plate and slightly crack open the lid using your non-dominant hand.</w:t>
      </w:r>
    </w:p>
    <w:p>
      <w:pPr>
        <w:pStyle w:val="Compact"/>
        <w:numPr>
          <w:ilvl w:val="1"/>
          <w:numId w:val="1140"/>
        </w:numPr>
      </w:pPr>
      <w:r>
        <w:t xml:space="preserve">Insert your forceps into the crack of the Petri dish and attempt to sample some mycelium.</w:t>
      </w:r>
    </w:p>
    <w:p>
      <w:pPr>
        <w:pStyle w:val="Compact"/>
        <w:numPr>
          <w:ilvl w:val="2"/>
          <w:numId w:val="1141"/>
        </w:numPr>
      </w:pPr>
      <w:r>
        <w:t xml:space="preserve">If you are unable to remove mycelia with your forceps, use your scalpel to remove mycelia with the least amount of agar possible.</w:t>
      </w:r>
    </w:p>
    <w:p>
      <w:pPr>
        <w:pStyle w:val="Compact"/>
        <w:numPr>
          <w:ilvl w:val="0"/>
          <w:numId w:val="1139"/>
        </w:numPr>
      </w:pPr>
      <w:r>
        <w:t xml:space="preserve">Transfer the mycelia to a Petri dish with cellophane.</w:t>
      </w:r>
    </w:p>
    <w:p>
      <w:pPr>
        <w:pStyle w:val="Compact"/>
        <w:numPr>
          <w:ilvl w:val="1"/>
          <w:numId w:val="1142"/>
        </w:numPr>
      </w:pPr>
      <w:r>
        <w:t xml:space="preserve">Carefully remove the chunk of agar. Replace the lid. Slide the sample plate away. Slide a cellophane plate towards you.</w:t>
      </w:r>
    </w:p>
    <w:p>
      <w:pPr>
        <w:pStyle w:val="Compact"/>
        <w:numPr>
          <w:ilvl w:val="1"/>
          <w:numId w:val="1142"/>
        </w:numPr>
      </w:pPr>
      <w:r>
        <w:t xml:space="preserve">Crack open the cellophane plate using your non-dominant hand, and carefully insert the forceps with the agar and mycelium.</w:t>
      </w:r>
    </w:p>
    <w:p>
      <w:pPr>
        <w:pStyle w:val="Compact"/>
        <w:numPr>
          <w:ilvl w:val="1"/>
          <w:numId w:val="1142"/>
        </w:numPr>
      </w:pPr>
      <w:r>
        <w:t xml:space="preserve">To deposit the agar onto the PDA agar, submerge the forceps into the agar on the plate. This should force the agar and mycelium from your forceps, onto the PDA agar.</w:t>
      </w:r>
    </w:p>
    <w:p>
      <w:pPr>
        <w:pStyle w:val="Compact"/>
        <w:numPr>
          <w:ilvl w:val="1"/>
          <w:numId w:val="1142"/>
        </w:numPr>
      </w:pPr>
      <w:r>
        <w:t xml:space="preserve">Pull your forceps straight out to leave the agar and mycelium on the plate.</w:t>
      </w:r>
    </w:p>
    <w:p>
      <w:pPr>
        <w:pStyle w:val="Compact"/>
        <w:numPr>
          <w:ilvl w:val="1"/>
          <w:numId w:val="1142"/>
        </w:numPr>
      </w:pPr>
      <w:r>
        <w:t xml:space="preserve">The mycelia will be sticky, so you might need to scrape it off using sterile implements. If you’re using forceps to transfer, use the sterilized scalpel to scrape mycelia off the forceps onto cellophane in the Petri dish.</w:t>
      </w:r>
    </w:p>
    <w:p>
      <w:pPr>
        <w:pStyle w:val="Compact"/>
        <w:numPr>
          <w:ilvl w:val="0"/>
          <w:numId w:val="1139"/>
        </w:numPr>
      </w:pPr>
      <w:r>
        <w:t xml:space="preserve">Seal Petri dish with parafilm.</w:t>
      </w:r>
    </w:p>
    <w:p>
      <w:pPr>
        <w:pStyle w:val="Compact"/>
        <w:numPr>
          <w:ilvl w:val="0"/>
          <w:numId w:val="1139"/>
        </w:numPr>
      </w:pPr>
      <w:r>
        <w:t xml:space="preserve">Allow fungi to fill the cellophane.</w:t>
      </w:r>
    </w:p>
    <w:p>
      <w:pPr>
        <w:pStyle w:val="Compact"/>
        <w:numPr>
          <w:ilvl w:val="0"/>
          <w:numId w:val="1139"/>
        </w:numPr>
      </w:pPr>
      <w:r>
        <w:t xml:space="preserve">Repeat this process with all fungal isolates that will be sent for genome sequencing.</w:t>
      </w:r>
    </w:p>
    <w:bookmarkEnd w:id="151"/>
    <w:bookmarkStart w:id="152" w:name="X10145d54968745cf30d23b42f07bebdb1cea736"/>
    <w:p>
      <w:pPr>
        <w:pStyle w:val="Heading3"/>
      </w:pPr>
      <w:r>
        <w:t xml:space="preserve">Harvesting Mycelia for Genome Sequencing Instructions</w:t>
      </w:r>
    </w:p>
    <w:p>
      <w:pPr>
        <w:pStyle w:val="FirstParagraph"/>
      </w:pPr>
      <w:r>
        <w:t xml:space="preserve">Full genome sequencing requires large amounts of tissue to be successful. The tissue grown on the cellophane plates will be harvested, dried, and sent for genome sequencing.</w:t>
      </w:r>
    </w:p>
    <w:bookmarkEnd w:id="152"/>
    <w:bookmarkStart w:id="153" w:name="student-lab-supplies"/>
    <w:p>
      <w:pPr>
        <w:pStyle w:val="Heading3"/>
      </w:pPr>
      <w:r>
        <w:t xml:space="preserve">Student Lab Supplies</w:t>
      </w:r>
    </w:p>
    <w:p>
      <w:pPr>
        <w:pStyle w:val="Compact"/>
        <w:numPr>
          <w:ilvl w:val="0"/>
          <w:numId w:val="1143"/>
        </w:numPr>
      </w:pPr>
      <w:r>
        <w:t xml:space="preserve">1.5 ml Eppendorf tubes</w:t>
      </w:r>
    </w:p>
    <w:p>
      <w:pPr>
        <w:pStyle w:val="Compact"/>
        <w:numPr>
          <w:ilvl w:val="0"/>
          <w:numId w:val="1144"/>
        </w:numPr>
      </w:pPr>
      <w:r>
        <w:t xml:space="preserve">Sharpie</w:t>
      </w:r>
    </w:p>
    <w:p>
      <w:pPr>
        <w:pStyle w:val="Compact"/>
        <w:numPr>
          <w:ilvl w:val="0"/>
          <w:numId w:val="1145"/>
        </w:numPr>
      </w:pPr>
      <w:r>
        <w:t xml:space="preserve">Scalpel</w:t>
      </w:r>
    </w:p>
    <w:p>
      <w:pPr>
        <w:pStyle w:val="Compact"/>
        <w:numPr>
          <w:ilvl w:val="0"/>
          <w:numId w:val="1146"/>
        </w:numPr>
      </w:pPr>
      <w:r>
        <w:t xml:space="preserve">Forceps</w:t>
      </w:r>
    </w:p>
    <w:p>
      <w:pPr>
        <w:pStyle w:val="Compact"/>
        <w:numPr>
          <w:ilvl w:val="0"/>
          <w:numId w:val="1147"/>
        </w:numPr>
      </w:pPr>
      <w:r>
        <w:t xml:space="preserve">Silica</w:t>
      </w:r>
    </w:p>
    <w:p>
      <w:pPr>
        <w:pStyle w:val="Compact"/>
        <w:numPr>
          <w:ilvl w:val="0"/>
          <w:numId w:val="1148"/>
        </w:numPr>
      </w:pPr>
      <w:r>
        <w:t xml:space="preserve">Probe</w:t>
      </w:r>
    </w:p>
    <w:bookmarkEnd w:id="153"/>
    <w:bookmarkStart w:id="154" w:name="overview-1"/>
    <w:p>
      <w:pPr>
        <w:pStyle w:val="Heading3"/>
      </w:pPr>
      <w:r>
        <w:t xml:space="preserve">Overview</w:t>
      </w:r>
    </w:p>
    <w:p>
      <w:pPr>
        <w:pStyle w:val="FirstParagraph"/>
      </w:pPr>
      <w:r>
        <w:t xml:space="preserve">The goal of this supplement is to prepare fungal tissue for DNA extraction and sequencing. The cellophane overlay method was implemented to obtain pure tissue conducive to clean DNA extractions (Fig. 1).</w:t>
      </w:r>
    </w:p>
    <w:p>
      <w:pPr>
        <w:pStyle w:val="BodyText"/>
      </w:pPr>
      <w:r>
        <w:t xml:space="preserve">Figure 1 - Using aseptic techniques (step 1), prepare agar plates and arrange a sterile location for transfer. Add one disk of sterile cellophane to each plate (step 2) and inoculate with the fungal isolate, avoiding the transfer of residual agar, in the center of the disk (step 3). Allow the fungus to grow on top of the cellophane in a dark incubator at 26°C(step 4). Take the initial weight of the empty Eppendorf tube. After the cellophane disk is covered, peel the tissue to remove it and place it in the empty Eppendorf tube. Place the open tube in a jar with silica gel in the bottom. Cover the jar. Allow the tissue to dry for 4-7 days (step 5). Once the tissue is dry, close the tube and take the final weight. 1-2 grams of tissue should be recovered. Store the sample in a clean place. It is now ready for in-house DNA extraction or shipping. Figure created in BioRender. Knight, C. (2025) https://BioRender.com/s61a377</w:t>
      </w:r>
    </w:p>
    <w:bookmarkEnd w:id="154"/>
    <w:bookmarkStart w:id="155" w:name="instructions-2"/>
    <w:p>
      <w:pPr>
        <w:pStyle w:val="Heading3"/>
      </w:pPr>
      <w:r>
        <w:t xml:space="preserve">Instructions</w:t>
      </w:r>
    </w:p>
    <w:p>
      <w:pPr>
        <w:pStyle w:val="Compact"/>
        <w:numPr>
          <w:ilvl w:val="0"/>
          <w:numId w:val="1149"/>
        </w:numPr>
      </w:pPr>
      <w:r>
        <w:t xml:space="preserve">You will be harvesting fungal tissue from the cellophane PDA petri dishes.</w:t>
      </w:r>
    </w:p>
    <w:p>
      <w:pPr>
        <w:pStyle w:val="Compact"/>
        <w:numPr>
          <w:ilvl w:val="0"/>
          <w:numId w:val="1149"/>
        </w:numPr>
      </w:pPr>
      <w:r>
        <w:t xml:space="preserve">Use a laminar flow hood or set up flames to create a sterile environment. Clean your sterile area.</w:t>
      </w:r>
    </w:p>
    <w:p>
      <w:pPr>
        <w:pStyle w:val="Compact"/>
        <w:numPr>
          <w:ilvl w:val="0"/>
          <w:numId w:val="1149"/>
        </w:numPr>
      </w:pPr>
      <w:r>
        <w:t xml:space="preserve">Light your flame source. Dip your harvesting implement(s) (scalpel, forceps, and/or probe) into alcohol. Flame your implements and let it cool.</w:t>
      </w:r>
    </w:p>
    <w:p>
      <w:pPr>
        <w:pStyle w:val="Compact"/>
        <w:numPr>
          <w:ilvl w:val="0"/>
          <w:numId w:val="1149"/>
        </w:numPr>
      </w:pPr>
      <w:r>
        <w:t xml:space="preserve">Once cool, open your petri dish lid, and lay this facing upward on your workspace. Remove fungal tissue by scraping from cellophane. In some cases, the entire fungal tissue will easily peel from the cellophane. In some cases, the mycelia will be stuck to the cellophane. In this case, you will need to use some combination of instruments to remove the fungi from the cellophane (Figs 2 and 3, Videos 1 and 2).</w:t>
      </w:r>
    </w:p>
    <w:p>
      <w:pPr>
        <w:pStyle w:val="Compact"/>
        <w:numPr>
          <w:ilvl w:val="0"/>
          <w:numId w:val="1149"/>
        </w:numPr>
      </w:pPr>
      <w:r>
        <w:t xml:space="preserve">Place Eppendorf tubes into a jar filled with silica. The silica will allow you to stand up the tubes in the jar. Keep the lids of the Eppendorf tubes open to allow the tissue to dry.</w:t>
      </w:r>
    </w:p>
    <w:p>
      <w:pPr>
        <w:pStyle w:val="Compact"/>
        <w:numPr>
          <w:ilvl w:val="0"/>
          <w:numId w:val="1149"/>
        </w:numPr>
      </w:pPr>
      <w:r>
        <w:t xml:space="preserve">Seal silica-filled jar with the lid. Allow the tissue to dry for 5-10 days.</w:t>
      </w:r>
    </w:p>
    <w:p>
      <w:pPr>
        <w:pStyle w:val="Compact"/>
        <w:numPr>
          <w:ilvl w:val="0"/>
          <w:numId w:val="1149"/>
        </w:numPr>
      </w:pPr>
      <w:r>
        <w:t xml:space="preserve">Once the tissue is dry, remove the Eppendorf tubes from the silica jar and close the lids.</w:t>
      </w:r>
    </w:p>
    <w:p>
      <w:pPr>
        <w:pStyle w:val="Compact"/>
        <w:numPr>
          <w:ilvl w:val="0"/>
          <w:numId w:val="1149"/>
        </w:numPr>
      </w:pPr>
      <w:r>
        <w:t xml:space="preserve">Proceed to the Sample submission module.</w:t>
      </w:r>
    </w:p>
    <w:bookmarkEnd w:id="155"/>
    <w:bookmarkEnd w:id="156"/>
    <w:bookmarkEnd w:id="157"/>
    <w:bookmarkStart w:id="164" w:name="module-6-sample-submission"/>
    <w:p>
      <w:pPr>
        <w:pStyle w:val="Heading1"/>
      </w:pPr>
      <w:r>
        <w:t xml:space="preserve">Module 6: Sample Submission</w:t>
      </w:r>
    </w:p>
    <w:bookmarkStart w:id="163" w:name="module-6.1-myco-ed-sample-submission-sop"/>
    <w:p>
      <w:pPr>
        <w:pStyle w:val="Heading2"/>
      </w:pPr>
      <w:r>
        <w:t xml:space="preserve">Module 6.1 – Myco-Ed Sample Submission SOP</w:t>
      </w:r>
    </w:p>
    <w:bookmarkStart w:id="158" w:name="overview-2"/>
    <w:p>
      <w:pPr>
        <w:pStyle w:val="Heading3"/>
      </w:pPr>
      <w:r>
        <w:t xml:space="preserve">Overview</w:t>
      </w:r>
    </w:p>
    <w:p>
      <w:pPr>
        <w:pStyle w:val="FirstParagraph"/>
      </w:pPr>
      <w:r>
        <w:t xml:space="preserve">Use this document to submit fungal samples to Arizona Genomics Institute (AGI) for DNA extraction.</w:t>
      </w:r>
    </w:p>
    <w:bookmarkEnd w:id="158"/>
    <w:bookmarkStart w:id="159" w:name="definitions"/>
    <w:p>
      <w:pPr>
        <w:pStyle w:val="Heading3"/>
      </w:pPr>
      <w:r>
        <w:t xml:space="preserve">Definitions</w:t>
      </w:r>
    </w:p>
    <w:p>
      <w:pPr>
        <w:pStyle w:val="Compact"/>
        <w:numPr>
          <w:ilvl w:val="0"/>
          <w:numId w:val="1150"/>
        </w:numPr>
      </w:pPr>
      <w:r>
        <w:t xml:space="preserve">JGI = Joint Genomics Institute</w:t>
      </w:r>
    </w:p>
    <w:p>
      <w:pPr>
        <w:pStyle w:val="Compact"/>
        <w:numPr>
          <w:ilvl w:val="0"/>
          <w:numId w:val="1150"/>
        </w:numPr>
      </w:pPr>
      <w:r>
        <w:t xml:space="preserve">AGI = Arizona Genome Institute</w:t>
      </w:r>
    </w:p>
    <w:bookmarkEnd w:id="159"/>
    <w:bookmarkStart w:id="160" w:name="associated-documents"/>
    <w:p>
      <w:pPr>
        <w:pStyle w:val="Heading3"/>
      </w:pPr>
      <w:r>
        <w:t xml:space="preserve">Associated Documents</w:t>
      </w:r>
    </w:p>
    <w:p>
      <w:pPr>
        <w:pStyle w:val="FirstParagraph"/>
      </w:pPr>
      <w:r>
        <w:t xml:space="preserve">MycoEd Metadata Form</w:t>
      </w:r>
    </w:p>
    <w:bookmarkEnd w:id="160"/>
    <w:bookmarkStart w:id="161" w:name="process-steps"/>
    <w:p>
      <w:pPr>
        <w:pStyle w:val="Heading3"/>
      </w:pPr>
      <w:r>
        <w:t xml:space="preserve">Process Steps</w:t>
      </w:r>
    </w:p>
    <w:p>
      <w:pPr>
        <w:pStyle w:val="Compact"/>
        <w:numPr>
          <w:ilvl w:val="0"/>
          <w:numId w:val="1151"/>
        </w:numPr>
      </w:pPr>
      <w:r>
        <w:t xml:space="preserve">Create a JGI Single Sign on Account</w:t>
      </w:r>
    </w:p>
    <w:p>
      <w:pPr>
        <w:pStyle w:val="Compact"/>
        <w:numPr>
          <w:ilvl w:val="0"/>
          <w:numId w:val="1151"/>
        </w:numPr>
      </w:pPr>
      <w:r>
        <w:t xml:space="preserve">Email photos of the live tissue you intend to send AGI before collection to JTALAG@email.arizona.edu and kwbarry@lbl.gov.</w:t>
      </w:r>
    </w:p>
    <w:p>
      <w:pPr>
        <w:pStyle w:val="Compact"/>
        <w:numPr>
          <w:ilvl w:val="0"/>
          <w:numId w:val="1151"/>
        </w:numPr>
      </w:pPr>
      <w:r>
        <w:t xml:space="preserve">Make a copy of the MycoEd Metadata Form</w:t>
      </w:r>
    </w:p>
    <w:p>
      <w:pPr>
        <w:pStyle w:val="Compact"/>
        <w:numPr>
          <w:ilvl w:val="1"/>
          <w:numId w:val="1152"/>
        </w:numPr>
      </w:pPr>
      <w:r>
        <w:t xml:space="preserve">Click on MycoEd Metadata Form link</w:t>
      </w:r>
    </w:p>
    <w:p>
      <w:pPr>
        <w:pStyle w:val="Compact"/>
        <w:numPr>
          <w:ilvl w:val="1"/>
          <w:numId w:val="1152"/>
        </w:numPr>
      </w:pPr>
      <w:r>
        <w:t xml:space="preserve">Under file, select Make a Copy</w:t>
      </w:r>
    </w:p>
    <w:p>
      <w:pPr>
        <w:pStyle w:val="Compact"/>
        <w:numPr>
          <w:ilvl w:val="1"/>
          <w:numId w:val="1152"/>
        </w:numPr>
      </w:pPr>
      <w:r>
        <w:t xml:space="preserve">Rename your new copy [University][Instructor Last Name][MycoEd Metadata][Date]</w:t>
      </w:r>
    </w:p>
    <w:p>
      <w:pPr>
        <w:pStyle w:val="Compact"/>
        <w:numPr>
          <w:ilvl w:val="0"/>
          <w:numId w:val="1151"/>
        </w:numPr>
      </w:pPr>
      <w:r>
        <w:t xml:space="preserve">Fill out your copy of the MycoEd Metadata Form</w:t>
      </w:r>
    </w:p>
    <w:p>
      <w:pPr>
        <w:pStyle w:val="Compact"/>
        <w:numPr>
          <w:ilvl w:val="1"/>
          <w:numId w:val="1153"/>
        </w:numPr>
      </w:pPr>
      <w:r>
        <w:t xml:space="preserve">Professor is the instructor for the class and their email address</w:t>
      </w:r>
    </w:p>
    <w:p>
      <w:pPr>
        <w:pStyle w:val="Compact"/>
        <w:numPr>
          <w:ilvl w:val="1"/>
          <w:numId w:val="1153"/>
        </w:numPr>
      </w:pPr>
      <w:r>
        <w:t xml:space="preserve">Name of the University/Institution is your University/Institution</w:t>
      </w:r>
    </w:p>
    <w:p>
      <w:pPr>
        <w:pStyle w:val="Compact"/>
        <w:numPr>
          <w:ilvl w:val="1"/>
          <w:numId w:val="1153"/>
        </w:numPr>
      </w:pPr>
      <w:r>
        <w:t xml:space="preserve">Date submitted/shipped is the date you ship the samples to AGI</w:t>
      </w:r>
    </w:p>
    <w:p>
      <w:pPr>
        <w:pStyle w:val="Compact"/>
        <w:numPr>
          <w:ilvl w:val="1"/>
          <w:numId w:val="1153"/>
        </w:numPr>
      </w:pPr>
      <w:r>
        <w:t xml:space="preserve">JGI proposal name &amp; number is DS 509937 (already provided)</w:t>
      </w:r>
    </w:p>
    <w:p>
      <w:pPr>
        <w:pStyle w:val="Compact"/>
        <w:numPr>
          <w:ilvl w:val="0"/>
          <w:numId w:val="1151"/>
        </w:numPr>
      </w:pPr>
      <w:r>
        <w:t xml:space="preserve">Fill out Sample Table</w:t>
      </w:r>
    </w:p>
    <w:p>
      <w:pPr>
        <w:pStyle w:val="Compact"/>
        <w:numPr>
          <w:ilvl w:val="1"/>
          <w:numId w:val="1154"/>
        </w:numPr>
      </w:pPr>
      <w:r>
        <w:t xml:space="preserve">Enter requested metadata into the table</w:t>
      </w:r>
    </w:p>
    <w:p>
      <w:pPr>
        <w:pStyle w:val="Compact"/>
        <w:numPr>
          <w:ilvl w:val="1"/>
          <w:numId w:val="1154"/>
        </w:numPr>
      </w:pPr>
      <w:r>
        <w:t xml:space="preserve">Use one row per sample/tube</w:t>
      </w:r>
    </w:p>
    <w:p>
      <w:pPr>
        <w:pStyle w:val="Compact"/>
        <w:numPr>
          <w:ilvl w:val="1"/>
          <w:numId w:val="1154"/>
        </w:numPr>
      </w:pPr>
      <w:r>
        <w:t xml:space="preserve">Insert additional rows if needed</w:t>
      </w:r>
    </w:p>
    <w:p>
      <w:pPr>
        <w:pStyle w:val="Compact"/>
        <w:numPr>
          <w:ilvl w:val="1"/>
          <w:numId w:val="1154"/>
        </w:numPr>
      </w:pPr>
      <w:r>
        <w:t xml:space="preserve">Columns with gray field headers, B and D, will be filled out by JGI</w:t>
      </w:r>
    </w:p>
    <w:p>
      <w:pPr>
        <w:pStyle w:val="Compact"/>
        <w:numPr>
          <w:ilvl w:val="1"/>
          <w:numId w:val="1154"/>
        </w:numPr>
      </w:pPr>
      <w:r>
        <w:t xml:space="preserve">For Column C, Sample Name - please use below convention for naming: [University][Plant][Plant tissue] Metagenome [Sample ID]</w:t>
      </w:r>
    </w:p>
    <w:p>
      <w:pPr>
        <w:pStyle w:val="Compact"/>
        <w:numPr>
          <w:ilvl w:val="1"/>
          <w:numId w:val="1154"/>
        </w:numPr>
      </w:pPr>
      <w:r>
        <w:t xml:space="preserve">Column G is only needed if you are sending more than 22 samples</w:t>
      </w:r>
    </w:p>
    <w:p>
      <w:pPr>
        <w:pStyle w:val="Compact"/>
        <w:numPr>
          <w:ilvl w:val="1"/>
          <w:numId w:val="1154"/>
        </w:numPr>
      </w:pPr>
      <w:r>
        <w:t xml:space="preserve">Student is the full name of student that collected the sample and their email address</w:t>
      </w:r>
    </w:p>
    <w:p>
      <w:pPr>
        <w:pStyle w:val="Compact"/>
        <w:numPr>
          <w:ilvl w:val="1"/>
          <w:numId w:val="1154"/>
        </w:numPr>
      </w:pPr>
      <w:r>
        <w:t xml:space="preserve">Columns with Yellow Header, X-AF, will be filled out by AGI after DNA extraction</w:t>
      </w:r>
    </w:p>
    <w:p>
      <w:pPr>
        <w:pStyle w:val="Compact"/>
        <w:numPr>
          <w:ilvl w:val="0"/>
          <w:numId w:val="1151"/>
        </w:numPr>
      </w:pPr>
      <w:r>
        <w:t xml:space="preserve">Email form to AGI &amp; JGI</w:t>
      </w:r>
    </w:p>
    <w:p>
      <w:pPr>
        <w:pStyle w:val="Compact"/>
        <w:numPr>
          <w:ilvl w:val="1"/>
          <w:numId w:val="1155"/>
        </w:numPr>
      </w:pPr>
      <w:r>
        <w:t xml:space="preserve">Once all required metadata is provided, download a copy to excel</w:t>
      </w:r>
    </w:p>
    <w:p>
      <w:pPr>
        <w:pStyle w:val="Compact"/>
        <w:numPr>
          <w:ilvl w:val="1"/>
          <w:numId w:val="1155"/>
        </w:numPr>
      </w:pPr>
      <w:r>
        <w:t xml:space="preserve">Email a copy to Jayson at (jtalag@ag.arizona.edu ) and Kerrie (kwbarry@lbl.gov).</w:t>
      </w:r>
    </w:p>
    <w:p>
      <w:pPr>
        <w:pStyle w:val="Compact"/>
        <w:numPr>
          <w:ilvl w:val="1"/>
          <w:numId w:val="1155"/>
        </w:numPr>
      </w:pPr>
      <w:r>
        <w:t xml:space="preserve">Include in the subject line of your email</w:t>
      </w:r>
      <w:r>
        <w:t xml:space="preserve"> </w:t>
      </w:r>
      <w:r>
        <w:t xml:space="preserve">“MyCoEd 509937”</w:t>
      </w:r>
      <w:r>
        <w:t xml:space="preserve"> </w:t>
      </w:r>
      <w:r>
        <w:t xml:space="preserve">[Professor’s Name][University/Institution]</w:t>
      </w:r>
      <w:r>
        <w:t xml:space="preserve"> </w:t>
      </w:r>
      <w:r>
        <w:t xml:space="preserve">“Sample Submission”</w:t>
      </w:r>
    </w:p>
    <w:p>
      <w:pPr>
        <w:pStyle w:val="Compact"/>
        <w:numPr>
          <w:ilvl w:val="1"/>
          <w:numId w:val="1155"/>
        </w:numPr>
      </w:pPr>
      <w:r>
        <w:t xml:space="preserve">Include in your email your name, your college/university, the exact name of your samples (column D) that are ready to ship to AGI (and the rows in this sheet).</w:t>
      </w:r>
    </w:p>
    <w:p>
      <w:pPr>
        <w:pStyle w:val="Compact"/>
        <w:numPr>
          <w:ilvl w:val="1"/>
          <w:numId w:val="1155"/>
        </w:numPr>
      </w:pPr>
      <w:r>
        <w:t xml:space="preserve">Wait for approval/confirmation from AGI &amp; JGI.</w:t>
      </w:r>
    </w:p>
    <w:p>
      <w:pPr>
        <w:pStyle w:val="Compact"/>
        <w:numPr>
          <w:ilvl w:val="2"/>
          <w:numId w:val="1156"/>
        </w:numPr>
      </w:pPr>
      <w:r>
        <w:t xml:space="preserve">If needed make requested changed and email updated copy</w:t>
      </w:r>
    </w:p>
    <w:p>
      <w:pPr>
        <w:pStyle w:val="Compact"/>
        <w:numPr>
          <w:ilvl w:val="0"/>
          <w:numId w:val="1151"/>
        </w:numPr>
      </w:pPr>
      <w:r>
        <w:t xml:space="preserve">Prepare samples for shipment</w:t>
      </w:r>
    </w:p>
    <w:p>
      <w:pPr>
        <w:pStyle w:val="Compact"/>
        <w:numPr>
          <w:ilvl w:val="1"/>
          <w:numId w:val="1157"/>
        </w:numPr>
      </w:pPr>
    </w:p>
    <w:p>
      <w:pPr>
        <w:pStyle w:val="Compact"/>
        <w:numPr>
          <w:ilvl w:val="2"/>
          <w:numId w:val="1158"/>
        </w:numPr>
      </w:pPr>
      <w:r>
        <w:t xml:space="preserve">Print out (in Landscape orientation) the paper copy of the Myco-Ed Metadata Form and put it with the shipment and also email the completed sheet to: JTALAG@email.arizona.edu, and kwbarry@lbl.gov</w:t>
      </w:r>
    </w:p>
    <w:p>
      <w:pPr>
        <w:pStyle w:val="Compact"/>
        <w:numPr>
          <w:ilvl w:val="1"/>
          <w:numId w:val="1157"/>
        </w:numPr>
      </w:pPr>
      <w:r>
        <w:t xml:space="preserve">Email FEDEX tracking # when your shipment is picked up.</w:t>
      </w:r>
    </w:p>
    <w:p>
      <w:pPr>
        <w:pStyle w:val="Compact"/>
        <w:numPr>
          <w:ilvl w:val="1"/>
          <w:numId w:val="1157"/>
        </w:numPr>
      </w:pPr>
      <w:r>
        <w:t xml:space="preserve">Ship samples to</w:t>
      </w:r>
      <w:r>
        <w:t xml:space="preserve"> </w:t>
      </w:r>
      <w:r>
        <w:t xml:space="preserve">Jayson Talag</w:t>
      </w:r>
      <w:r>
        <w:t xml:space="preserve"> </w:t>
      </w:r>
      <w:r>
        <w:t xml:space="preserve">1657 E. Helen St.</w:t>
      </w:r>
      <w:r>
        <w:t xml:space="preserve"> </w:t>
      </w:r>
      <w:r>
        <w:t xml:space="preserve">The University of Arizona</w:t>
      </w:r>
      <w:r>
        <w:t xml:space="preserve"> </w:t>
      </w:r>
      <w:r>
        <w:t xml:space="preserve">Tucson, AZ 85721</w:t>
      </w:r>
      <w:r>
        <w:t xml:space="preserve"> </w:t>
      </w:r>
      <w:r>
        <w:t xml:space="preserve">United States</w:t>
      </w:r>
      <w:r>
        <w:t xml:space="preserve"> </w:t>
      </w:r>
      <w:r>
        <w:t xml:space="preserve">Ph: 520-626-9596</w:t>
      </w:r>
    </w:p>
    <w:bookmarkEnd w:id="161"/>
    <w:bookmarkStart w:id="162" w:name="high-molecular-dna-extraction-protocol"/>
    <w:p>
      <w:pPr>
        <w:pStyle w:val="Heading3"/>
      </w:pPr>
      <w:r>
        <w:t xml:space="preserve">High Molecular DNA Extraction Protocol</w:t>
      </w:r>
    </w:p>
    <w:p>
      <w:pPr>
        <w:pStyle w:val="FirstParagraph"/>
      </w:pPr>
      <w:r>
        <w:t xml:space="preserve">The AGI uses the following high molecular DNA extraction protocol:</w:t>
      </w:r>
    </w:p>
    <w:p>
      <w:pPr>
        <w:pStyle w:val="BodyText"/>
      </w:pPr>
      <w:r>
        <w:t xml:space="preserve">High molecular weight DNA is extracted from (biomass) using the protocol of</w:t>
      </w:r>
      <w:r>
        <w:t xml:space="preserve"> </w:t>
      </w:r>
      <w:r>
        <w:t xml:space="preserve">Doyle and Doyle (1987)</w:t>
      </w:r>
      <w:r>
        <w:t xml:space="preserve"> </w:t>
      </w:r>
      <w:r>
        <w:t xml:space="preserve">with minor modifications. Flash-frozen biomass is ground to a fine powder in a frozen mortar with liquid nitrogen followed by very gentle extraction in 2% CTAB buffer (that includes proteinase K, PVP-40 and beta-mercaptoethanol) for 30min to 1h at 50 °C. After centrifugation, the supernatant is transferred to a new tube, treated with 200ul 50mM PSMF for 10 minutes at room temperature then gently extracted twice with 24:1 Chloroform : Isoamyl alcohol. The upper phase is transferred to a new tube and 1/10th volume 3 M Sodium acetate is added, gently mixed, and DNA precipitated with iso-propanol. DNA precipitate is collected by centrifugation, washed with 70% ethanol, air dried for 5-10 minutes and dissolved thoroughly in elution buffer at room temperature followed by RNAse treatment. DNA purity is measured with Nanodrop, DNA concentration measured with Qubit HS kit (Invitrogen) and DNA size is validated by Femto Pulse System (Agilent).</w:t>
      </w:r>
    </w:p>
    <w:bookmarkEnd w:id="162"/>
    <w:bookmarkEnd w:id="163"/>
    <w:bookmarkEnd w:id="164"/>
    <w:bookmarkStart w:id="182" w:name="module-7-genomic-analyses"/>
    <w:p>
      <w:pPr>
        <w:pStyle w:val="Heading1"/>
      </w:pPr>
      <w:r>
        <w:t xml:space="preserve">Module 7: Genomic Analyses</w:t>
      </w:r>
    </w:p>
    <w:bookmarkStart w:id="172" w:name="X46999d4e04aaa0bd6e7f1cf0936f3283e50c93c"/>
    <w:p>
      <w:pPr>
        <w:pStyle w:val="Heading2"/>
      </w:pPr>
      <w:r>
        <w:t xml:space="preserve">Module 7.1 – Sexual Reproduction in Ascomycota Genomic Analysis</w:t>
      </w:r>
    </w:p>
    <w:bookmarkStart w:id="165" w:name="introduction-5"/>
    <w:p>
      <w:pPr>
        <w:pStyle w:val="Heading3"/>
      </w:pPr>
      <w:r>
        <w:t xml:space="preserve">Introduction</w:t>
      </w:r>
    </w:p>
    <w:p>
      <w:pPr>
        <w:pStyle w:val="FirstParagraph"/>
      </w:pPr>
      <w:r>
        <w:t xml:space="preserve">Fungal sexual reproduction is complicated. Unlike animals, where usually only 2 opposite mates are observed, some fungi can have hundreds to thousands of different mates (Casselton &amp; Olesnicky, 1998)! Beyond granting the ability to mix genetic material, sexual reproduction has additional importance in fungi since reproductive structures are often more hearty and capable of overwintering, meaning their presence can seriously complicate disease management practices. Undergoing sexual reproduction also provides an important cleaning mechanism for some fungi, enabling them to treat their genomes and remove transposons using processes like Repeat Induced Point mutations, or RIP (Cambareri et al., 1991). In this exercise, we will learn how to determine mating types in Ascomycota using MycoCosm. Compared to most other fungi, Ascomycetes have a relatively simple mating system, where only two types are observed. Here, we will focus on the genus Neurospora where the mating types are simply named</w:t>
      </w:r>
      <w:r>
        <w:t xml:space="preserve"> </w:t>
      </w:r>
      <w:r>
        <w:t xml:space="preserve">“A”</w:t>
      </w:r>
      <w:r>
        <w:t xml:space="preserve"> </w:t>
      </w:r>
      <w:r>
        <w:t xml:space="preserve">and</w:t>
      </w:r>
      <w:r>
        <w:t xml:space="preserve"> </w:t>
      </w:r>
      <w:r>
        <w:t xml:space="preserve">“a”</w:t>
      </w:r>
      <w:r>
        <w:t xml:space="preserve"> </w:t>
      </w:r>
      <w:r>
        <w:t xml:space="preserve">(Metzenberg &amp; Glass, 1990).</w:t>
      </w:r>
    </w:p>
    <w:p>
      <w:pPr>
        <w:pStyle w:val="BodyText"/>
      </w:pPr>
      <w:r>
        <w:t xml:space="preserve">What we know for this exercise: Several mating type-related genes have already been identified. These control the initiation of sexual reproduction. They are mostly transcription factors, which you can think of as highly specialized workers: each has a unique</w:t>
      </w:r>
      <w:r>
        <w:t xml:space="preserve"> </w:t>
      </w:r>
      <w:r>
        <w:t xml:space="preserve">‘skillset’</w:t>
      </w:r>
      <w:r>
        <w:t xml:space="preserve"> </w:t>
      </w:r>
      <w:r>
        <w:t xml:space="preserve">(genes) that they control (turn on or off) to perform some task (in this case, regulate reproduction-related machinery).</w:t>
      </w:r>
    </w:p>
    <w:p>
      <w:pPr>
        <w:pStyle w:val="BodyText"/>
      </w:pPr>
      <w:r>
        <w:t xml:space="preserve">How are mating types determined in fungi? Are the same genes found in both mating types, but regulated differently? Or, are there genes unique to each mating type that are responsible for this? Using comparative genomic approaches, let’s try and find out!</w:t>
      </w:r>
    </w:p>
    <w:p>
      <w:pPr>
        <w:pStyle w:val="BodyText"/>
      </w:pPr>
      <w:r>
        <w:t xml:space="preserve">Beginning with known mating type-related genes collected from NCBI, we will use MycoCosm to branch out into related fungi, identify opposite mates, then formulate hypotheses and learn about the genetics underlying fungal sexual regulation. This approach can be directly applied to predict mating types in other fungi, or used to explore presence/absence of other types of genes!</w:t>
      </w:r>
    </w:p>
    <w:bookmarkEnd w:id="165"/>
    <w:bookmarkStart w:id="166" w:name="references"/>
    <w:p>
      <w:pPr>
        <w:pStyle w:val="Heading3"/>
      </w:pPr>
      <w:r>
        <w:t xml:space="preserve">References</w:t>
      </w:r>
    </w:p>
    <w:p>
      <w:pPr>
        <w:pStyle w:val="Compact"/>
        <w:numPr>
          <w:ilvl w:val="0"/>
          <w:numId w:val="1159"/>
        </w:numPr>
      </w:pPr>
      <w:r>
        <w:t xml:space="preserve">Casselton, L.A., Olesnicky, N.S., 1998. Molecular Genetics of Mating Recognition in Basidiomycete Fungi. Microbiol Mol Biol Rev., 62(1): 55–70. doi: 10.1128/mmbr.62.1.55-70.1998</w:t>
      </w:r>
    </w:p>
    <w:p>
      <w:pPr>
        <w:pStyle w:val="Compact"/>
        <w:numPr>
          <w:ilvl w:val="0"/>
          <w:numId w:val="1159"/>
        </w:numPr>
      </w:pPr>
      <w:r>
        <w:t xml:space="preserve">Cambareri, E.B., Singer, M.J., Selker, E.U., 1991. Recurrence of repeat-induced point mutation (RIP) in Neurospora crassa. Genetics, 127(4):699-710. doi: 10.1093/genetics/127.4.699.</w:t>
      </w:r>
    </w:p>
    <w:p>
      <w:pPr>
        <w:pStyle w:val="Compact"/>
        <w:numPr>
          <w:ilvl w:val="0"/>
          <w:numId w:val="1159"/>
        </w:numPr>
      </w:pPr>
      <w:r>
        <w:t xml:space="preserve">Metzenberg, R.L., Glass, N.L., 1990. Mating type and mating strategies in Neurospora. Bioessays. 1990 Feb;12(2):53-9. doi: 10.1002/bies.950120202.</w:t>
      </w:r>
    </w:p>
    <w:bookmarkEnd w:id="166"/>
    <w:bookmarkStart w:id="171" w:name="finding-mat-a"/>
    <w:p>
      <w:pPr>
        <w:pStyle w:val="Heading3"/>
      </w:pPr>
      <w:r>
        <w:t xml:space="preserve">Finding mat A</w:t>
      </w:r>
    </w:p>
    <w:bookmarkStart w:id="167" w:name="X7f096d5f839edc277e9e3518d4dabc1a4e71251"/>
    <w:p>
      <w:pPr>
        <w:pStyle w:val="Heading4"/>
      </w:pPr>
      <w:r>
        <w:t xml:space="preserve">Locate mat A locus in the Neurospora crassa OR74A genome</w:t>
      </w:r>
    </w:p>
    <w:p>
      <w:pPr>
        <w:pStyle w:val="FirstParagraph"/>
      </w:pPr>
      <w:r>
        <w:t xml:space="preserve">To guide our exploration, let’s create a testable hypothesis. Being informative and straightforward, let’s hypothesize that mating type is determined by the presence/absence of specific genes. Given what we know about mating in Neurospora, a good starting point would be the mat A locus. It is composed of 3 genes, mat A-1, mat A-2, and mat A-3.</w:t>
      </w:r>
    </w:p>
    <w:p>
      <w:pPr>
        <w:pStyle w:val="Compact"/>
        <w:numPr>
          <w:ilvl w:val="0"/>
          <w:numId w:val="1160"/>
        </w:numPr>
      </w:pPr>
      <w:r>
        <w:t xml:space="preserve">Start by visiting NCBI (https://www.ncbi.nlm.nih.gov/) and collecting a reference sequence. Go to the nucleotide database and search for</w:t>
      </w:r>
      <w:r>
        <w:t xml:space="preserve"> </w:t>
      </w:r>
      <w:r>
        <w:t xml:space="preserve">“Neurospora crassa OR74A mating-type protein A-1 (matA-1), mRNA”</w:t>
      </w:r>
      <w:r>
        <w:t xml:space="preserve">.</w:t>
      </w:r>
    </w:p>
    <w:p>
      <w:pPr>
        <w:pStyle w:val="Compact"/>
        <w:numPr>
          <w:ilvl w:val="0"/>
          <w:numId w:val="1160"/>
        </w:numPr>
      </w:pPr>
      <w:r>
        <w:t xml:space="preserve">Find the matching record,</w:t>
      </w:r>
      <w:r>
        <w:t xml:space="preserve"> </w:t>
      </w:r>
      <w:r>
        <w:t xml:space="preserve">“Neurospora crassa OR74A mating-type protein A-1 (matA-1), mRNA”</w:t>
      </w:r>
      <w:r>
        <w:t xml:space="preserve"> </w:t>
      </w:r>
      <w:r>
        <w:t xml:space="preserve">and collect the corresponding nucleotide sequence by clicking the</w:t>
      </w:r>
      <w:r>
        <w:t xml:space="preserve"> </w:t>
      </w:r>
      <w:r>
        <w:t xml:space="preserve">‘FASTA’</w:t>
      </w:r>
      <w:r>
        <w:t xml:space="preserve"> </w:t>
      </w:r>
      <w:r>
        <w:t xml:space="preserve">link (see below), then select and copy the sequence.</w:t>
      </w:r>
    </w:p>
    <w:p>
      <w:pPr>
        <w:pStyle w:val="Compact"/>
        <w:numPr>
          <w:ilvl w:val="0"/>
          <w:numId w:val="1160"/>
        </w:numPr>
      </w:pPr>
      <w:r>
        <w:t xml:space="preserve">Let’s find the location of this gene in the genome! Go to the Neucr2 MycoCosm portal (https://mycocosm.jgi.doe.gov/Neucr2) and search for it using the BLAST tool.</w:t>
      </w:r>
    </w:p>
    <w:p>
      <w:pPr>
        <w:pStyle w:val="Compact"/>
        <w:numPr>
          <w:ilvl w:val="0"/>
          <w:numId w:val="1160"/>
        </w:numPr>
      </w:pPr>
      <w:r>
        <w:t xml:space="preserve">Click the BLAST tab, paste your sequence into the query sequence box. Using blastn, select the filtered model transcripts set and click the</w:t>
      </w:r>
      <w:r>
        <w:t xml:space="preserve"> </w:t>
      </w:r>
      <w:r>
        <w:t xml:space="preserve">‘Run blastn’</w:t>
      </w:r>
      <w:r>
        <w:t xml:space="preserve"> </w:t>
      </w:r>
      <w:r>
        <w:t xml:space="preserve">button.</w:t>
      </w:r>
    </w:p>
    <w:p>
      <w:pPr>
        <w:pStyle w:val="Compact"/>
        <w:numPr>
          <w:ilvl w:val="0"/>
          <w:numId w:val="1160"/>
        </w:numPr>
      </w:pPr>
      <w:r>
        <w:t xml:space="preserve">You should see two hits, each shown in a separate row.</w:t>
      </w:r>
    </w:p>
    <w:p>
      <w:pPr>
        <w:pStyle w:val="Compact"/>
        <w:numPr>
          <w:ilvl w:val="1"/>
          <w:numId w:val="1161"/>
        </w:numPr>
      </w:pPr>
      <w:r>
        <w:t xml:space="preserve">The first column shows the portal ID and transcript ID (since we are searching against nucleotides) of the hit. Portal IDs are unique identifiers assigned to each genome. For example, Neucr2 is the portal ID for Neurospora crassa OR74A, and it can be used to access the portal (e.g. https://mycocosm.jgi.doe.gov/Neucr2). This unique identifier is also displayed across various portal pages to label data from a particular organism.</w:t>
      </w:r>
    </w:p>
    <w:p>
      <w:pPr>
        <w:pStyle w:val="Compact"/>
        <w:numPr>
          <w:ilvl w:val="1"/>
          <w:numId w:val="1161"/>
        </w:numPr>
      </w:pPr>
      <w:r>
        <w:t xml:space="preserve">The second column shows an alignment of that sequence against your query, which is helpful for seeing how well hits cover your query sequence.</w:t>
      </w:r>
    </w:p>
    <w:p>
      <w:pPr>
        <w:pStyle w:val="Compact"/>
        <w:numPr>
          <w:ilvl w:val="1"/>
          <w:numId w:val="1161"/>
        </w:numPr>
      </w:pPr>
      <w:r>
        <w:t xml:space="preserve">The score and EValue columns are also useful when assessing hit quality. Higher scores are better, and conversely, lower e-values are better.</w:t>
      </w:r>
    </w:p>
    <w:p>
      <w:pPr>
        <w:pStyle w:val="Compact"/>
        <w:numPr>
          <w:ilvl w:val="0"/>
          <w:numId w:val="1160"/>
        </w:numPr>
      </w:pPr>
      <w:r>
        <w:t xml:space="preserve">The first hit looks better. You can tell because the hit covers more of our query and the score is higher. Let’s explore the protein page for the best hit and look for evidence that this is actually mat A-1. Click on the identifier in the first column to access this page.</w:t>
      </w:r>
    </w:p>
    <w:p>
      <w:pPr>
        <w:pStyle w:val="Compact"/>
        <w:numPr>
          <w:ilvl w:val="0"/>
          <w:numId w:val="1160"/>
        </w:numPr>
      </w:pPr>
      <w:r>
        <w:t xml:space="preserve">Let’s explore the genome browser by clicking on the genome coordinates at the top of the page, in the</w:t>
      </w:r>
      <w:r>
        <w:t xml:space="preserve"> </w:t>
      </w:r>
      <w:r>
        <w:t xml:space="preserve">‘Location’</w:t>
      </w:r>
      <w:r>
        <w:t xml:space="preserve"> </w:t>
      </w:r>
      <w:r>
        <w:t xml:space="preserve">section (Above image, red arrow).</w:t>
      </w:r>
    </w:p>
    <w:p>
      <w:pPr>
        <w:pStyle w:val="Compact"/>
        <w:numPr>
          <w:ilvl w:val="0"/>
          <w:numId w:val="1160"/>
        </w:numPr>
      </w:pPr>
      <w:r>
        <w:t xml:space="preserve">After loading is complete (this might take a little while, lots of data are on this browser!), click on the -10x in the top middle portion of the page to get a bigger view (see image below).</w:t>
      </w:r>
    </w:p>
    <w:p>
      <w:pPr>
        <w:pStyle w:val="Compact"/>
        <w:numPr>
          <w:ilvl w:val="0"/>
          <w:numId w:val="1160"/>
        </w:numPr>
      </w:pPr>
      <w:r>
        <w:t xml:space="preserve">The genome browser will show you information we have available for a particular stretch of DNA sequence in your assembly. It contains details on whether we observed the same (or similar) stretch of DNA in a related organism (Vista tracks), predicted genes in that region/locus, and any other information we have. Other information can include messenger RNA expression (mRNA) levels, locations of blast hits for proteins from other fungi, and more! All of these other tracks can provide valuable information to understand fungal biology as well as evidence for validating gene predictions.</w:t>
      </w:r>
    </w:p>
    <w:p>
      <w:pPr>
        <w:pStyle w:val="Compact"/>
        <w:numPr>
          <w:ilvl w:val="0"/>
          <w:numId w:val="1160"/>
        </w:numPr>
      </w:pPr>
      <w:r>
        <w:t xml:space="preserve">You just found the mat A locus in N. crassa! In the position box in the upper left corner, you can see your location: Supercontig_1:1853928-1868957. Remember, if you are lost, every MycoCosm page has a HELP! tab you can access from the menu bar.</w:t>
      </w:r>
    </w:p>
    <w:p>
      <w:pPr>
        <w:pStyle w:val="Compact"/>
        <w:numPr>
          <w:ilvl w:val="0"/>
          <w:numId w:val="1160"/>
        </w:numPr>
      </w:pPr>
      <w:r>
        <w:t xml:space="preserve">Now that we are at the mating type locus, let’s look at the genes. In this case, genes were predicted at the Broad Institute instead of the JGI. Click on the small</w:t>
      </w:r>
      <w:r>
        <w:t xml:space="preserve"> </w:t>
      </w:r>
      <w:r>
        <w:t xml:space="preserve">‘+’</w:t>
      </w:r>
      <w:r>
        <w:t xml:space="preserve"> </w:t>
      </w:r>
      <w:r>
        <w:t xml:space="preserve">to the left of the</w:t>
      </w:r>
      <w:r>
        <w:t xml:space="preserve"> </w:t>
      </w:r>
      <w:r>
        <w:t xml:space="preserve">‘BroadModels’</w:t>
      </w:r>
      <w:r>
        <w:t xml:space="preserve"> </w:t>
      </w:r>
      <w:r>
        <w:t xml:space="preserve">track to view them.</w:t>
      </w:r>
    </w:p>
    <w:p>
      <w:pPr>
        <w:pStyle w:val="Compact"/>
        <w:numPr>
          <w:ilvl w:val="0"/>
          <w:numId w:val="1160"/>
        </w:numPr>
      </w:pPr>
      <w:r>
        <w:t xml:space="preserve">Note that some regions have 2 overlapping genes. These are called</w:t>
      </w:r>
      <w:r>
        <w:t xml:space="preserve"> </w:t>
      </w:r>
      <w:r>
        <w:t xml:space="preserve">‘isoforms’</w:t>
      </w:r>
      <w:r>
        <w:t xml:space="preserve">, which are variants of the same gene where RNA can be sliced in different ways to produce alternative transcripts and proteins (these are rare in fungi).</w:t>
      </w:r>
    </w:p>
    <w:p>
      <w:pPr>
        <w:pStyle w:val="Compact"/>
        <w:numPr>
          <w:ilvl w:val="0"/>
          <w:numId w:val="1160"/>
        </w:numPr>
      </w:pPr>
      <w:r>
        <w:t xml:space="preserve">In this region of the genome, you can see 5 genes (2 with isoforms). To learn more about what these genes might do, we can look at their protein pages. You can get to the protein page by clicking on the gene, then selecting</w:t>
      </w:r>
      <w:r>
        <w:t xml:space="preserve"> </w:t>
      </w:r>
      <w:r>
        <w:t xml:space="preserve">‘feature’</w:t>
      </w:r>
      <w:r>
        <w:t xml:space="preserve"> </w:t>
      </w:r>
      <w:r>
        <w:t xml:space="preserve">web page (or center mouse click on the gene to open it in a new tab). For convenience, here are links to the protein pages for all 5 genes in this region: NCU01961T0, NCU01960T0, NCU01959T0, NCU01958T0, NCU01957T0.</w:t>
      </w:r>
    </w:p>
    <w:p>
      <w:pPr>
        <w:pStyle w:val="Compact"/>
        <w:numPr>
          <w:ilvl w:val="0"/>
          <w:numId w:val="1160"/>
        </w:numPr>
      </w:pPr>
      <w:r>
        <w:t xml:space="preserve">Using the information on the protein page, can you find mat A-2 and mat-A3?</w:t>
      </w:r>
    </w:p>
    <w:p>
      <w:pPr>
        <w:pStyle w:val="Compact"/>
        <w:numPr>
          <w:ilvl w:val="0"/>
          <w:numId w:val="1160"/>
        </w:numPr>
      </w:pPr>
      <w:r>
        <w:t xml:space="preserve">At the mating type locus, do you notice anything interesting when exploring the read depth coverage plots (pink tracks) from related Neurospora genomes?</w:t>
      </w:r>
    </w:p>
    <w:p>
      <w:pPr>
        <w:pStyle w:val="Compact"/>
        <w:numPr>
          <w:ilvl w:val="0"/>
          <w:numId w:val="1160"/>
        </w:numPr>
      </w:pPr>
      <w:r>
        <w:t xml:space="preserve">Based on this information, let’s revisit our hypothesis about how fungal mating type is determined. Given that many related Neurospora crassa genomes are completely missing this region, this appears to support our hypothesis that fungal mating type is determined by gene presence/absence, and specifically suggests that this locus might be what we are looking for! This would mean that the fungi without this locus are of the opposite mating type. Let’s continue to test this hypothesis and see if it holds up to further scrutiny!</w:t>
      </w:r>
    </w:p>
    <w:bookmarkEnd w:id="167"/>
    <w:bookmarkStart w:id="168" w:name="X2940993da31089974a2c6c9fed6b821d862ffff"/>
    <w:p>
      <w:pPr>
        <w:pStyle w:val="Heading4"/>
      </w:pPr>
      <w:r>
        <w:t xml:space="preserve">Exploring mating type in related Neurospora</w:t>
      </w:r>
    </w:p>
    <w:p>
      <w:pPr>
        <w:pStyle w:val="FirstParagraph"/>
      </w:pPr>
      <w:r>
        <w:t xml:space="preserve">Let’s try to find mat A genes in related genomes. We can start by selecting a representative gene and then searching gene families present on the mcl clusters page.</w:t>
      </w:r>
    </w:p>
    <w:p>
      <w:pPr>
        <w:pStyle w:val="Compact"/>
        <w:numPr>
          <w:ilvl w:val="0"/>
          <w:numId w:val="1162"/>
        </w:numPr>
      </w:pPr>
      <w:r>
        <w:t xml:space="preserve">Go to the MCL clusters tab. The MCL page displays information on gene families present across a set of related genomes. You can use it to filter gene families and identify those that fit specific criteria you are interested in.</w:t>
      </w:r>
    </w:p>
    <w:p>
      <w:pPr>
        <w:pStyle w:val="Compact"/>
        <w:numPr>
          <w:ilvl w:val="0"/>
          <w:numId w:val="1162"/>
        </w:numPr>
      </w:pPr>
      <w:r>
        <w:t xml:space="preserve">We can also use this page to search for specific proteins of interest. Using the protein ID you gathered earlier from either mat A-2 or mat A-3, in the</w:t>
      </w:r>
      <w:r>
        <w:t xml:space="preserve"> </w:t>
      </w:r>
      <w:r>
        <w:t xml:space="preserve">‘filter by keywords’</w:t>
      </w:r>
      <w:r>
        <w:t xml:space="preserve"> </w:t>
      </w:r>
      <w:r>
        <w:t xml:space="preserve">field, type: portalID.proteinId (e.g. Neucr2.487), then hit enter.</w:t>
      </w:r>
    </w:p>
    <w:p>
      <w:pPr>
        <w:pStyle w:val="Compact"/>
        <w:numPr>
          <w:ilvl w:val="0"/>
          <w:numId w:val="1162"/>
        </w:numPr>
      </w:pPr>
      <w:r>
        <w:t xml:space="preserve">You should see a single cluster appear. It looks like this gene is missing from one of these genomes! Actually, all 3 genes from the mat A locus are missing in this lineage. This is not surprising given what we saw earlier on the genome browser (Step 14 from the</w:t>
      </w:r>
      <w:r>
        <w:t xml:space="preserve"> </w:t>
      </w:r>
      <w:r>
        <w:t xml:space="preserve">‘Finding mat A’</w:t>
      </w:r>
      <w:r>
        <w:t xml:space="preserve"> </w:t>
      </w:r>
      <w:r>
        <w:t xml:space="preserve">section).</w:t>
      </w:r>
    </w:p>
    <w:p>
      <w:pPr>
        <w:pStyle w:val="Compact"/>
        <w:numPr>
          <w:ilvl w:val="0"/>
          <w:numId w:val="1162"/>
        </w:numPr>
      </w:pPr>
      <w:r>
        <w:t xml:space="preserve">Hover over the lineage name and you will get a clue as to why this might be. Specifically, this strain is named Neurospora tetrasperma FGSC 2509 mat a, telling us that the organism lacking these genes is the opposite mate!</w:t>
      </w:r>
    </w:p>
    <w:p>
      <w:pPr>
        <w:pStyle w:val="Compact"/>
        <w:numPr>
          <w:ilvl w:val="0"/>
          <w:numId w:val="1162"/>
        </w:numPr>
      </w:pPr>
      <w:r>
        <w:t xml:space="preserve">You can take a closer look at gene families by clicking on the cluster number to the left of the donut plots (see above figure). This page will show you details on all genes (rows) that are part of this gene family. Click on the synteny view and make some observations.</w:t>
      </w:r>
    </w:p>
    <w:p>
      <w:pPr>
        <w:pStyle w:val="Compact"/>
        <w:numPr>
          <w:ilvl w:val="0"/>
          <w:numId w:val="1162"/>
        </w:numPr>
      </w:pPr>
      <w:r>
        <w:t xml:space="preserve">Genes rearrange all the time in fungi, leading to poor conservation of gene neighborhoods. As you can see from this view, the genes surrounding the mating type locus are an exception, where across all species they tend to keep the same order. Feel free to head back to the full mcl clustering run (here) and click around on some families to see how different it really is!</w:t>
      </w:r>
    </w:p>
    <w:bookmarkEnd w:id="168"/>
    <w:bookmarkStart w:id="169" w:name="finding-mat-a-1"/>
    <w:p>
      <w:pPr>
        <w:pStyle w:val="Heading4"/>
      </w:pPr>
      <w:r>
        <w:t xml:space="preserve">Finding mat a</w:t>
      </w:r>
    </w:p>
    <w:p>
      <w:pPr>
        <w:pStyle w:val="FirstParagraph"/>
      </w:pPr>
      <w:r>
        <w:t xml:space="preserve">Let’s repeat this exercise with the mat a locus to confirm our suspicions, but instead of using nucleotide sequence, let’s try another approach: using protein sequence.</w:t>
      </w:r>
    </w:p>
    <w:p>
      <w:pPr>
        <w:pStyle w:val="Compact"/>
        <w:numPr>
          <w:ilvl w:val="0"/>
          <w:numId w:val="1163"/>
        </w:numPr>
      </w:pPr>
      <w:r>
        <w:t xml:space="preserve">Start by searching the NCBI protein database for</w:t>
      </w:r>
      <w:r>
        <w:t xml:space="preserve"> </w:t>
      </w:r>
      <w:r>
        <w:t xml:space="preserve">“mating-type protein Mat a-1, partial Neurospora discreta”</w:t>
      </w:r>
      <w:r>
        <w:t xml:space="preserve"> </w:t>
      </w:r>
      <w:r>
        <w:t xml:space="preserve">and collect the protein sequence.</w:t>
      </w:r>
    </w:p>
    <w:p>
      <w:pPr>
        <w:pStyle w:val="Compact"/>
        <w:numPr>
          <w:ilvl w:val="0"/>
          <w:numId w:val="1163"/>
        </w:numPr>
      </w:pPr>
      <w:r>
        <w:t xml:space="preserve">Let’s find it on the mat a genome portal you found earlier for N. tetrasperma strain FGSC 2509, (https://mycocosm.jgi.doe.gov/Neute_mat_a1).</w:t>
      </w:r>
    </w:p>
    <w:p>
      <w:pPr>
        <w:pStyle w:val="Compact"/>
        <w:numPr>
          <w:ilvl w:val="0"/>
          <w:numId w:val="1163"/>
        </w:numPr>
      </w:pPr>
      <w:r>
        <w:t xml:space="preserve">Can you find the corresponding protein using blastp against the</w:t>
      </w:r>
      <w:r>
        <w:t xml:space="preserve"> </w:t>
      </w:r>
      <w:r>
        <w:t xml:space="preserve">‘Neurospora tetrasperma mat a v1.0 filtered gene models (proteins)’</w:t>
      </w:r>
      <w:r>
        <w:t xml:space="preserve"> </w:t>
      </w:r>
      <w:r>
        <w:t xml:space="preserve">set?</w:t>
      </w:r>
    </w:p>
    <w:p>
      <w:pPr>
        <w:pStyle w:val="Compact"/>
        <w:numPr>
          <w:ilvl w:val="0"/>
          <w:numId w:val="1163"/>
        </w:numPr>
      </w:pPr>
      <w:r>
        <w:t xml:space="preserve">The best hit is to N. tetrasperma protein ID 124723, can you explain why?</w:t>
      </w:r>
    </w:p>
    <w:p>
      <w:pPr>
        <w:pStyle w:val="Compact"/>
        <w:numPr>
          <w:ilvl w:val="0"/>
          <w:numId w:val="1163"/>
        </w:numPr>
      </w:pPr>
      <w:r>
        <w:t xml:space="preserve">Let’s revisit the Neucr2 mcl clustering page and search for this, again by typing portalID.proteinID (e.g. Neute_mat_a1.124723) in the search field.</w:t>
      </w:r>
    </w:p>
    <w:p>
      <w:pPr>
        <w:pStyle w:val="Compact"/>
        <w:numPr>
          <w:ilvl w:val="0"/>
          <w:numId w:val="1163"/>
        </w:numPr>
      </w:pPr>
      <w:r>
        <w:t xml:space="preserve">Do you notice anything different about this cluster compared to the mat-A cluster? Explore this family to learn more - click the on the cluster number (#771) and take a look at the synteny view again.</w:t>
      </w:r>
    </w:p>
    <w:p>
      <w:pPr>
        <w:pStyle w:val="Compact"/>
        <w:numPr>
          <w:ilvl w:val="0"/>
          <w:numId w:val="1163"/>
        </w:numPr>
      </w:pPr>
      <w:r>
        <w:t xml:space="preserve">It looks like our mat a gene is found in a region that is not present in any of the others, which are all the opposite mating type (mat A)!</w:t>
      </w:r>
    </w:p>
    <w:p>
      <w:pPr>
        <w:pStyle w:val="Compact"/>
        <w:numPr>
          <w:ilvl w:val="0"/>
          <w:numId w:val="1163"/>
        </w:numPr>
      </w:pPr>
      <w:r>
        <w:t xml:space="preserve">With this information, we can say that all our current evidence supports our hypothesis that fungal mating types are driven by presence/absence of specific genes, mat a and A in particular!</w:t>
      </w:r>
    </w:p>
    <w:bookmarkEnd w:id="169"/>
    <w:bookmarkStart w:id="170" w:name="X9715fd3f99632550ef0fc5fc1a10ffe328f1a6c"/>
    <w:p>
      <w:pPr>
        <w:pStyle w:val="Heading4"/>
      </w:pPr>
      <w:r>
        <w:t xml:space="preserve">Annotating mating type loci in Myco-Ed (and related) genomes</w:t>
      </w:r>
    </w:p>
    <w:p>
      <w:pPr>
        <w:pStyle w:val="FirstParagraph"/>
      </w:pPr>
      <w:r>
        <w:t xml:space="preserve">Let’s apply what you learned! Pick a MycoEd genome from our group portal - can you identify its mating type and find the mating type locus?</w:t>
      </w:r>
    </w:p>
    <w:p>
      <w:pPr>
        <w:pStyle w:val="Compact"/>
        <w:numPr>
          <w:ilvl w:val="0"/>
          <w:numId w:val="1164"/>
        </w:numPr>
      </w:pPr>
      <w:r>
        <w:t xml:space="preserve">Identify mating type genes from a related fungus on NCBI and go through this exercise again on your own. Note that not all mating type genes will be the same as those from N. crassa. Consequently, using the mat a or A genes you identified earlier as bait might not work to fish out mating type genes in other groups of fungi. You will have to find these on your own!</w:t>
      </w:r>
    </w:p>
    <w:p>
      <w:pPr>
        <w:pStyle w:val="Compact"/>
        <w:numPr>
          <w:ilvl w:val="0"/>
          <w:numId w:val="1164"/>
        </w:numPr>
      </w:pPr>
      <w:r>
        <w:t xml:space="preserve">If you cannot find a gene to use as bait from NCBI, try using the search function on MycoCosm! Try searching for something like</w:t>
      </w:r>
      <w:r>
        <w:t xml:space="preserve"> </w:t>
      </w:r>
      <w:r>
        <w:t xml:space="preserve">‘mating-type’</w:t>
      </w:r>
      <w:r>
        <w:t xml:space="preserve"> </w:t>
      </w:r>
      <w:r>
        <w:t xml:space="preserve">and see what sorts of annotations come up for the resulting list of genes.</w:t>
      </w:r>
    </w:p>
    <w:p>
      <w:pPr>
        <w:pStyle w:val="Compact"/>
        <w:numPr>
          <w:ilvl w:val="0"/>
          <w:numId w:val="1164"/>
        </w:numPr>
      </w:pPr>
      <w:r>
        <w:t xml:space="preserve">Go through the same exercise to search mcl clusters. Do you see a similar pattern to what we observed in N. crassa?</w:t>
      </w:r>
    </w:p>
    <w:p>
      <w:pPr>
        <w:pStyle w:val="Compact"/>
        <w:numPr>
          <w:ilvl w:val="0"/>
          <w:numId w:val="1164"/>
        </w:numPr>
      </w:pPr>
      <w:r>
        <w:t xml:space="preserve">For these MycoEd genomes, you can add your own text to describe what you discovered about any particular gene! This will be of great value to the scientific community, especially those studying fungal sexual reproduction.</w:t>
      </w:r>
    </w:p>
    <w:p>
      <w:pPr>
        <w:pStyle w:val="Compact"/>
        <w:numPr>
          <w:ilvl w:val="0"/>
          <w:numId w:val="1164"/>
        </w:numPr>
      </w:pPr>
      <w:r>
        <w:t xml:space="preserve">Once you have identified the mating type locus, go to the corresponding protein page and click</w:t>
      </w:r>
      <w:r>
        <w:t xml:space="preserve"> </w:t>
      </w:r>
      <w:r>
        <w:t xml:space="preserve">‘view/modify manual annotation’</w:t>
      </w:r>
      <w:r>
        <w:t xml:space="preserve">.</w:t>
      </w:r>
    </w:p>
    <w:p>
      <w:pPr>
        <w:pStyle w:val="Compact"/>
        <w:numPr>
          <w:ilvl w:val="0"/>
          <w:numId w:val="1164"/>
        </w:numPr>
      </w:pPr>
      <w:r>
        <w:t xml:space="preserve">Next, add your description! You should see</w:t>
      </w:r>
      <w:r>
        <w:t xml:space="preserve"> </w:t>
      </w:r>
      <w:r>
        <w:t xml:space="preserve">‘add/edit’</w:t>
      </w:r>
      <w:r>
        <w:t xml:space="preserve"> </w:t>
      </w:r>
      <w:r>
        <w:t xml:space="preserve">buttons on the next page. For the</w:t>
      </w:r>
      <w:r>
        <w:t xml:space="preserve"> </w:t>
      </w:r>
      <w:r>
        <w:t xml:space="preserve">‘Description’</w:t>
      </w:r>
      <w:r>
        <w:t xml:space="preserve"> </w:t>
      </w:r>
      <w:r>
        <w:t xml:space="preserve">attribute, select</w:t>
      </w:r>
      <w:r>
        <w:t xml:space="preserve"> </w:t>
      </w:r>
      <w:r>
        <w:t xml:space="preserve">‘add’</w:t>
      </w:r>
      <w:r>
        <w:t xml:space="preserve">, then enter details on what you discovered about that gene and hit</w:t>
      </w:r>
      <w:r>
        <w:t xml:space="preserve"> </w:t>
      </w:r>
      <w:r>
        <w:t xml:space="preserve">‘save item’</w:t>
      </w:r>
      <w:r>
        <w:t xml:space="preserve">. For example, if you found mat A-1, a useful description would be</w:t>
      </w:r>
      <w:r>
        <w:t xml:space="preserve"> </w:t>
      </w:r>
      <w:r>
        <w:t xml:space="preserve">‘mating type protein A-1’</w:t>
      </w:r>
      <w:r>
        <w:t xml:space="preserve">.</w:t>
      </w:r>
    </w:p>
    <w:p>
      <w:pPr>
        <w:pStyle w:val="Compact"/>
        <w:numPr>
          <w:ilvl w:val="0"/>
          <w:numId w:val="1164"/>
        </w:numPr>
      </w:pPr>
      <w:r>
        <w:t xml:space="preserve">Your name will be associated with your entry and by the following day, it will become searchable across the portal! This means anyone who visits this genome can easily find mating type loci, and know who to thank (you!) for this work.</w:t>
      </w:r>
    </w:p>
    <w:p>
      <w:pPr>
        <w:pStyle w:val="Compact"/>
        <w:numPr>
          <w:ilvl w:val="0"/>
          <w:numId w:val="1164"/>
        </w:numPr>
      </w:pPr>
      <w:r>
        <w:t xml:space="preserve">Using your exploration of MCL clusters, you might also be able to characterize mating type loci in related fungi. If you do, please share the identified portal, protein ID, and your text description with your instructor. In addition, please share your name and email address so we can attribute these discoveries to you!</w:t>
      </w:r>
    </w:p>
    <w:bookmarkEnd w:id="170"/>
    <w:bookmarkEnd w:id="171"/>
    <w:bookmarkEnd w:id="172"/>
    <w:bookmarkStart w:id="181" w:name="Xe7b646958662d93788a5fac43551e0623449021"/>
    <w:p>
      <w:pPr>
        <w:pStyle w:val="Heading2"/>
      </w:pPr>
      <w:r>
        <w:t xml:space="preserve">Module 7.2 – Fungal Natural Product Production Genomic Analysis</w:t>
      </w:r>
    </w:p>
    <w:bookmarkStart w:id="173" w:name="introduction-6"/>
    <w:p>
      <w:pPr>
        <w:pStyle w:val="Heading3"/>
      </w:pPr>
      <w:r>
        <w:t xml:space="preserve">Introduction</w:t>
      </w:r>
    </w:p>
    <w:p>
      <w:pPr>
        <w:pStyle w:val="FirstParagraph"/>
      </w:pPr>
      <w:r>
        <w:t xml:space="preserve">Fungi are famous producers of natural products that become new drugs, including anticancer agents (Kumar et al., 2019), cholesterol-reducing products (Seenivasan et al., 2008), and a variety of diverse antibiotics. One of the most famous examples is penicillin, the first antibiotic. Discovered by Alexander Fleming in 1929 as a fungal contaminant on his bacterial cultures, his observation that the fungus (Penicillium rubrum; reclassified later as P. chrysogenum) could kill bacteria (Fleming, 1929) led to the development of penicillin, saving countless lives during World War II and beyond. Like most of these interesting fungal products, they are secondary metabolites. Secondary metabolites are typically produced by organisms to provide a competitive advantage in a given environment (e.g., antibacterials for protection, toxins for causing disease, etc).</w:t>
      </w:r>
    </w:p>
    <w:p>
      <w:pPr>
        <w:pStyle w:val="BodyText"/>
      </w:pPr>
      <w:r>
        <w:t xml:space="preserve">Core to the production of any secondary metabolite is a</w:t>
      </w:r>
      <w:r>
        <w:t xml:space="preserve"> </w:t>
      </w:r>
      <w:r>
        <w:t xml:space="preserve">‘backbone’</w:t>
      </w:r>
      <w:r>
        <w:t xml:space="preserve"> </w:t>
      </w:r>
      <w:r>
        <w:t xml:space="preserve">gene. These backbone genes can be very strange, such as Non-Ribosomal Peptide Synthetases (NRPSs), which are specialized machines that enable the formation of non-standard products. This can even include amino acids outside of the standard 20 essential for life! NRPSs are large proteins that contain repeated modules, each including an Adenylation (A), Peptide Carrier Protein (PCP), and condensation (C) domain (Streiker et al., 2010). Combined, these allow the NRPS to add amino acids to a growing chain, producing unique molecules. These molecules are then tweaked by decorating enzymes (Keller, 2019) that modify whatever the backbone gene produces, allowing fungi to produce a multitude of bizarre molecules that can wreak havoc in other cells! Decorating genes are physically located next to backbone genes, allowing us to define Biosynthetic Gene Clusters (BGCs) responsible for the production of specific metabolites.</w:t>
      </w:r>
    </w:p>
    <w:p>
      <w:pPr>
        <w:pStyle w:val="BodyText"/>
      </w:pPr>
      <w:r>
        <w:t xml:space="preserve">In this exercise, let’s follow up on Alexander Fleming’s discovery and find the BGC that controls penicillin production. We will then use comparative genomic approaches to discover other fungi that are likely producers of penicillin and variants thereof (which could be candidates for creating exciting new antibiotics), then apply our knowledge to characterize new, unexplored BGCs!</w:t>
      </w:r>
    </w:p>
    <w:p>
      <w:pPr>
        <w:pStyle w:val="BodyText"/>
      </w:pPr>
      <w:r>
        <w:t xml:space="preserve">What we know for this exercise: From Fleming’s work, we know penicillin is produced by Penicillium chrysogenum. An NRPS is responsible for penicillin production and in P. chrysogenum the penicillin BGC contains three genes: pcbAB, pcbC, and penDE. Which of these is the backbone gene? Can we find it in related Penicillium genomes? Can you identify any fungi that might produce novel penicillin variants? Using comparative genomics approaches, let’s begin by identifying the penicillin BGC in P. chrysogenum, then formulate hypotheses and learn about its distribution across fungi. The same approach can be used to characterize diversity and distribution of other BGCs, even ones where we don’t know the metabolite they produce yet!</w:t>
      </w:r>
    </w:p>
    <w:bookmarkEnd w:id="173"/>
    <w:bookmarkStart w:id="174" w:name="references-1"/>
    <w:p>
      <w:pPr>
        <w:pStyle w:val="Heading3"/>
      </w:pPr>
      <w:r>
        <w:t xml:space="preserve">References</w:t>
      </w:r>
    </w:p>
    <w:p>
      <w:pPr>
        <w:pStyle w:val="Compact"/>
        <w:numPr>
          <w:ilvl w:val="0"/>
          <w:numId w:val="1165"/>
        </w:numPr>
      </w:pPr>
      <w:r>
        <w:t xml:space="preserve">Kumar, P., Singh, B., Thakur, V., Thakur, A., Thakur, N., Pandey, D., Chanda, D., 2019. Hyper-production of taxol from Aspergillus fumigatus, an endophytic fungus isolated from Taxus sp. of the Northern Himalayan region. Biotechnol Rep (Amst). doi: 10.1016/j.btre.2019.e00395</w:t>
      </w:r>
    </w:p>
    <w:p>
      <w:pPr>
        <w:pStyle w:val="Compact"/>
        <w:numPr>
          <w:ilvl w:val="0"/>
          <w:numId w:val="1165"/>
        </w:numPr>
      </w:pPr>
      <w:r>
        <w:t xml:space="preserve">Seenivasan, A., Subhagar, S., Aravindan, R., Viruthagiri, T., 2008. Microbial Production and Biomedical Applications of Lovastatin. Indian J Pharm Sci. 2008, doi: 10.4103/0250-474X.49087</w:t>
      </w:r>
    </w:p>
    <w:p>
      <w:pPr>
        <w:pStyle w:val="Compact"/>
        <w:numPr>
          <w:ilvl w:val="0"/>
          <w:numId w:val="1165"/>
        </w:numPr>
      </w:pPr>
      <w:r>
        <w:t xml:space="preserve">Fleming, A., 1929. On the Antibacterial Action of Cultures of a Penicillium, with Special Reference to their Use in the Isolation of B. influenzæ. Br J Exp Pathol. 1929 Jun; 10(3): 226–236</w:t>
      </w:r>
    </w:p>
    <w:p>
      <w:pPr>
        <w:pStyle w:val="Compact"/>
        <w:numPr>
          <w:ilvl w:val="0"/>
          <w:numId w:val="1165"/>
        </w:numPr>
      </w:pPr>
      <w:r>
        <w:t xml:space="preserve">Strieker, M., Tanovic, A., Marahiel, M.A., 2010. Nonribosomal peptide synthetases: structures and dynamics. Current Opinion in Structural Biology 2010, 20:234–240</w:t>
      </w:r>
    </w:p>
    <w:p>
      <w:pPr>
        <w:pStyle w:val="Compact"/>
        <w:numPr>
          <w:ilvl w:val="0"/>
          <w:numId w:val="1165"/>
        </w:numPr>
      </w:pPr>
      <w:r>
        <w:t xml:space="preserve">Keller, N., 2019. Fungal secondary metabolism: regulation, function and drug discovery. Nature Reviews Microbiology, 17(3): 167–180. doi: 10.1038/s41579-018-0121-1</w:t>
      </w:r>
    </w:p>
    <w:bookmarkEnd w:id="174"/>
    <w:bookmarkStart w:id="177" w:name="X31643484012ee51f67fd2def9a4608ddd3c7490"/>
    <w:p>
      <w:pPr>
        <w:pStyle w:val="Heading3"/>
      </w:pPr>
      <w:r>
        <w:t xml:space="preserve">Finding the Penicillin Biosynthetic Gene Cluster</w:t>
      </w:r>
    </w:p>
    <w:bookmarkStart w:id="175" w:name="X27e5a65183f9483aec43514a5289c555b8e099a"/>
    <w:p>
      <w:pPr>
        <w:pStyle w:val="Heading4"/>
      </w:pPr>
      <w:r>
        <w:t xml:space="preserve">Locate the known cluster in P. chrysogenum</w:t>
      </w:r>
    </w:p>
    <w:p>
      <w:pPr>
        <w:pStyle w:val="Compact"/>
        <w:numPr>
          <w:ilvl w:val="0"/>
          <w:numId w:val="1166"/>
        </w:numPr>
      </w:pPr>
      <w:r>
        <w:t xml:space="preserve">To start, let’s retrieve a sequence from NCBI that can help us locate the Penicillin BGC. We know there are 3 genes in this cluster: pcbAB, pcbC, and penDE. Go to NCBI (https://www.ncbi.nlm.nih.gov/) and search the</w:t>
      </w:r>
      <w:r>
        <w:t xml:space="preserve"> </w:t>
      </w:r>
      <w:r>
        <w:t xml:space="preserve">‘Nucleotide’</w:t>
      </w:r>
      <w:r>
        <w:t xml:space="preserve"> </w:t>
      </w:r>
      <w:r>
        <w:t xml:space="preserve">database for pcbAB</w:t>
      </w:r>
    </w:p>
    <w:p>
      <w:pPr>
        <w:pStyle w:val="Compact"/>
        <w:numPr>
          <w:ilvl w:val="0"/>
          <w:numId w:val="1166"/>
        </w:numPr>
      </w:pPr>
      <w:r>
        <w:t xml:space="preserve">Select the first record, titled</w:t>
      </w:r>
      <w:r>
        <w:t xml:space="preserve"> </w:t>
      </w:r>
      <w:r>
        <w:t xml:space="preserve">“Penicillium chrysogenum PcbC (pcbC) gene, partial cds; pcbC-pcbAB intergenic spacer, complete sequence; and PcbAB (pcbAB) gene, partial cds”</w:t>
      </w:r>
      <w:r>
        <w:t xml:space="preserve">. This corresponds mostly to the DNA in between pcbC and pcbAB, which will be a great tool for identifying very similar regions in other genomes!</w:t>
      </w:r>
    </w:p>
    <w:p>
      <w:pPr>
        <w:pStyle w:val="Compact"/>
        <w:numPr>
          <w:ilvl w:val="0"/>
          <w:numId w:val="1166"/>
        </w:numPr>
      </w:pPr>
      <w:r>
        <w:t xml:space="preserve">Click the</w:t>
      </w:r>
      <w:r>
        <w:t xml:space="preserve"> </w:t>
      </w:r>
      <w:r>
        <w:t xml:space="preserve">‘FASTA’</w:t>
      </w:r>
      <w:r>
        <w:t xml:space="preserve"> </w:t>
      </w:r>
      <w:r>
        <w:t xml:space="preserve">button to see the nucleotide sequence, then copy the sequence.</w:t>
      </w:r>
    </w:p>
    <w:p>
      <w:pPr>
        <w:pStyle w:val="Compact"/>
        <w:numPr>
          <w:ilvl w:val="0"/>
          <w:numId w:val="1166"/>
        </w:numPr>
      </w:pPr>
      <w:r>
        <w:t xml:space="preserve">Now, let’s find this region in the Penicillium chrysogenum genome in MycoCosm using BLAST. Here, we can browse the genome and conduct comparative analyses across related fungi. Go to the Penicillium chrysogenum genome portal (https://mycocosm.jgi.doe.gov/Pench1) and click on the BLAST tab.</w:t>
      </w:r>
    </w:p>
    <w:p>
      <w:pPr>
        <w:pStyle w:val="Compact"/>
        <w:numPr>
          <w:ilvl w:val="0"/>
          <w:numId w:val="1166"/>
        </w:numPr>
      </w:pPr>
      <w:r>
        <w:t xml:space="preserve">Paste in your nucleotide sequence and conduct a blastn analysis against the assembly. Remember, we are using the sequence that mostly falls between two genes here to locate our region of interest, so we need to search the assembly instead of the available gene model sets.</w:t>
      </w:r>
    </w:p>
    <w:p>
      <w:pPr>
        <w:pStyle w:val="Compact"/>
        <w:numPr>
          <w:ilvl w:val="0"/>
          <w:numId w:val="1166"/>
        </w:numPr>
      </w:pPr>
      <w:r>
        <w:t xml:space="preserve">You should see a single hit! Click on the coordinates to view this region of the genome.</w:t>
      </w:r>
    </w:p>
    <w:p>
      <w:pPr>
        <w:pStyle w:val="Compact"/>
        <w:numPr>
          <w:ilvl w:val="0"/>
          <w:numId w:val="1166"/>
        </w:numPr>
      </w:pPr>
      <w:r>
        <w:t xml:space="preserve">Of course, we are searching for DNA that is mostly found in between these penicillin-related genes. Click -10x to get a bigger view of this locus.</w:t>
      </w:r>
    </w:p>
    <w:p>
      <w:pPr>
        <w:pStyle w:val="Compact"/>
        <w:numPr>
          <w:ilvl w:val="0"/>
          <w:numId w:val="1166"/>
        </w:numPr>
      </w:pPr>
      <w:r>
        <w:t xml:space="preserve">Excellent! You just found the Penicillin Biosynthetic Gene Cluster (scaffold_1:6815459-6827128)! You will notice that there is no nucleotide conservation with the genomes presented in the Vista tracks at the top of the page. Let’s expand the GeneCatalog by clicking on the</w:t>
      </w:r>
      <w:r>
        <w:t xml:space="preserve"> </w:t>
      </w:r>
      <w:r>
        <w:t xml:space="preserve">‘+’</w:t>
      </w:r>
      <w:r>
        <w:t xml:space="preserve"> </w:t>
      </w:r>
      <w:r>
        <w:t xml:space="preserve">next to the track and look at a few of these genes.</w:t>
      </w:r>
    </w:p>
    <w:p>
      <w:pPr>
        <w:pStyle w:val="Compact"/>
        <w:numPr>
          <w:ilvl w:val="0"/>
          <w:numId w:val="1166"/>
        </w:numPr>
      </w:pPr>
      <w:r>
        <w:t xml:space="preserve">In this region of the genome, you can see 4 genes. To learn more about what these might do, we can look at their protein pages. You can get to the protein page by clicking on the gene, then selecting</w:t>
      </w:r>
      <w:r>
        <w:t xml:space="preserve"> </w:t>
      </w:r>
      <w:r>
        <w:t xml:space="preserve">‘feature’</w:t>
      </w:r>
      <w:r>
        <w:t xml:space="preserve"> </w:t>
      </w:r>
      <w:r>
        <w:t xml:space="preserve">web page (or center mouse click on the gene to open it in a new tab). For convenience, here are links to the protein pages for all 4 genes in this region, named by their protein IDs (which are the main identifiers used within MycoCosm): 67014, 32451, 67324, 22458</w:t>
      </w:r>
    </w:p>
    <w:p>
      <w:pPr>
        <w:pStyle w:val="Compact"/>
        <w:numPr>
          <w:ilvl w:val="0"/>
          <w:numId w:val="1166"/>
        </w:numPr>
      </w:pPr>
      <w:r>
        <w:t xml:space="preserve">As the backbone gene is central to the production of a specific secondary metabolite, let’s use it to discover other fungi that might make similar products! On the 22458 protein page, click on the green bar underneath the domain information section (see figure immediately above). Copy this sequence to your clipboard, we will use it in the next section.</w:t>
      </w:r>
    </w:p>
    <w:bookmarkEnd w:id="175"/>
    <w:bookmarkStart w:id="176" w:name="X3367d9de4d4452f0e4500f817aabeb87e960cf9"/>
    <w:p>
      <w:pPr>
        <w:pStyle w:val="Heading4"/>
      </w:pPr>
      <w:r>
        <w:t xml:space="preserve">Find candidate Penicillin BGCs in related fungi</w:t>
      </w:r>
    </w:p>
    <w:p>
      <w:pPr>
        <w:pStyle w:val="Compact"/>
        <w:numPr>
          <w:ilvl w:val="0"/>
          <w:numId w:val="1167"/>
        </w:numPr>
      </w:pPr>
      <w:r>
        <w:t xml:space="preserve">With our NRPS bait in hand, let’s try to fish out similar genes in related fungi! But before we do, do you have any hypotheses about how often it will be found?</w:t>
      </w:r>
    </w:p>
    <w:p>
      <w:pPr>
        <w:pStyle w:val="Compact"/>
        <w:numPr>
          <w:ilvl w:val="0"/>
          <w:numId w:val="1167"/>
        </w:numPr>
      </w:pPr>
      <w:r>
        <w:t xml:space="preserve">On MycoCosm, you can view individual genomes, or analyze groups of them simultaneously. There are several group page categories, including: Project groups, which contain genomes associated with specific research projects. For example, our own MycoEd project group! EcoGroups, which contain genomes of organisms with shared ecology, e.g. plant pathogenic fungi. PhyloGroups, which contain genomes of taxonomically related organisms.</w:t>
      </w:r>
    </w:p>
    <w:p>
      <w:pPr>
        <w:pStyle w:val="Compact"/>
        <w:numPr>
          <w:ilvl w:val="0"/>
          <w:numId w:val="1167"/>
        </w:numPr>
      </w:pPr>
      <w:r>
        <w:t xml:space="preserve">You can access groups either using the Groups pulldown menu on the MycoCosm homepage, or if you know the group of interest you can type it into the url. For this exercise, let’s visit the Penicillium phylogroup page.</w:t>
      </w:r>
    </w:p>
    <w:p>
      <w:pPr>
        <w:pStyle w:val="Compact"/>
        <w:numPr>
          <w:ilvl w:val="0"/>
          <w:numId w:val="1167"/>
        </w:numPr>
      </w:pPr>
      <w:r>
        <w:t xml:space="preserve">You can see we have over 70 Penicillium genomes available for comparative analysis! Genomes are colored differently based on their status, red = private, only available to you and your colleagues, white = publicly available, green = published.</w:t>
      </w:r>
    </w:p>
    <w:p>
      <w:pPr>
        <w:pStyle w:val="Compact"/>
        <w:numPr>
          <w:ilvl w:val="0"/>
          <w:numId w:val="1167"/>
        </w:numPr>
      </w:pPr>
      <w:r>
        <w:t xml:space="preserve">With so many genomes available, we have a great dataset with which we can test our hypothesis that all Penicillium produce penicillin! There are several routes we can take to explore this, but for this exercise let’s again use BLAST. On group pages, this tool allows us to search all these genomes simultaneously. Click on the BLAST tab to get started.</w:t>
      </w:r>
    </w:p>
    <w:p>
      <w:pPr>
        <w:pStyle w:val="Compact"/>
        <w:numPr>
          <w:ilvl w:val="0"/>
          <w:numId w:val="1167"/>
        </w:numPr>
      </w:pPr>
      <w:r>
        <w:t xml:space="preserve">Paste the protein sequence you copied from the P. chrysogenum Penicillin NRPS into the query sequence box. Select the blastp alignment program and the Gene Catalog protein database. Confirm that your search criteria are correct, then click</w:t>
      </w:r>
      <w:r>
        <w:t xml:space="preserve"> </w:t>
      </w:r>
      <w:r>
        <w:t xml:space="preserve">‘Run blastp’</w:t>
      </w:r>
      <w:r>
        <w:t xml:space="preserve">. Note that this is a large protein and we are searching a lot of genomes, so this might take a few minutes.</w:t>
      </w:r>
    </w:p>
    <w:p>
      <w:pPr>
        <w:pStyle w:val="Compact"/>
        <w:numPr>
          <w:ilvl w:val="0"/>
          <w:numId w:val="1167"/>
        </w:numPr>
      </w:pPr>
      <w:r>
        <w:t xml:space="preserve">After a few minutes, you should see results. We get a lot of hits (1,929 of them!). The top hit should almost always be to the original backbone gene you selected. To assess quality take a look at the alignment, which shows how well the hits cover your query sequence. Also take a look at the</w:t>
      </w:r>
      <w:r>
        <w:t xml:space="preserve"> </w:t>
      </w:r>
      <w:r>
        <w:t xml:space="preserve">‘Score’</w:t>
      </w:r>
      <w:r>
        <w:t xml:space="preserve">. The higher the score, the better.</w:t>
      </w:r>
    </w:p>
    <w:p>
      <w:pPr>
        <w:pStyle w:val="Compact"/>
        <w:numPr>
          <w:ilvl w:val="0"/>
          <w:numId w:val="1167"/>
        </w:numPr>
      </w:pPr>
      <w:r>
        <w:t xml:space="preserve">Can you find where hit quality begins to drop off? You can see by just looking at the top 10 that quality drops off really fast!</w:t>
      </w:r>
    </w:p>
    <w:p>
      <w:pPr>
        <w:pStyle w:val="Compact"/>
        <w:numPr>
          <w:ilvl w:val="0"/>
          <w:numId w:val="1167"/>
        </w:numPr>
      </w:pPr>
      <w:r>
        <w:t xml:space="preserve">Where to define cutoffs is somewhat arbitrary and depends on your research question. For this exercise, let’s keep it simple and set this cutoff by calculating a Blast Score Ratio (BSR; Rasko et al., 2005). By dividing a given score by the score of the query against itself, we can get a feel for how good a match is compared to the best possible match.</w:t>
      </w:r>
    </w:p>
    <w:p>
      <w:pPr>
        <w:pStyle w:val="Compact"/>
        <w:numPr>
          <w:ilvl w:val="0"/>
          <w:numId w:val="1167"/>
        </w:numPr>
      </w:pPr>
      <w:r>
        <w:t xml:space="preserve">With this new information, let’s revisit our hypothesis. Given that we see only 7 really good matches to the penicillin NRPS out of the ~70 available genomes, it seems that our first hypothesis was incorrect, meaning not all Penicillium species produce penicillin.</w:t>
      </w:r>
    </w:p>
    <w:p>
      <w:pPr>
        <w:pStyle w:val="Compact"/>
        <w:numPr>
          <w:ilvl w:val="0"/>
          <w:numId w:val="1167"/>
        </w:numPr>
      </w:pPr>
      <w:r>
        <w:t xml:space="preserve">Let’s revise it! Maybe the Penicillium genus is too diverse and only a small subset of closely related fungi can produce this product! Perhaps a compelling new hypothesis would be that all penicillin producers are closely related evolutionarily.</w:t>
      </w:r>
    </w:p>
    <w:p>
      <w:pPr>
        <w:pStyle w:val="Compact"/>
        <w:numPr>
          <w:ilvl w:val="0"/>
          <w:numId w:val="1167"/>
        </w:numPr>
      </w:pPr>
      <w:r>
        <w:t xml:space="preserve">Record the names in the organism column from our BLAST output for the top 7 hits. We can use the precomputed phylogenetic tree from the</w:t>
      </w:r>
      <w:r>
        <w:t xml:space="preserve"> </w:t>
      </w:r>
      <w:r>
        <w:t xml:space="preserve">‘TREE’</w:t>
      </w:r>
      <w:r>
        <w:t xml:space="preserve"> </w:t>
      </w:r>
      <w:r>
        <w:t xml:space="preserve">tab to continue our exploration and test whether they are closely related or not.</w:t>
      </w:r>
    </w:p>
    <w:p>
      <w:pPr>
        <w:pStyle w:val="Compact"/>
        <w:numPr>
          <w:ilvl w:val="0"/>
          <w:numId w:val="1167"/>
        </w:numPr>
      </w:pPr>
      <w:r>
        <w:t xml:space="preserve">Open the</w:t>
      </w:r>
      <w:r>
        <w:t xml:space="preserve"> </w:t>
      </w:r>
      <w:r>
        <w:t xml:space="preserve">‘TREE’</w:t>
      </w:r>
      <w:r>
        <w:t xml:space="preserve"> </w:t>
      </w:r>
      <w:r>
        <w:t xml:space="preserve">tab, either in a separate tab or a new window so you can easily see both your blast results and the phylogeny.</w:t>
      </w:r>
    </w:p>
    <w:p>
      <w:pPr>
        <w:pStyle w:val="Compact"/>
        <w:numPr>
          <w:ilvl w:val="0"/>
          <w:numId w:val="1167"/>
        </w:numPr>
      </w:pPr>
      <w:r>
        <w:t xml:space="preserve">Here, we will see a pre-computed phylogenetic tree showing evolutionary relationships within this PhyloGroup. The node colors on the tree indicate support values, green: 1.0, orange: ≥ 0.7, red: &lt; 0.7, white: no support. This phylogenetic tree is generated based on amino acid sequence alignments from hundreds to thousands of proteins across these fungi. If a particular node is well supported, it means that a lot of the underlying sequence alignment agrees with the relationships shown in that part of the tree. In contrast, if support is low, we should be suspicious of the relationships depicted there.</w:t>
      </w:r>
    </w:p>
    <w:p>
      <w:pPr>
        <w:pStyle w:val="Compact"/>
        <w:numPr>
          <w:ilvl w:val="0"/>
          <w:numId w:val="1167"/>
        </w:numPr>
      </w:pPr>
      <w:r>
        <w:t xml:space="preserve">At the top of the page is a search box where we can type in some of our organisms of interest to see where they are on the tree. Try typing in Penicillium chrysogenum. Hit enter (or the</w:t>
      </w:r>
      <w:r>
        <w:t xml:space="preserve"> </w:t>
      </w:r>
      <w:r>
        <w:t xml:space="preserve">‘Filter’</w:t>
      </w:r>
      <w:r>
        <w:t xml:space="preserve"> </w:t>
      </w:r>
      <w:r>
        <w:t xml:space="preserve">button) and see what happens!</w:t>
      </w:r>
    </w:p>
    <w:p>
      <w:pPr>
        <w:pStyle w:val="Compact"/>
        <w:numPr>
          <w:ilvl w:val="0"/>
          <w:numId w:val="1167"/>
        </w:numPr>
      </w:pPr>
      <w:r>
        <w:t xml:space="preserve">You will see that the tree compresses and highlights the lineages that match your search, in this case, strains of P. chrysogenum. Everything else will be grayed out. Click</w:t>
      </w:r>
      <w:r>
        <w:t xml:space="preserve"> </w:t>
      </w:r>
      <w:r>
        <w:t xml:space="preserve">‘Expand All’</w:t>
      </w:r>
      <w:r>
        <w:t xml:space="preserve"> </w:t>
      </w:r>
      <w:r>
        <w:t xml:space="preserve">and you can see where they are in the larger Penicillium tree. Click the clear to restore everything to default colors.</w:t>
      </w:r>
    </w:p>
    <w:p>
      <w:pPr>
        <w:pStyle w:val="Compact"/>
        <w:numPr>
          <w:ilvl w:val="0"/>
          <w:numId w:val="1167"/>
        </w:numPr>
      </w:pPr>
      <w:r>
        <w:t xml:space="preserve">Looking over this tree, can you find the 7 fungi from our BLAST results that contain our intact Penicillin NRPS? Are they found in the same part of the tree, or all over the place?</w:t>
      </w:r>
    </w:p>
    <w:p>
      <w:pPr>
        <w:pStyle w:val="Compact"/>
        <w:numPr>
          <w:ilvl w:val="0"/>
          <w:numId w:val="1167"/>
        </w:numPr>
      </w:pPr>
      <w:r>
        <w:t xml:space="preserve">We can point to 3 clades where this NRPS is found, with most being present in Clade 2 (see above image). However, in all cases there are very close relatives which lack it. Overall, this suggests that the ability to produce penicillin is pretty variable across the Penicillium genus. While phylogeny can provide some clues, it alone cannot be used to predict the ability to produce penicillin.</w:t>
      </w:r>
    </w:p>
    <w:p>
      <w:pPr>
        <w:pStyle w:val="Compact"/>
        <w:numPr>
          <w:ilvl w:val="0"/>
          <w:numId w:val="1167"/>
        </w:numPr>
      </w:pPr>
      <w:r>
        <w:t xml:space="preserve">This tells us that our hypothesis that penicillin producers are all closely related evolutionarily is incorrect (again!) - and that is OK! Based on our current results, we can conclude that penicillin production is both dispensable (as clearly not all Penicillium can make it) and not phylogenetically driven.</w:t>
      </w:r>
    </w:p>
    <w:p>
      <w:pPr>
        <w:pStyle w:val="Compact"/>
        <w:numPr>
          <w:ilvl w:val="0"/>
          <w:numId w:val="1167"/>
        </w:numPr>
      </w:pPr>
      <w:r>
        <w:t xml:space="preserve">This knowledge raises a ton of new hypotheses, such as: i) The Penicillin BGC arose in these fungi due to horizontal gene transfer, ii) The Penicillin BGC is associated with specific ecological niches, iii) The Penicillin BGC is restricted to specific geographic locations, iv) etc… Using MycoCosm, NCBI and other online bioinformatics tools, feel free to explore some of these ideas!</w:t>
      </w:r>
    </w:p>
    <w:bookmarkEnd w:id="176"/>
    <w:bookmarkEnd w:id="177"/>
    <w:bookmarkStart w:id="180" w:name="characterize-myco-ed-bgcs"/>
    <w:p>
      <w:pPr>
        <w:pStyle w:val="Heading3"/>
      </w:pPr>
      <w:r>
        <w:t xml:space="preserve">Characterize Myco-Ed BGCs</w:t>
      </w:r>
    </w:p>
    <w:bookmarkStart w:id="178" w:name="X730d453170a2dce205090ee117776f286330cc7"/>
    <w:p>
      <w:pPr>
        <w:pStyle w:val="Heading4"/>
      </w:pPr>
      <w:r>
        <w:t xml:space="preserve">Find interesting BGCs using Secondary Metabolite (SM) clusters page</w:t>
      </w:r>
    </w:p>
    <w:p>
      <w:pPr>
        <w:pStyle w:val="FirstParagraph"/>
      </w:pPr>
      <w:r>
        <w:t xml:space="preserve">Penicillin is a famous example of a fungal natural product. However, fungi are some of the most prolific producers of secondary metabolites worldwide, and there is a lot to discover here! Let’s do some exploratory work and characterize secondary metabolites produced by MycoEd fungi.</w:t>
      </w:r>
    </w:p>
    <w:p>
      <w:pPr>
        <w:pStyle w:val="Compact"/>
        <w:numPr>
          <w:ilvl w:val="0"/>
          <w:numId w:val="1168"/>
        </w:numPr>
      </w:pPr>
      <w:r>
        <w:t xml:space="preserve">Pick a genome from our MycoEd group portal. For these MycoEd genomes, you can add your own text to describe what you discover about any particular gene. This will be of great value to the scientific community, especially those studying fungal natural product diversity!</w:t>
      </w:r>
    </w:p>
    <w:p>
      <w:pPr>
        <w:pStyle w:val="Compact"/>
        <w:numPr>
          <w:ilvl w:val="0"/>
          <w:numId w:val="1168"/>
        </w:numPr>
      </w:pPr>
      <w:r>
        <w:t xml:space="preserve">Keep in mind, what you are doing here is completely new - you might be the first person ever to look at these fungal natural product genes! If you observe something unexpected or cannot find similar genes in related genomes that is OK, and could reveal something very exciting! Documenting your work, manually curating genes (see</w:t>
      </w:r>
      <w:r>
        <w:t xml:space="preserve"> </w:t>
      </w:r>
      <w:r>
        <w:t xml:space="preserve">‘Annotate them!’</w:t>
      </w:r>
      <w:r>
        <w:t xml:space="preserve"> </w:t>
      </w:r>
      <w:r>
        <w:t xml:space="preserve">section, below), and sharing it with your instructor will be a big help to future investigators.</w:t>
      </w:r>
    </w:p>
    <w:p>
      <w:pPr>
        <w:pStyle w:val="Compact"/>
        <w:numPr>
          <w:ilvl w:val="0"/>
          <w:numId w:val="1168"/>
        </w:numPr>
      </w:pPr>
      <w:r>
        <w:t xml:space="preserve">Let’s set a goal to describe the distribution of fungal BGC backbone genes, following the same workflow you just did for penicillin.</w:t>
      </w:r>
    </w:p>
    <w:p>
      <w:pPr>
        <w:pStyle w:val="Compact"/>
        <w:numPr>
          <w:ilvl w:val="0"/>
          <w:numId w:val="1168"/>
        </w:numPr>
      </w:pPr>
      <w:r>
        <w:t xml:space="preserve">Each MycoCosm portal has a secondary metabolite clusters page, which can be used to study these BGCs in greater detail. On the menu bar for any portal, you will see an</w:t>
      </w:r>
      <w:r>
        <w:t xml:space="preserve"> </w:t>
      </w:r>
      <w:r>
        <w:t xml:space="preserve">‘Annotations’</w:t>
      </w:r>
      <w:r>
        <w:t xml:space="preserve"> </w:t>
      </w:r>
      <w:r>
        <w:t xml:space="preserve">pulldown. Click it, then select</w:t>
      </w:r>
      <w:r>
        <w:t xml:space="preserve"> </w:t>
      </w:r>
      <w:r>
        <w:t xml:space="preserve">‘Secondary Metabolism Clusters’</w:t>
      </w:r>
    </w:p>
    <w:p>
      <w:pPr>
        <w:pStyle w:val="Compact"/>
        <w:numPr>
          <w:ilvl w:val="0"/>
          <w:numId w:val="1168"/>
        </w:numPr>
      </w:pPr>
      <w:r>
        <w:t xml:space="preserve">The secondary metabolism clusters page shows a table of BGC counts across a set of closely related genomes. The columns separate different types of backbone genes and the rows are individual genomes. For your MycoEd genome, click on the number in the</w:t>
      </w:r>
      <w:r>
        <w:t xml:space="preserve"> </w:t>
      </w:r>
      <w:r>
        <w:t xml:space="preserve">‘Total’</w:t>
      </w:r>
      <w:r>
        <w:t xml:space="preserve"> </w:t>
      </w:r>
      <w:r>
        <w:t xml:space="preserve">column to see the BGCs found only in this genome, or click on the number within the backbone gene column you are interested in (e.g. NRPS).</w:t>
      </w:r>
    </w:p>
    <w:p>
      <w:pPr>
        <w:pStyle w:val="Compact"/>
        <w:numPr>
          <w:ilvl w:val="0"/>
          <w:numId w:val="1168"/>
        </w:numPr>
      </w:pPr>
      <w:r>
        <w:t xml:space="preserve">The following page will show details on all BGCs found. This includes the type of cluster, the location on the genome and its architecture, including the backbone gene (in color) and nearby predicted decorating enzymes (gray). Note that some clusters might be missing decorating enzymes - this could be real, or we failed to predict them.</w:t>
      </w:r>
    </w:p>
    <w:p>
      <w:pPr>
        <w:pStyle w:val="Compact"/>
        <w:numPr>
          <w:ilvl w:val="0"/>
          <w:numId w:val="1168"/>
        </w:numPr>
      </w:pPr>
      <w:r>
        <w:t xml:space="preserve">Hovering your mouse over the genes in the cartoon will provide information on those proteins. Pick a cluster and repeat our previous exercise to characterize its distribution. You can start by clicking on the backbone gene in the cartoon, which will bring you to the corresponding protein page. Keep this page open in a separate tab for the rest of the exercise, we will revisit it later.</w:t>
      </w:r>
    </w:p>
    <w:p>
      <w:pPr>
        <w:pStyle w:val="Compact"/>
        <w:numPr>
          <w:ilvl w:val="0"/>
          <w:numId w:val="1168"/>
        </w:numPr>
      </w:pPr>
      <w:r>
        <w:t xml:space="preserve">Collect the protein sequence, then search a related MycoCosm Phylogroup. You can find a related group by going to the portal Info page. At the bottom of this screen is a</w:t>
      </w:r>
      <w:r>
        <w:t xml:space="preserve"> </w:t>
      </w:r>
      <w:r>
        <w:t xml:space="preserve">‘Links’</w:t>
      </w:r>
      <w:r>
        <w:t xml:space="preserve"> </w:t>
      </w:r>
      <w:r>
        <w:t xml:space="preserve">section. Select the PhyloGroup containing this organism’s closest relatives, which is at the end of the list. If there are only a few genomes (less than 5), try going one taxonomic level up by returning to the info page and selecting the second to last link.</w:t>
      </w:r>
    </w:p>
    <w:p>
      <w:pPr>
        <w:pStyle w:val="Compact"/>
        <w:numPr>
          <w:ilvl w:val="0"/>
          <w:numId w:val="1168"/>
        </w:numPr>
      </w:pPr>
      <w:r>
        <w:t xml:space="preserve">Start exploring by conducting a BLAST search! If you have a lot of good hits, make sure to increase the number of alignments shown until you see low-quality hits. Click</w:t>
      </w:r>
      <w:r>
        <w:t xml:space="preserve"> </w:t>
      </w:r>
      <w:r>
        <w:t xml:space="preserve">‘Configure this screen’</w:t>
      </w:r>
      <w:r>
        <w:t xml:space="preserve"> </w:t>
      </w:r>
      <w:r>
        <w:t xml:space="preserve">and increase the number of hits shown to a larger number (e.g. 100); see below.</w:t>
      </w:r>
    </w:p>
    <w:p>
      <w:pPr>
        <w:pStyle w:val="Compact"/>
        <w:numPr>
          <w:ilvl w:val="0"/>
          <w:numId w:val="1168"/>
        </w:numPr>
      </w:pPr>
      <w:r>
        <w:t xml:space="preserve">Select any hit that passes the BSR threshold of 0.9 we defined earlier (see Step 9 in the</w:t>
      </w:r>
      <w:r>
        <w:t xml:space="preserve"> </w:t>
      </w:r>
      <w:r>
        <w:t xml:space="preserve">‘Find candidate Penicillin BGCs’</w:t>
      </w:r>
      <w:r>
        <w:t xml:space="preserve"> </w:t>
      </w:r>
      <w:r>
        <w:t xml:space="preserve">section)’ and let’s see where those fungi are on the interactive tree. The interactive tree is produced only once or twice a year, so your chosen MycoEd genome might not be there depending on when you conduct this analysis. That is OK since we are mostly interested in where these other fungi are found.</w:t>
      </w:r>
    </w:p>
    <w:bookmarkEnd w:id="178"/>
    <w:bookmarkStart w:id="179" w:name="annotate-them"/>
    <w:p>
      <w:pPr>
        <w:pStyle w:val="Heading4"/>
      </w:pPr>
      <w:r>
        <w:t xml:space="preserve">Annotate them!</w:t>
      </w:r>
    </w:p>
    <w:p>
      <w:pPr>
        <w:pStyle w:val="Compact"/>
        <w:numPr>
          <w:ilvl w:val="0"/>
          <w:numId w:val="1169"/>
        </w:numPr>
      </w:pPr>
      <w:r>
        <w:t xml:space="preserve">Once you have completed your analysis, return to the protein page for your backbone gene and click</w:t>
      </w:r>
      <w:r>
        <w:t xml:space="preserve"> </w:t>
      </w:r>
      <w:r>
        <w:t xml:space="preserve">‘view/modify manual annotation’</w:t>
      </w:r>
      <w:r>
        <w:t xml:space="preserve">.</w:t>
      </w:r>
    </w:p>
    <w:p>
      <w:pPr>
        <w:pStyle w:val="Compact"/>
        <w:numPr>
          <w:ilvl w:val="0"/>
          <w:numId w:val="1169"/>
        </w:numPr>
      </w:pPr>
      <w:r>
        <w:t xml:space="preserve">Next, add your description. You should see</w:t>
      </w:r>
      <w:r>
        <w:t xml:space="preserve"> </w:t>
      </w:r>
      <w:r>
        <w:t xml:space="preserve">‘add/edit’</w:t>
      </w:r>
      <w:r>
        <w:t xml:space="preserve"> </w:t>
      </w:r>
      <w:r>
        <w:t xml:space="preserve">buttons on the next page. For the</w:t>
      </w:r>
      <w:r>
        <w:t xml:space="preserve"> </w:t>
      </w:r>
      <w:r>
        <w:t xml:space="preserve">‘Description’</w:t>
      </w:r>
      <w:r>
        <w:t xml:space="preserve"> </w:t>
      </w:r>
      <w:r>
        <w:t xml:space="preserve">attribute, select</w:t>
      </w:r>
      <w:r>
        <w:t xml:space="preserve"> </w:t>
      </w:r>
      <w:r>
        <w:t xml:space="preserve">‘add’</w:t>
      </w:r>
      <w:r>
        <w:t xml:space="preserve"> </w:t>
      </w:r>
      <w:r>
        <w:t xml:space="preserve">then enter details on what you discovered about that gene and click</w:t>
      </w:r>
      <w:r>
        <w:t xml:space="preserve"> </w:t>
      </w:r>
      <w:r>
        <w:t xml:space="preserve">‘save item’</w:t>
      </w:r>
      <w:r>
        <w:t xml:space="preserve">.</w:t>
      </w:r>
    </w:p>
    <w:p>
      <w:pPr>
        <w:pStyle w:val="Compact"/>
        <w:numPr>
          <w:ilvl w:val="0"/>
          <w:numId w:val="1169"/>
        </w:numPr>
      </w:pPr>
      <w:r>
        <w:t xml:space="preserve">Your name will be associated with your entry and eventually, it will become searchable across the portal! This means anyone who visits this genome can easily retrieve these details (via the search page), and know who to thank (you!) for this work.</w:t>
      </w:r>
    </w:p>
    <w:bookmarkEnd w:id="179"/>
    <w:bookmarkEnd w:id="180"/>
    <w:bookmarkEnd w:id="181"/>
    <w:bookmarkEnd w:id="182"/>
    <w:bookmarkStart w:id="184" w:name="summary"/>
    <w:p>
      <w:pPr>
        <w:pStyle w:val="Heading1"/>
      </w:pPr>
      <w:r>
        <w:t xml:space="preserve">Summary</w:t>
      </w:r>
    </w:p>
    <w:p>
      <w:pPr>
        <w:pStyle w:val="FirstParagraph"/>
      </w:pPr>
      <w:r>
        <w:t xml:space="preserve">This workbook outlines the Myco-Ed curriculum for BSC 495: The Hidden World’s Code. Students will gain hands-on experience in fungal biology and genomics, from sample collection and fungal isolation through DNA sequencing. By the end of the course, students scholars will have contributed to high-quality fungal reference genomes and developed broadly applicable skills in lab techniques and bioinformatics. More information and course resources are available at the</w:t>
      </w:r>
      <w:r>
        <w:t xml:space="preserve"> </w:t>
      </w:r>
      <w:hyperlink r:id="rId183">
        <w:r>
          <w:rPr>
            <w:rStyle w:val="Hyperlink"/>
          </w:rPr>
          <w:t xml:space="preserve">BSC495-HWC GitHub organization</w:t>
        </w:r>
      </w:hyperlink>
      <w:r>
        <w:t xml:space="preserve">.</w:t>
      </w:r>
    </w:p>
    <w:p>
      <w:pPr>
        <w:pStyle w:val="BodyText"/>
      </w:pPr>
      <w:r>
        <w:t xml:space="preserve">But wait… there is more: genome assembly, and annotation. We hope you continue working on your isolates and share your results with us and the scientific community! One possibility is a</w:t>
      </w:r>
      <w:r>
        <w:t xml:space="preserve"> </w:t>
      </w:r>
      <w:r>
        <w:rPr>
          <w:i/>
          <w:iCs/>
        </w:rPr>
        <w:t xml:space="preserve">microPublication</w:t>
      </w:r>
      <w:r>
        <w:t xml:space="preserve">. We are here to support you in your continued work on your isolates, and we would love to hear about your progress. Please feel free to reach out to us with any questions or updates on your work. We look forward to seeing the amazing things you will accomplish with your fungal isolates!</w:t>
      </w:r>
    </w:p>
    <w:bookmarkEnd w:id="184"/>
    <w:bookmarkStart w:id="185" w:name="carlos-c.-goller"/>
    <w:p>
      <w:pPr>
        <w:pStyle w:val="Heading1"/>
      </w:pPr>
      <w:r>
        <w:t xml:space="preserve">1. Carlos C. Goller</w:t>
      </w:r>
    </w:p>
    <w:bookmarkEnd w:id="185"/>
    <w:bookmarkStart w:id="188" w:name="about-the-author"/>
    <w:p>
      <w:pPr>
        <w:pStyle w:val="Heading1"/>
      </w:pPr>
      <w:r>
        <w:t xml:space="preserve">About the Author</w:t>
      </w:r>
    </w:p>
    <w:p>
      <w:pPr>
        <w:pStyle w:val="FirstParagraph"/>
      </w:pPr>
      <w:r>
        <w:t xml:space="preserve">Carlos C. Goller, Ph.D. is a Teaching Professor at North Carolina State University in Raleigh, NC. He teaches microbiology, life science, public health, and other fun courses as part of the Department of Biological Sciences. When not playing with</w:t>
      </w:r>
      <w:r>
        <w:t xml:space="preserve"> </w:t>
      </w:r>
      <w:r>
        <w:rPr>
          <w:i/>
          <w:iCs/>
        </w:rPr>
        <w:t xml:space="preserve">Delftia acidovorans</w:t>
      </w:r>
      <w:r>
        <w:t xml:space="preserve"> </w:t>
      </w:r>
      <w:r>
        <w:t xml:space="preserve">or code, Carlos enjoys spending time with his family (Claire Gordy also at NC State, Amada, and Aurelio) and playing with his dog Sunshine.</w:t>
      </w:r>
    </w:p>
    <w:bookmarkStart w:id="186" w:name="education"/>
    <w:p>
      <w:pPr>
        <w:pStyle w:val="Heading2"/>
      </w:pPr>
      <w:r>
        <w:t xml:space="preserve">1.1 Education</w:t>
      </w:r>
    </w:p>
    <w:p>
      <w:pPr>
        <w:pStyle w:val="FirstParagraph"/>
      </w:pPr>
      <w:r>
        <w:t xml:space="preserve">North Carolina State University, Raleigh, NC | Advisor: Dr. Sue Carson | Topic: Biotechnology Education and Curriculum Development</w:t>
      </w:r>
    </w:p>
    <w:p>
      <w:pPr>
        <w:pStyle w:val="BodyText"/>
      </w:pPr>
      <w:r>
        <w:t xml:space="preserve">Duke University Medical Center, Durham, NC | Advisor: Patrick C. Seed | Topic: Bacterial Pathogenesis and Anti-infective Screening</w:t>
      </w:r>
      <w:r>
        <w:t xml:space="preserve"> </w:t>
      </w:r>
      <w:r>
        <w:t xml:space="preserve">The Hartwell Foundation Postdoctoral Fellowship | September 2008 - July 2012</w:t>
      </w:r>
    </w:p>
    <w:p>
      <w:pPr>
        <w:pStyle w:val="BodyText"/>
      </w:pPr>
      <w:r>
        <w:t xml:space="preserve">Emory University, Atlanta, GA | Advisor: Tony Romeo | Topic: Bacterial Biofilm Formation and Regulation</w:t>
      </w:r>
      <w:r>
        <w:t xml:space="preserve"> </w:t>
      </w:r>
      <w:r>
        <w:t xml:space="preserve">Ph.D. in Microbiology and Molecular Genetics | August 2002 - September 2008</w:t>
      </w:r>
    </w:p>
    <w:p>
      <w:pPr>
        <w:pStyle w:val="BodyText"/>
      </w:pPr>
      <w:r>
        <w:t xml:space="preserve">Worcester Polytechnic Institute | Worcester, MA</w:t>
      </w:r>
      <w:r>
        <w:t xml:space="preserve"> </w:t>
      </w:r>
      <w:r>
        <w:t xml:space="preserve">B.S in Biology and Biotechnology | August 1998 - May 2002</w:t>
      </w:r>
    </w:p>
    <w:bookmarkEnd w:id="186"/>
    <w:bookmarkStart w:id="187" w:name="experience"/>
    <w:p>
      <w:pPr>
        <w:pStyle w:val="Heading2"/>
      </w:pPr>
      <w:r>
        <w:t xml:space="preserve">1.2 Experience</w:t>
      </w:r>
    </w:p>
    <w:p>
      <w:pPr>
        <w:pStyle w:val="FirstParagraph"/>
      </w:pPr>
      <w:r>
        <w:t xml:space="preserve">Teaching Professor | North Carolina State University Department of Biological Sciences | 2024 - Present</w:t>
      </w:r>
      <w:r>
        <w:t xml:space="preserve"> </w:t>
      </w:r>
      <w:r>
        <w:t xml:space="preserve">Associate Teaching Professor | North Carolina State University Department of Biological Sciences | 2019 - 2024</w:t>
      </w:r>
      <w:r>
        <w:t xml:space="preserve"> </w:t>
      </w:r>
      <w:r>
        <w:t xml:space="preserve">Assistant Teaching Professor | North Carolina State University Department of Biological Sciences | 2015 - 2019</w:t>
      </w:r>
    </w:p>
    <w:bookmarkEnd w:id="187"/>
    <w:bookmarkEnd w:id="188"/>
    <w:bookmarkStart w:id="192" w:name="references-2"/>
    <w:p>
      <w:pPr>
        <w:pStyle w:val="Heading1"/>
      </w:pPr>
      <w:r>
        <w:t xml:space="preserve">References</w:t>
      </w:r>
    </w:p>
    <w:bookmarkStart w:id="191" w:name="module-7.1-references"/>
    <w:p>
      <w:pPr>
        <w:pStyle w:val="Heading2"/>
      </w:pPr>
      <w:r>
        <w:t xml:space="preserve">Module 7.1 References</w:t>
      </w:r>
    </w:p>
    <w:p>
      <w:pPr>
        <w:pStyle w:val="Compact"/>
        <w:numPr>
          <w:ilvl w:val="0"/>
          <w:numId w:val="1170"/>
        </w:numPr>
      </w:pPr>
      <w:r>
        <w:t xml:space="preserve">Casselton, L.A., Olesnicky, N.S., 1998. Molecular Genetics of Mating Recognition in Basidiomycete Fungi. Microbiology and Molecular Biology Reviews, 62(1): 55-70. https://doi.org/10.1128/mmbr.62.1.55-70.1998</w:t>
      </w:r>
    </w:p>
    <w:p>
      <w:pPr>
        <w:pStyle w:val="Compact"/>
        <w:numPr>
          <w:ilvl w:val="0"/>
          <w:numId w:val="1170"/>
        </w:numPr>
      </w:pPr>
      <w:r>
        <w:t xml:space="preserve">Cambareri, E.B., Singer, M.J., Selker, E.U., 1991. Recurrence of repeat-induced point mutation (RIP) in Neurospora crassa. Genetics, 127(4): 699-710. https://doi.org/10.1093/genetics/127.4.699</w:t>
      </w:r>
    </w:p>
    <w:p>
      <w:pPr>
        <w:pStyle w:val="Compact"/>
        <w:numPr>
          <w:ilvl w:val="0"/>
          <w:numId w:val="1170"/>
        </w:numPr>
      </w:pPr>
      <w:r>
        <w:t xml:space="preserve">Metzenberg, R.L., Glass, N.L., 1990. Mating type and mating strategies in Neurospora. BioEssays, 12(2): 53-59. https://doi.org/10.1002/bies.950120202</w:t>
      </w:r>
    </w:p>
    <w:bookmarkStart w:id="190" w:name="refs"/>
    <w:bookmarkStart w:id="189" w:name="ref-doyle1987"/>
    <w:p>
      <w:pPr>
        <w:pStyle w:val="Bibliography"/>
      </w:pPr>
      <w:r>
        <w:t xml:space="preserve">Doyle, J. J., and J. L. Doyle. 1987.</w:t>
      </w:r>
      <w:r>
        <w:t xml:space="preserve"> </w:t>
      </w:r>
      <w:r>
        <w:t xml:space="preserve">“A Rapid</w:t>
      </w:r>
      <w:r>
        <w:t xml:space="preserve"> </w:t>
      </w:r>
      <w:r>
        <w:t xml:space="preserve">DNA</w:t>
      </w:r>
      <w:r>
        <w:t xml:space="preserve"> </w:t>
      </w:r>
      <w:r>
        <w:t xml:space="preserve">Isolation Procedure from Small Quantities of Fresh Leaf Tissues.”</w:t>
      </w:r>
      <w:r>
        <w:t xml:space="preserve"> </w:t>
      </w:r>
      <w:r>
        <w:rPr>
          <w:i/>
          <w:iCs/>
        </w:rPr>
        <w:t xml:space="preserve">Phytochemical Bulletin</w:t>
      </w:r>
      <w:r>
        <w:t xml:space="preserve"> </w:t>
      </w:r>
      <w:r>
        <w:t xml:space="preserve">19: 11–15.</w:t>
      </w:r>
    </w:p>
    <w:bookmarkEnd w:id="189"/>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1"/>
  </w:num>
  <w:num w:numId="1037">
    <w:abstractNumId w:val="991"/>
  </w:num>
  <w:num w:numId="1038">
    <w:abstractNumId w:val="991"/>
  </w:num>
  <w:num w:numId="1039">
    <w:abstractNumId w:val="992"/>
  </w:num>
  <w:num w:numId="1040">
    <w:abstractNumId w:val="992"/>
  </w:num>
  <w:num w:numId="1041">
    <w:abstractNumId w:val="992"/>
  </w:num>
  <w:num w:numId="1042">
    <w:abstractNumId w:val="992"/>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9" Target="media/rId89.png" /><Relationship Type="http://schemas.openxmlformats.org/officeDocument/2006/relationships/image" Id="rId12" Target="media/rId12.png" /><Relationship Type="http://schemas.openxmlformats.org/officeDocument/2006/relationships/image" Id="rId38" Target="media/rId38.png" /><Relationship Type="http://schemas.openxmlformats.org/officeDocument/2006/relationships/image" Id="rId103" Target="media/rId103.png" /><Relationship Type="http://schemas.openxmlformats.org/officeDocument/2006/relationships/image" Id="rId63" Target="media/rId63.png" /><Relationship Type="http://schemas.openxmlformats.org/officeDocument/2006/relationships/image" Id="rId81" Target="media/rId81.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hyperlink" Id="rId44" Target="https://docs.google.com/spreadsheets/d/1mwfepj-iDCfE9ZHvsbBmc7eAuIUaboug/edit?usp=sharing&amp;ouid=105826871227022710667&amp;rtpof=true&amp;sd=true" TargetMode="External" /><Relationship Type="http://schemas.openxmlformats.org/officeDocument/2006/relationships/hyperlink" Id="rId25" Target="https://dx.doi.org/10.17504/protocols.io.rm7vzqd5xvx1/v1" TargetMode="External" /><Relationship Type="http://schemas.openxmlformats.org/officeDocument/2006/relationships/hyperlink" Id="rId57" Target="https://fundis.org/get-started/photograph" TargetMode="External" /><Relationship Type="http://schemas.openxmlformats.org/officeDocument/2006/relationships/hyperlink" Id="rId183" Target="https://github.com/BSC495-HWC" TargetMode="External" /><Relationship Type="http://schemas.openxmlformats.org/officeDocument/2006/relationships/hyperlink" Id="rId55" Target="https://inaturalist.freshdesk.com/en/support/solutions/folders/151000547795" TargetMode="External" /><Relationship Type="http://schemas.openxmlformats.org/officeDocument/2006/relationships/hyperlink" Id="rId10" Target="https://mycocosm.jgi.doe.gov/mycocosm/home/myco-ed" TargetMode="External" /><Relationship Type="http://schemas.openxmlformats.org/officeDocument/2006/relationships/hyperlink" Id="rId9" Target="https://quarto.org/docs/books" TargetMode="External" /><Relationship Type="http://schemas.openxmlformats.org/officeDocument/2006/relationships/hyperlink" Id="rId54" Target="https://www.inaturalist.org/pages/getting+started" TargetMode="External" /><Relationship Type="http://schemas.openxmlformats.org/officeDocument/2006/relationships/hyperlink" Id="rId46" Target="https://www.inaturalist.org/projects/nc-state-myco-ed" TargetMode="External" /><Relationship Type="http://schemas.openxmlformats.org/officeDocument/2006/relationships/hyperlink" Id="rId56" Target="https://youtu.be/EgZw37NjxkA" TargetMode="External" /><Relationship Type="http://schemas.openxmlformats.org/officeDocument/2006/relationships/hyperlink" Id="rId15" Target="module0-slides.html" TargetMode="External" /><Relationship Type="http://schemas.openxmlformats.org/officeDocument/2006/relationships/hyperlink" Id="rId16" Target="module1-slides.html" TargetMode="External" /><Relationship Type="http://schemas.openxmlformats.org/officeDocument/2006/relationships/hyperlink" Id="rId17" Target="module2-slides.html" TargetMode="External" /><Relationship Type="http://schemas.openxmlformats.org/officeDocument/2006/relationships/hyperlink" Id="rId18" Target="module3-slides.html" TargetMode="External" /><Relationship Type="http://schemas.openxmlformats.org/officeDocument/2006/relationships/hyperlink" Id="rId19" Target="module4-slides.html" TargetMode="External" /><Relationship Type="http://schemas.openxmlformats.org/officeDocument/2006/relationships/hyperlink" Id="rId20" Target="module5-slides.html" TargetMode="External" /><Relationship Type="http://schemas.openxmlformats.org/officeDocument/2006/relationships/hyperlink" Id="rId21" Target="module6-slides.html" TargetMode="External" /><Relationship Type="http://schemas.openxmlformats.org/officeDocument/2006/relationships/hyperlink" Id="rId22" Target="module7-slides.html" TargetMode="External" /></Relationships>
</file>

<file path=word/_rels/footnotes.xml.rels><?xml version="1.0" encoding="UTF-8"?><Relationships xmlns="http://schemas.openxmlformats.org/package/2006/relationships"><Relationship Type="http://schemas.openxmlformats.org/officeDocument/2006/relationships/hyperlink" Id="rId44" Target="https://docs.google.com/spreadsheets/d/1mwfepj-iDCfE9ZHvsbBmc7eAuIUaboug/edit?usp=sharing&amp;ouid=105826871227022710667&amp;rtpof=true&amp;sd=true" TargetMode="External" /><Relationship Type="http://schemas.openxmlformats.org/officeDocument/2006/relationships/hyperlink" Id="rId25" Target="https://dx.doi.org/10.17504/protocols.io.rm7vzqd5xvx1/v1" TargetMode="External" /><Relationship Type="http://schemas.openxmlformats.org/officeDocument/2006/relationships/hyperlink" Id="rId57" Target="https://fundis.org/get-started/photograph" TargetMode="External" /><Relationship Type="http://schemas.openxmlformats.org/officeDocument/2006/relationships/hyperlink" Id="rId183" Target="https://github.com/BSC495-HWC" TargetMode="External" /><Relationship Type="http://schemas.openxmlformats.org/officeDocument/2006/relationships/hyperlink" Id="rId55" Target="https://inaturalist.freshdesk.com/en/support/solutions/folders/151000547795" TargetMode="External" /><Relationship Type="http://schemas.openxmlformats.org/officeDocument/2006/relationships/hyperlink" Id="rId10" Target="https://mycocosm.jgi.doe.gov/mycocosm/home/myco-ed" TargetMode="External" /><Relationship Type="http://schemas.openxmlformats.org/officeDocument/2006/relationships/hyperlink" Id="rId9" Target="https://quarto.org/docs/books" TargetMode="External" /><Relationship Type="http://schemas.openxmlformats.org/officeDocument/2006/relationships/hyperlink" Id="rId54" Target="https://www.inaturalist.org/pages/getting+started" TargetMode="External" /><Relationship Type="http://schemas.openxmlformats.org/officeDocument/2006/relationships/hyperlink" Id="rId46" Target="https://www.inaturalist.org/projects/nc-state-myco-ed" TargetMode="External" /><Relationship Type="http://schemas.openxmlformats.org/officeDocument/2006/relationships/hyperlink" Id="rId56" Target="https://youtu.be/EgZw37NjxkA" TargetMode="External" /><Relationship Type="http://schemas.openxmlformats.org/officeDocument/2006/relationships/hyperlink" Id="rId15" Target="module0-slides.html" TargetMode="External" /><Relationship Type="http://schemas.openxmlformats.org/officeDocument/2006/relationships/hyperlink" Id="rId16" Target="module1-slides.html" TargetMode="External" /><Relationship Type="http://schemas.openxmlformats.org/officeDocument/2006/relationships/hyperlink" Id="rId17" Target="module2-slides.html" TargetMode="External" /><Relationship Type="http://schemas.openxmlformats.org/officeDocument/2006/relationships/hyperlink" Id="rId18" Target="module3-slides.html" TargetMode="External" /><Relationship Type="http://schemas.openxmlformats.org/officeDocument/2006/relationships/hyperlink" Id="rId19" Target="module4-slides.html" TargetMode="External" /><Relationship Type="http://schemas.openxmlformats.org/officeDocument/2006/relationships/hyperlink" Id="rId20" Target="module5-slides.html" TargetMode="External" /><Relationship Type="http://schemas.openxmlformats.org/officeDocument/2006/relationships/hyperlink" Id="rId21" Target="module6-slides.html" TargetMode="External" /><Relationship Type="http://schemas.openxmlformats.org/officeDocument/2006/relationships/hyperlink" Id="rId22" Target="module7-slid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495: The Hidden World’s Code</dc:title>
  <dc:creator>Carlos C. Goller, Ph.D.</dc:creator>
  <dc:description>This lab-based course is a high-impact experience based on The Mycological Curriculum for Education and Discovery (Myco-Ed), a Course-Based Undergraduate Research Experience (CURE) that features team-based, hands-on experiments in fungal biology and genomics. You will learn new laboratory techniques and data analysis by starting with sample collection, fungal isolation, and the characterization of the resulting data to improve fungal genomic resources. Genomic DNA will be extracted from samples for genome sequencing, assembly, and annotation. By isolating and sequencing new fungal species, your team will help produce high-quality fungal reference genomes. This course will prepare you with workforce training in fungal biology and genomics and empower you to be a contributor to fungal genomics! Importantly, you will practice lab and bioinformatics skills that are broadly applicable!</dc:description>
  <cp:keywords/>
  <dcterms:created xsi:type="dcterms:W3CDTF">2026-05-21T00:02:15Z</dcterms:created>
  <dcterms:modified xsi:type="dcterms:W3CDTF">2026-05-21T00:02:15Z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2026-05-07</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 Hands-On Fungal Genomics Lab</vt:lpwstr>
  </property>
  <property fmtid="{D5CDD505-2E9C-101B-9397-08002B2CF9AE}" pid="15" name="template-partials">
    <vt:lpwstr/>
  </property>
  <property fmtid="{D5CDD505-2E9C-101B-9397-08002B2CF9AE}" pid="16" name="toc-title">
    <vt:lpwstr>Table of contents</vt:lpwstr>
  </property>
</Properties>
</file>