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2.png" ContentType="image/png"/>
  <Override PartName="/word/media/rId38.png" ContentType="image/png"/>
  <Override PartName="/word/media/rId52.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73" w:name="module-1-fungal-sampling"/>
    <w:p>
      <w:pPr>
        <w:pStyle w:val="Heading1"/>
      </w:pPr>
      <w:r>
        <w:t xml:space="preserve">Module 1: Fungal Sampling</w:t>
      </w:r>
    </w:p>
    <w:bookmarkStart w:id="42" w:name="module-1.1-lab-prep-overview"/>
    <w:p>
      <w:pPr>
        <w:pStyle w:val="Heading2"/>
      </w:pPr>
      <w:r>
        <w:t xml:space="preserve">Module 1.1 – Lab Prep Overview</w:t>
      </w:r>
    </w:p>
    <w:bookmarkStart w:id="41" w:name="X77a2a5cde368cdc7e0265278fa1fc26eefd1a5c"/>
    <w:p>
      <w:pPr>
        <w:pStyle w:val="Heading3"/>
      </w:pPr>
      <w:r>
        <w:t xml:space="preserve">Instructor Laboratory Preparation Instructions</w:t>
      </w:r>
    </w:p>
    <w:p>
      <w:pPr>
        <w:pStyle w:val="FirstParagraph"/>
      </w:pPr>
      <w:r>
        <w:rPr>
          <w:b/>
          <w:bCs/>
        </w:rP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100x15mm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Forceps</w:t>
      </w:r>
    </w:p>
    <w:p>
      <w:pPr>
        <w:pStyle w:val="Compact"/>
        <w:numPr>
          <w:ilvl w:val="0"/>
          <w:numId w:val="1034"/>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Start w:id="50" w:name="module-1.2-metadata-directions"/>
    <w:p>
      <w:pPr>
        <w:pStyle w:val="Heading2"/>
      </w:pPr>
      <w:r>
        <w:t xml:space="preserve">Module 1.2 – Metadata Directions</w:t>
      </w:r>
    </w:p>
    <w:bookmarkStart w:id="43" w:name="metadata"/>
    <w:p>
      <w:pPr>
        <w:pStyle w:val="Heading3"/>
      </w:pPr>
      <w:r>
        <w:t xml:space="preserve">Metadata</w:t>
      </w:r>
    </w:p>
    <w:p>
      <w:pPr>
        <w:pStyle w:val="DefinitionTerm"/>
      </w:pPr>
      <w:r>
        <w:t xml:space="preserve">Metadata</w:t>
      </w:r>
    </w:p>
    <w:p>
      <w:pPr>
        <w:pStyle w:val="Definition"/>
      </w:pP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FirstParagraph"/>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3"/>
    <w:bookmarkStart w:id="45" w:name="inaturalist-plant-observation"/>
    <w:p>
      <w:pPr>
        <w:pStyle w:val="Heading3"/>
      </w:pPr>
      <w:r>
        <w:t xml:space="preserve">iNaturalist plant observation:</w:t>
      </w:r>
    </w:p>
    <w:p>
      <w:pPr>
        <w:pStyle w:val="FirstParagraph"/>
      </w:pPr>
      <w:hyperlink r:id="rId44">
        <w:r>
          <w:rPr>
            <w:rStyle w:val="Hyperlink"/>
          </w:rPr>
          <w:t xml:space="preserve">NC State Myco Ed on iNaturalist</w:t>
        </w:r>
      </w:hyperlink>
    </w:p>
    <w:bookmarkEnd w:id="45"/>
    <w:bookmarkStart w:id="46"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6"/>
    <w:bookmarkStart w:id="47"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7"/>
    <w:bookmarkStart w:id="48"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8"/>
    <w:bookmarkStart w:id="49"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49"/>
    <w:bookmarkEnd w:id="50"/>
    <w:bookmarkStart w:id="65" w:name="Xb4fb397bd02a3abfe006792dec75e7bd20d5dfd"/>
    <w:p>
      <w:pPr>
        <w:pStyle w:val="Heading2"/>
      </w:pPr>
      <w:r>
        <w:t xml:space="preserve">Module 1.3 - Fungal Sampling and Culturing</w:t>
      </w:r>
    </w:p>
    <w:bookmarkStart w:id="51"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1"/>
    <w:bookmarkStart w:id="56"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 Figure 1:</w:t>
      </w:r>
      <w:r>
        <w:t xml:space="preserve"> </w:t>
      </w:r>
      <w:hyperlink w:anchor="fig-leafpathologies">
        <w:r>
          <w:rPr>
            <w:rStyle w:val="Hyperlink"/>
          </w:rPr>
          <w:t xml:space="preserve">Figure 1</w:t>
        </w:r>
      </w:hyperlink>
      <w:r>
        <w:t xml:space="preserve">, which shows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55" w:name="fig-leafpathologies"/>
          <w:p>
            <w:pPr>
              <w:pStyle w:val="Compact"/>
              <w:jc w:val="center"/>
            </w:pPr>
            <w:r>
              <w:drawing>
                <wp:inline>
                  <wp:extent cx="5334000" cy="3733799"/>
                  <wp:effectExtent b="0" l="0" r="0" t="0"/>
                  <wp:docPr descr="" title="" id="53" name="Picture"/>
                  <a:graphic>
                    <a:graphicData uri="http://schemas.openxmlformats.org/drawingml/2006/picture">
                      <pic:pic>
                        <pic:nvPicPr>
                          <pic:cNvPr descr="images/LeafPathologies.png" id="54" name="Picture"/>
                          <pic:cNvPicPr>
                            <a:picLocks noChangeArrowheads="1" noChangeAspect="1"/>
                          </pic:cNvPicPr>
                        </pic:nvPicPr>
                        <pic:blipFill>
                          <a:blip r:embed="rId5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55"/>
        </w:tc>
      </w:tr>
    </w:tbl>
    <w:bookmarkEnd w:id="56"/>
    <w:bookmarkStart w:id="57" w:name="learning-goals"/>
    <w:p>
      <w:pPr>
        <w:pStyle w:val="Heading3"/>
      </w:pPr>
      <w:r>
        <w:t xml:space="preserve">Learning Goals</w:t>
      </w:r>
    </w:p>
    <w:p>
      <w:pPr>
        <w:pStyle w:val="Compact"/>
        <w:numPr>
          <w:ilvl w:val="0"/>
          <w:numId w:val="1035"/>
        </w:numPr>
      </w:pPr>
      <w:r>
        <w:t xml:space="preserve">Documentation using iNaturalist</w:t>
      </w:r>
    </w:p>
    <w:p>
      <w:pPr>
        <w:pStyle w:val="Compact"/>
        <w:numPr>
          <w:ilvl w:val="0"/>
          <w:numId w:val="1035"/>
        </w:numPr>
      </w:pPr>
      <w:r>
        <w:t xml:space="preserve">Practice sterile technique</w:t>
      </w:r>
    </w:p>
    <w:p>
      <w:pPr>
        <w:pStyle w:val="Compact"/>
        <w:numPr>
          <w:ilvl w:val="0"/>
          <w:numId w:val="1035"/>
        </w:numPr>
      </w:pPr>
      <w:r>
        <w:t xml:space="preserve">Culture and isolate fungi</w:t>
      </w:r>
    </w:p>
    <w:p>
      <w:pPr>
        <w:pStyle w:val="Compact"/>
        <w:numPr>
          <w:ilvl w:val="0"/>
          <w:numId w:val="1035"/>
        </w:numPr>
      </w:pPr>
      <w:r>
        <w:t xml:space="preserve">Investigate fungal endophytes</w:t>
      </w:r>
    </w:p>
    <w:p>
      <w:pPr>
        <w:pStyle w:val="Compact"/>
        <w:numPr>
          <w:ilvl w:val="0"/>
          <w:numId w:val="1035"/>
        </w:numPr>
      </w:pPr>
      <w:r>
        <w:t xml:space="preserve">Characterize morphology of fungal cultures</w:t>
      </w:r>
    </w:p>
    <w:bookmarkEnd w:id="57"/>
    <w:bookmarkStart w:id="58" w:name="lab-supplies"/>
    <w:p>
      <w:pPr>
        <w:pStyle w:val="Heading3"/>
      </w:pPr>
      <w:r>
        <w:t xml:space="preserve">Lab Supplies</w:t>
      </w:r>
    </w:p>
    <w:p>
      <w:pPr>
        <w:pStyle w:val="Compact"/>
        <w:numPr>
          <w:ilvl w:val="0"/>
          <w:numId w:val="1036"/>
        </w:numPr>
      </w:pPr>
      <w:r>
        <w:t xml:space="preserve">3 large water agar Petri plates - these are for initial isolation</w:t>
      </w:r>
    </w:p>
    <w:p>
      <w:pPr>
        <w:pStyle w:val="Compact"/>
        <w:numPr>
          <w:ilvl w:val="0"/>
          <w:numId w:val="1037"/>
        </w:numPr>
      </w:pPr>
      <w:r>
        <w:t xml:space="preserve">Sharpie</w:t>
      </w:r>
    </w:p>
    <w:p>
      <w:pPr>
        <w:pStyle w:val="Compact"/>
        <w:numPr>
          <w:ilvl w:val="0"/>
          <w:numId w:val="1038"/>
        </w:numPr>
      </w:pPr>
      <w:r>
        <w:t xml:space="preserve">Parafilm</w:t>
      </w:r>
    </w:p>
    <w:p>
      <w:pPr>
        <w:pStyle w:val="Compact"/>
        <w:numPr>
          <w:ilvl w:val="0"/>
          <w:numId w:val="1039"/>
        </w:numPr>
      </w:pPr>
      <w:r>
        <w:t xml:space="preserve">Paper towels</w:t>
      </w:r>
    </w:p>
    <w:p>
      <w:pPr>
        <w:pStyle w:val="Compact"/>
        <w:numPr>
          <w:ilvl w:val="0"/>
          <w:numId w:val="1040"/>
        </w:numPr>
      </w:pPr>
      <w:r>
        <w:t xml:space="preserve">Gloves</w:t>
      </w:r>
    </w:p>
    <w:p>
      <w:pPr>
        <w:pStyle w:val="Compact"/>
        <w:numPr>
          <w:ilvl w:val="0"/>
          <w:numId w:val="1041"/>
        </w:numPr>
      </w:pPr>
      <w:r>
        <w:t xml:space="preserve">Bleach</w:t>
      </w:r>
    </w:p>
    <w:p>
      <w:pPr>
        <w:pStyle w:val="Compact"/>
        <w:numPr>
          <w:ilvl w:val="0"/>
          <w:numId w:val="1042"/>
        </w:numPr>
      </w:pPr>
      <w:r>
        <w:t xml:space="preserve">Ethanol</w:t>
      </w:r>
    </w:p>
    <w:p>
      <w:pPr>
        <w:pStyle w:val="Compact"/>
        <w:numPr>
          <w:ilvl w:val="0"/>
          <w:numId w:val="1043"/>
        </w:numPr>
      </w:pPr>
      <w:r>
        <w:t xml:space="preserve">Scalpel</w:t>
      </w:r>
    </w:p>
    <w:p>
      <w:pPr>
        <w:pStyle w:val="Compact"/>
        <w:numPr>
          <w:ilvl w:val="0"/>
          <w:numId w:val="1044"/>
        </w:numPr>
      </w:pPr>
      <w:r>
        <w:t xml:space="preserve">Metal hole punch</w:t>
      </w:r>
    </w:p>
    <w:p>
      <w:pPr>
        <w:pStyle w:val="Compact"/>
        <w:numPr>
          <w:ilvl w:val="0"/>
          <w:numId w:val="1045"/>
        </w:numPr>
      </w:pPr>
      <w:r>
        <w:t xml:space="preserve">Forceps</w:t>
      </w:r>
    </w:p>
    <w:bookmarkEnd w:id="58"/>
    <w:bookmarkStart w:id="64" w:name="instructions"/>
    <w:p>
      <w:pPr>
        <w:pStyle w:val="Heading3"/>
      </w:pPr>
      <w:r>
        <w:t xml:space="preserve">Instructions</w:t>
      </w:r>
    </w:p>
    <w:bookmarkStart w:id="63"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p>
    <w:p>
      <w:pPr>
        <w:pStyle w:val="Compact"/>
        <w:numPr>
          <w:ilvl w:val="0"/>
          <w:numId w:val="1046"/>
        </w:numPr>
      </w:pPr>
      <w:r>
        <w:t xml:space="preserve">Your phone with iNaturalist.</w:t>
      </w:r>
    </w:p>
    <w:p>
      <w:pPr>
        <w:pStyle w:val="Compact"/>
        <w:numPr>
          <w:ilvl w:val="0"/>
          <w:numId w:val="1047"/>
        </w:numPr>
      </w:pPr>
      <w:r>
        <w:t xml:space="preserve">Sample labels with unique ID numbers.</w:t>
      </w:r>
    </w:p>
    <w:p>
      <w:pPr>
        <w:pStyle w:val="Compact"/>
        <w:numPr>
          <w:ilvl w:val="0"/>
          <w:numId w:val="1048"/>
        </w:numPr>
      </w:pPr>
      <w:r>
        <w:t xml:space="preserve">Paper bags for samples.</w:t>
      </w:r>
    </w:p>
    <w:p>
      <w:pPr>
        <w:pStyle w:val="Compact"/>
        <w:numPr>
          <w:ilvl w:val="0"/>
          <w:numId w:val="1049"/>
        </w:numPr>
      </w:pPr>
      <w:r>
        <w:t xml:space="preserve">Clippers, scissors, or a knife to sample leaves.</w:t>
      </w:r>
    </w:p>
    <w:p>
      <w:pPr>
        <w:pStyle w:val="FirstParagraph"/>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 Record your information on the label including the unique ID number, date, location, and any other relevant information. This will be important for tracking your samples and linking them to your iNaturalist observation.</w:t>
      </w:r>
      <w:r>
        <w:t xml:space="preserve"> </w:t>
      </w:r>
      <w:r>
        <w:t xml:space="preserve">4. Sample up to three leaves using your cutting instrument.</w:t>
      </w:r>
      <w:r>
        <w:t xml:space="preserve"> </w:t>
      </w:r>
      <w:r>
        <w:t xml:space="preserve">5. Put the leaf samples into the bag.</w:t>
      </w:r>
    </w:p>
    <w:p>
      <w:pPr>
        <w:pStyle w:val="BodyText"/>
      </w:pPr>
      <w:bookmarkStart w:id="62" w:name="fig-LeafSampling"/>
      <w:r>
        <w:drawing>
          <wp:inline>
            <wp:extent cx="5334000" cy="3733799"/>
            <wp:effectExtent b="0" l="0" r="0" t="0"/>
            <wp:docPr descr="" title="" id="60" name="Picture"/>
            <a:graphic>
              <a:graphicData uri="http://schemas.openxmlformats.org/drawingml/2006/picture">
                <pic:pic>
                  <pic:nvPicPr>
                    <pic:cNvPr descr="images/LeafSampling.png" id="61" name="Picture"/>
                    <pic:cNvPicPr>
                      <a:picLocks noChangeArrowheads="1" noChangeAspect="1"/>
                    </pic:cNvPicPr>
                  </pic:nvPicPr>
                  <pic:blipFill>
                    <a:blip r:embed="rId59"/>
                    <a:stretch>
                      <a:fillRect/>
                    </a:stretch>
                  </pic:blipFill>
                  <pic:spPr bwMode="auto">
                    <a:xfrm>
                      <a:off x="0" y="0"/>
                      <a:ext cx="5334000" cy="3733799"/>
                    </a:xfrm>
                    <a:prstGeom prst="rect">
                      <a:avLst/>
                    </a:prstGeom>
                    <a:noFill/>
                    <a:ln w="9525">
                      <a:noFill/>
                      <a:headEnd/>
                      <a:tailEnd/>
                    </a:ln>
                  </pic:spPr>
                </pic:pic>
              </a:graphicData>
            </a:graphic>
          </wp:inline>
        </w:drawing>
      </w:r>
      <w:bookmarkEnd w:id="62"/>
      <w:r>
        <w:t xml:space="preserve"> </w:t>
      </w:r>
      <w:r>
        <w:t xml:space="preserve">Fungal Sampling. Collect one sample/leaf per bag and complete the required information on each label. Figure created with BioRender.com.</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63"/>
    <w:bookmarkEnd w:id="64"/>
    <w:bookmarkEnd w:id="65"/>
    <w:bookmarkStart w:id="72" w:name="module-1.4-using-inaturalist"/>
    <w:p>
      <w:pPr>
        <w:pStyle w:val="Heading2"/>
      </w:pPr>
      <w:r>
        <w:t xml:space="preserve">Module 1.4 – Using iNaturalist</w:t>
      </w:r>
    </w:p>
    <w:bookmarkStart w:id="70"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p>
    <w:p>
      <w:pPr>
        <w:pStyle w:val="Compact"/>
        <w:numPr>
          <w:ilvl w:val="0"/>
          <w:numId w:val="1053"/>
        </w:numPr>
      </w:pPr>
      <w:r>
        <w:t xml:space="preserve">Go to https://www.inaturalist.org/ and make an account if you don’t already have one.</w:t>
      </w:r>
    </w:p>
    <w:p>
      <w:pPr>
        <w:pStyle w:val="Compact"/>
        <w:numPr>
          <w:ilvl w:val="0"/>
          <w:numId w:val="1053"/>
        </w:numPr>
      </w:pPr>
      <w:r>
        <w:t xml:space="preserve">Download the iNaturalist App to your phone.</w:t>
      </w:r>
    </w:p>
    <w:p>
      <w:pPr>
        <w:pStyle w:val="Compact"/>
        <w:numPr>
          <w:ilvl w:val="0"/>
          <w:numId w:val="105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5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53"/>
        </w:numPr>
      </w:pPr>
      <w:r>
        <w:t xml:space="preserve">Add your Real Name to iNaturalist</w:t>
      </w:r>
    </w:p>
    <w:p>
      <w:pPr>
        <w:pStyle w:val="Compact"/>
        <w:numPr>
          <w:ilvl w:val="1"/>
          <w:numId w:val="1054"/>
        </w:numPr>
      </w:pPr>
      <w:r>
        <w:t xml:space="preserve">For your name to display properly you need it spelled out in your profile.</w:t>
      </w:r>
    </w:p>
    <w:p>
      <w:pPr>
        <w:pStyle w:val="Compact"/>
        <w:numPr>
          <w:ilvl w:val="1"/>
          <w:numId w:val="1054"/>
        </w:numPr>
      </w:pPr>
      <w:r>
        <w:t xml:space="preserve">Log into iNat.</w:t>
      </w:r>
    </w:p>
    <w:p>
      <w:pPr>
        <w:pStyle w:val="Compact"/>
        <w:numPr>
          <w:ilvl w:val="1"/>
          <w:numId w:val="1054"/>
        </w:numPr>
      </w:pPr>
      <w:r>
        <w:t xml:space="preserve">Go to your profile icon in the top right.</w:t>
      </w:r>
    </w:p>
    <w:p>
      <w:pPr>
        <w:pStyle w:val="Compact"/>
        <w:numPr>
          <w:ilvl w:val="1"/>
          <w:numId w:val="1054"/>
        </w:numPr>
      </w:pPr>
      <w:r>
        <w:t xml:space="preserve">Select Account Settings.</w:t>
      </w:r>
    </w:p>
    <w:p>
      <w:pPr>
        <w:pStyle w:val="Compact"/>
        <w:numPr>
          <w:ilvl w:val="1"/>
          <w:numId w:val="1054"/>
        </w:numPr>
      </w:pPr>
      <w:r>
        <w:t xml:space="preserve">Type your real name into the space under Display Name.</w:t>
      </w:r>
    </w:p>
    <w:p>
      <w:pPr>
        <w:pStyle w:val="Compact"/>
        <w:numPr>
          <w:ilvl w:val="0"/>
          <w:numId w:val="1053"/>
        </w:numPr>
      </w:pPr>
      <w:r>
        <w:t xml:space="preserve">iNaturalist Application Settings on your phone.</w:t>
      </w:r>
    </w:p>
    <w:p>
      <w:pPr>
        <w:pStyle w:val="Compact"/>
        <w:numPr>
          <w:ilvl w:val="1"/>
          <w:numId w:val="1055"/>
        </w:numPr>
      </w:pPr>
      <w:r>
        <w:t xml:space="preserve">Go to settings on your phone.</w:t>
      </w:r>
    </w:p>
    <w:p>
      <w:pPr>
        <w:pStyle w:val="Compact"/>
        <w:numPr>
          <w:ilvl w:val="1"/>
          <w:numId w:val="1055"/>
        </w:numPr>
      </w:pPr>
      <w:r>
        <w:t xml:space="preserve">Turn off</w:t>
      </w:r>
      <w:r>
        <w:t xml:space="preserve"> </w:t>
      </w:r>
      <w:r>
        <w:t xml:space="preserve">“Automatic Upload”</w:t>
      </w:r>
      <w:r>
        <w:t xml:space="preserve"> </w:t>
      </w:r>
      <w:r>
        <w:t xml:space="preserve">(recommended).</w:t>
      </w:r>
    </w:p>
    <w:p>
      <w:pPr>
        <w:pStyle w:val="Compact"/>
        <w:numPr>
          <w:ilvl w:val="1"/>
          <w:numId w:val="105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p>
    <w:p>
      <w:pPr>
        <w:pStyle w:val="Compact"/>
        <w:numPr>
          <w:ilvl w:val="0"/>
          <w:numId w:val="1056"/>
        </w:numPr>
      </w:pPr>
      <w:hyperlink r:id="rId66">
        <w:r>
          <w:rPr>
            <w:rStyle w:val="Hyperlink"/>
          </w:rPr>
          <w:t xml:space="preserve">Getting Started</w:t>
        </w:r>
      </w:hyperlink>
    </w:p>
    <w:p>
      <w:pPr>
        <w:pStyle w:val="Compact"/>
        <w:numPr>
          <w:ilvl w:val="0"/>
          <w:numId w:val="1057"/>
        </w:numPr>
      </w:pPr>
      <w:hyperlink r:id="rId67">
        <w:r>
          <w:rPr>
            <w:rStyle w:val="Hyperlink"/>
          </w:rPr>
          <w:t xml:space="preserve">iNaturalist Videos</w:t>
        </w:r>
      </w:hyperlink>
    </w:p>
    <w:p>
      <w:pPr>
        <w:pStyle w:val="Compact"/>
        <w:numPr>
          <w:ilvl w:val="0"/>
          <w:numId w:val="1058"/>
        </w:numPr>
      </w:pPr>
      <w:hyperlink r:id="rId68">
        <w:r>
          <w:rPr>
            <w:rStyle w:val="Hyperlink"/>
          </w:rPr>
          <w:t xml:space="preserve">NAMA/FunDiS How To Collect Research Specimens</w:t>
        </w:r>
      </w:hyperlink>
    </w:p>
    <w:p>
      <w:pPr>
        <w:pStyle w:val="FirstParagraph"/>
      </w:pPr>
      <w:hyperlink r:id="rId68">
        <w:r>
          <w:rPr>
            <w:rStyle w:val="Hyperlink"/>
          </w:rPr>
          <w:t xml:space="preserve">https://youtu.be/EgZw37NjxkA</w:t>
        </w:r>
      </w:hyperlink>
    </w:p>
    <w:p>
      <w:pPr>
        <w:pStyle w:val="Compact"/>
        <w:numPr>
          <w:ilvl w:val="0"/>
          <w:numId w:val="1059"/>
        </w:numPr>
      </w:pPr>
      <w:hyperlink r:id="rId69">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70"/>
    <w:bookmarkStart w:id="71"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p>
    <w:p>
      <w:pPr>
        <w:pStyle w:val="Compact"/>
        <w:numPr>
          <w:ilvl w:val="0"/>
          <w:numId w:val="1060"/>
        </w:numPr>
      </w:pPr>
      <w:r>
        <w:t xml:space="preserve">Open your iNaturalist Application.</w:t>
      </w:r>
    </w:p>
    <w:p>
      <w:pPr>
        <w:pStyle w:val="Compact"/>
        <w:numPr>
          <w:ilvl w:val="0"/>
          <w:numId w:val="1060"/>
        </w:numPr>
      </w:pPr>
      <w:r>
        <w:t xml:space="preserve">Make an observation of one host plant by taking a picture of it.</w:t>
      </w:r>
    </w:p>
    <w:p>
      <w:pPr>
        <w:pStyle w:val="Compact"/>
        <w:numPr>
          <w:ilvl w:val="1"/>
          <w:numId w:val="1061"/>
        </w:numPr>
      </w:pPr>
      <w:r>
        <w:t xml:space="preserve">Find the camera icon in the app and take a picture of your plant.</w:t>
      </w:r>
    </w:p>
    <w:p>
      <w:pPr>
        <w:pStyle w:val="Compact"/>
        <w:numPr>
          <w:ilvl w:val="1"/>
          <w:numId w:val="1061"/>
        </w:numPr>
      </w:pPr>
      <w:r>
        <w:t xml:space="preserve">Include one field label in an image of the plant. (see examples)</w:t>
      </w:r>
    </w:p>
    <w:p>
      <w:pPr>
        <w:pStyle w:val="Compact"/>
        <w:numPr>
          <w:ilvl w:val="1"/>
          <w:numId w:val="1061"/>
        </w:numPr>
      </w:pPr>
      <w:r>
        <w:t xml:space="preserve">Take images from multiple perspectives: whole plant, leaves, flowers+fruits, branches, trunk, etc.</w:t>
      </w:r>
    </w:p>
    <w:p>
      <w:pPr>
        <w:pStyle w:val="Compact"/>
        <w:numPr>
          <w:ilvl w:val="0"/>
          <w:numId w:val="1060"/>
        </w:numPr>
      </w:pPr>
      <w:r>
        <w:t xml:space="preserve">Alternatively, take images on your phone and upload them to iNaturalist. Again, make sure you are including a field label in your images.</w:t>
      </w:r>
    </w:p>
    <w:p>
      <w:pPr>
        <w:pStyle w:val="Compact"/>
        <w:numPr>
          <w:ilvl w:val="0"/>
          <w:numId w:val="1060"/>
        </w:numPr>
      </w:pPr>
      <w:r>
        <w:t xml:space="preserve">Before saving the observation, add it to your course project using the app.</w:t>
      </w:r>
    </w:p>
    <w:p>
      <w:pPr>
        <w:pStyle w:val="Compact"/>
        <w:numPr>
          <w:ilvl w:val="1"/>
          <w:numId w:val="1062"/>
        </w:numPr>
      </w:pPr>
      <w:r>
        <w:t xml:space="preserve">Go to</w:t>
      </w:r>
      <w:r>
        <w:t xml:space="preserve"> </w:t>
      </w:r>
      <w:r>
        <w:t xml:space="preserve">“Projects”</w:t>
      </w:r>
    </w:p>
    <w:p>
      <w:pPr>
        <w:pStyle w:val="Compact"/>
        <w:numPr>
          <w:ilvl w:val="1"/>
          <w:numId w:val="1062"/>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60"/>
        </w:numPr>
      </w:pPr>
      <w:r>
        <w:t xml:space="preserve">Click Done to save your observation.</w:t>
      </w:r>
    </w:p>
    <w:p>
      <w:pPr>
        <w:pStyle w:val="Compact"/>
        <w:numPr>
          <w:ilvl w:val="0"/>
          <w:numId w:val="1060"/>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60"/>
        </w:numPr>
      </w:pPr>
      <w:r>
        <w:t xml:space="preserve">Double-check your observation online.</w:t>
      </w:r>
    </w:p>
    <w:p>
      <w:pPr>
        <w:pStyle w:val="Compact"/>
        <w:numPr>
          <w:ilvl w:val="1"/>
          <w:numId w:val="1063"/>
        </w:numPr>
      </w:pPr>
      <w:r>
        <w:t xml:space="preserve">It will appear on your account if it was uploaded correctly.</w:t>
      </w:r>
    </w:p>
    <w:p>
      <w:pPr>
        <w:pStyle w:val="Compact"/>
        <w:numPr>
          <w:ilvl w:val="0"/>
          <w:numId w:val="1060"/>
        </w:numPr>
      </w:pPr>
      <w:r>
        <w:t xml:space="preserve">Add Myco-Ed ID. This will attach the field label ID number to this host observation.</w:t>
      </w:r>
    </w:p>
    <w:p>
      <w:pPr>
        <w:pStyle w:val="Compact"/>
        <w:numPr>
          <w:ilvl w:val="1"/>
          <w:numId w:val="1064"/>
        </w:numPr>
      </w:pPr>
      <w:r>
        <w:t xml:space="preserve">Under Observations Fields, on the lower right portion of the page, type</w:t>
      </w:r>
      <w:r>
        <w:t xml:space="preserve"> </w:t>
      </w:r>
      <w:r>
        <w:t xml:space="preserve">“MycoEd”</w:t>
      </w:r>
    </w:p>
    <w:p>
      <w:pPr>
        <w:pStyle w:val="Compact"/>
        <w:numPr>
          <w:ilvl w:val="1"/>
          <w:numId w:val="1064"/>
        </w:numPr>
      </w:pPr>
      <w:r>
        <w:t xml:space="preserve">Select</w:t>
      </w:r>
      <w:r>
        <w:t xml:space="preserve"> </w:t>
      </w:r>
      <w:r>
        <w:t xml:space="preserve">“MycoEd ID”</w:t>
      </w:r>
      <w:r>
        <w:t xml:space="preserve"> </w:t>
      </w:r>
      <w:r>
        <w:t xml:space="preserve">from the dropdown that appears.</w:t>
      </w:r>
    </w:p>
    <w:p>
      <w:pPr>
        <w:pStyle w:val="Compact"/>
        <w:numPr>
          <w:ilvl w:val="1"/>
          <w:numId w:val="1064"/>
        </w:numPr>
      </w:pPr>
      <w:r>
        <w:t xml:space="preserve">Add the field label ID number assigned to this host in the blank field under MycoEd ID.</w:t>
      </w:r>
    </w:p>
    <w:p>
      <w:pPr>
        <w:pStyle w:val="Compact"/>
        <w:numPr>
          <w:ilvl w:val="1"/>
          <w:numId w:val="1064"/>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65"/>
        </w:numPr>
      </w:pPr>
      <w:r>
        <w:t xml:space="preserve">Open your iNaturalist Application.</w:t>
      </w:r>
    </w:p>
    <w:p>
      <w:pPr>
        <w:pStyle w:val="Compact"/>
        <w:numPr>
          <w:ilvl w:val="1"/>
          <w:numId w:val="1066"/>
        </w:numPr>
      </w:pPr>
      <w:r>
        <w:t xml:space="preserve">Alternatively, take images on your phone and upload them to iNaturalist.</w:t>
      </w:r>
    </w:p>
    <w:p>
      <w:pPr>
        <w:pStyle w:val="Compact"/>
        <w:numPr>
          <w:ilvl w:val="0"/>
          <w:numId w:val="1065"/>
        </w:numPr>
      </w:pPr>
      <w:r>
        <w:t xml:space="preserve">Make an observation of the fungal isolate by taking a picture of it.</w:t>
      </w:r>
    </w:p>
    <w:p>
      <w:pPr>
        <w:pStyle w:val="Compact"/>
        <w:numPr>
          <w:ilvl w:val="1"/>
          <w:numId w:val="1067"/>
        </w:numPr>
      </w:pPr>
      <w:r>
        <w:t xml:space="preserve">Take pictures from the top and bottom, including the label.</w:t>
      </w:r>
    </w:p>
    <w:p>
      <w:pPr>
        <w:pStyle w:val="Compact"/>
        <w:numPr>
          <w:ilvl w:val="0"/>
          <w:numId w:val="1065"/>
        </w:numPr>
      </w:pPr>
      <w:r>
        <w:t xml:space="preserve">Before saving the observation, add it to your course project using the app.</w:t>
      </w:r>
    </w:p>
    <w:p>
      <w:pPr>
        <w:pStyle w:val="Compact"/>
        <w:numPr>
          <w:ilvl w:val="1"/>
          <w:numId w:val="1068"/>
        </w:numPr>
      </w:pPr>
      <w:r>
        <w:t xml:space="preserve">Follow the instructions detailed above.</w:t>
      </w:r>
    </w:p>
    <w:p>
      <w:pPr>
        <w:pStyle w:val="Compact"/>
        <w:numPr>
          <w:ilvl w:val="0"/>
          <w:numId w:val="1065"/>
        </w:numPr>
      </w:pPr>
      <w:r>
        <w:t xml:space="preserve">Click Done to save your observation.</w:t>
      </w:r>
    </w:p>
    <w:p>
      <w:pPr>
        <w:pStyle w:val="Compact"/>
        <w:numPr>
          <w:ilvl w:val="0"/>
          <w:numId w:val="1065"/>
        </w:numPr>
      </w:pPr>
      <w:r>
        <w:t xml:space="preserve">Manually upload your observation. This will appear green on your phone until it is uploaded.</w:t>
      </w:r>
    </w:p>
    <w:p>
      <w:pPr>
        <w:pStyle w:val="Compact"/>
        <w:numPr>
          <w:ilvl w:val="0"/>
          <w:numId w:val="1065"/>
        </w:numPr>
      </w:pPr>
      <w:r>
        <w:t xml:space="preserve">Double-check your observation online.</w:t>
      </w:r>
    </w:p>
    <w:p>
      <w:pPr>
        <w:pStyle w:val="Compact"/>
        <w:numPr>
          <w:ilvl w:val="1"/>
          <w:numId w:val="1069"/>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70"/>
        </w:numPr>
      </w:pPr>
      <w:r>
        <w:t xml:space="preserve">Add MycoEd ID. This will attach the field label ID number to this host observation.</w:t>
      </w:r>
    </w:p>
    <w:p>
      <w:pPr>
        <w:pStyle w:val="Compact"/>
        <w:numPr>
          <w:ilvl w:val="1"/>
          <w:numId w:val="1071"/>
        </w:numPr>
      </w:pPr>
      <w:r>
        <w:t xml:space="preserve">Follow the above directions.</w:t>
      </w:r>
    </w:p>
    <w:p>
      <w:pPr>
        <w:pStyle w:val="Compact"/>
        <w:numPr>
          <w:ilvl w:val="1"/>
          <w:numId w:val="1071"/>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70"/>
        </w:numPr>
      </w:pPr>
      <w:r>
        <w:t xml:space="preserve">Add other iNaturalist Observation Fields</w:t>
      </w:r>
    </w:p>
    <w:p>
      <w:pPr>
        <w:pStyle w:val="Compact"/>
        <w:numPr>
          <w:ilvl w:val="1"/>
          <w:numId w:val="1072"/>
        </w:numPr>
      </w:pPr>
      <w:r>
        <w:t xml:space="preserve">For ITS sequence data from fungal isolates, use DNA Sequence ITS</w:t>
      </w:r>
    </w:p>
    <w:p>
      <w:pPr>
        <w:pStyle w:val="Compact"/>
        <w:numPr>
          <w:ilvl w:val="1"/>
          <w:numId w:val="1072"/>
        </w:numPr>
      </w:pPr>
      <w:r>
        <w:t xml:space="preserve">To link to the host iNaturalist observation for this fungus, use the Host Observation Observation Field and add the URL to the host observation.</w:t>
      </w:r>
    </w:p>
    <w:bookmarkEnd w:id="71"/>
    <w:bookmarkEnd w:id="72"/>
    <w:bookmarkEnd w:id="73"/>
    <w:bookmarkStart w:id="91" w:name="module-2-fungal-isolation"/>
    <w:p>
      <w:pPr>
        <w:pStyle w:val="Heading1"/>
      </w:pPr>
      <w:r>
        <w:t xml:space="preserve">Module 2: Fungal Isolation</w:t>
      </w:r>
    </w:p>
    <w:bookmarkStart w:id="82" w:name="module-2.1-lab-prep-overview"/>
    <w:p>
      <w:pPr>
        <w:pStyle w:val="Heading2"/>
      </w:pPr>
      <w:r>
        <w:t xml:space="preserve">Module 2.1 – Lab Prep Overview</w:t>
      </w:r>
    </w:p>
    <w:bookmarkStart w:id="81"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important.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81"/>
    <w:bookmarkEnd w:id="82"/>
    <w:bookmarkStart w:id="90" w:name="module-2.2---fungal-isolation"/>
    <w:p>
      <w:pPr>
        <w:pStyle w:val="Heading2"/>
      </w:pPr>
      <w:r>
        <w:t xml:space="preserve">Module 2.2 - Fungal Isolation</w:t>
      </w:r>
    </w:p>
    <w:bookmarkStart w:id="83"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83"/>
    <w:bookmarkStart w:id="8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84"/>
    <w:bookmarkStart w:id="85" w:name="learning-goals-1"/>
    <w:p>
      <w:pPr>
        <w:pStyle w:val="Heading3"/>
      </w:pPr>
      <w:r>
        <w:t xml:space="preserve">Learning Goals</w:t>
      </w:r>
    </w:p>
    <w:p>
      <w:pPr>
        <w:pStyle w:val="Compact"/>
        <w:numPr>
          <w:ilvl w:val="0"/>
          <w:numId w:val="1073"/>
        </w:numPr>
      </w:pPr>
      <w:r>
        <w:t xml:space="preserve">Practice sterile technique</w:t>
      </w:r>
    </w:p>
    <w:p>
      <w:pPr>
        <w:pStyle w:val="Compact"/>
        <w:numPr>
          <w:ilvl w:val="0"/>
          <w:numId w:val="1073"/>
        </w:numPr>
      </w:pPr>
      <w:r>
        <w:t xml:space="preserve">Culture and isolate fungi</w:t>
      </w:r>
    </w:p>
    <w:p>
      <w:pPr>
        <w:pStyle w:val="Compact"/>
        <w:numPr>
          <w:ilvl w:val="0"/>
          <w:numId w:val="1073"/>
        </w:numPr>
      </w:pPr>
      <w:r>
        <w:t xml:space="preserve">Investigate fungal endophytes</w:t>
      </w:r>
    </w:p>
    <w:p>
      <w:pPr>
        <w:pStyle w:val="Compact"/>
        <w:numPr>
          <w:ilvl w:val="0"/>
          <w:numId w:val="1073"/>
        </w:numPr>
      </w:pPr>
      <w:r>
        <w:t xml:space="preserve">Characterize morphology of fungal cultures</w:t>
      </w:r>
    </w:p>
    <w:p>
      <w:pPr>
        <w:pStyle w:val="Compact"/>
        <w:numPr>
          <w:ilvl w:val="0"/>
          <w:numId w:val="1073"/>
        </w:numPr>
      </w:pPr>
      <w:r>
        <w:t xml:space="preserve">Create data spreadsheets</w:t>
      </w:r>
    </w:p>
    <w:p>
      <w:pPr>
        <w:pStyle w:val="Compact"/>
        <w:numPr>
          <w:ilvl w:val="0"/>
          <w:numId w:val="1073"/>
        </w:numPr>
      </w:pPr>
      <w:r>
        <w:t xml:space="preserve">Isolate fungi for molecular extraction and analysis</w:t>
      </w:r>
    </w:p>
    <w:p>
      <w:pPr>
        <w:pStyle w:val="Compact"/>
        <w:numPr>
          <w:ilvl w:val="0"/>
          <w:numId w:val="1073"/>
        </w:numPr>
      </w:pPr>
      <w:r>
        <w:t xml:space="preserve">Create Growth Curves</w:t>
      </w:r>
    </w:p>
    <w:bookmarkEnd w:id="85"/>
    <w:bookmarkStart w:id="86" w:name="student-lab-supplies"/>
    <w:p>
      <w:pPr>
        <w:pStyle w:val="Heading3"/>
      </w:pPr>
      <w:r>
        <w:t xml:space="preserve">Student Lab Supplies</w:t>
      </w:r>
    </w:p>
    <w:p>
      <w:pPr>
        <w:pStyle w:val="Compact"/>
        <w:numPr>
          <w:ilvl w:val="0"/>
          <w:numId w:val="1074"/>
        </w:numPr>
      </w:pPr>
      <w:r>
        <w:t xml:space="preserve">Fungal Endophyte Sample Plates</w:t>
      </w:r>
    </w:p>
    <w:p>
      <w:pPr>
        <w:pStyle w:val="Compact"/>
        <w:numPr>
          <w:ilvl w:val="0"/>
          <w:numId w:val="1074"/>
        </w:numPr>
      </w:pPr>
      <w:r>
        <w:t xml:space="preserve">PDA Plates (60x15mm)</w:t>
      </w:r>
    </w:p>
    <w:p>
      <w:pPr>
        <w:pStyle w:val="Compact"/>
        <w:numPr>
          <w:ilvl w:val="0"/>
          <w:numId w:val="1074"/>
        </w:numPr>
      </w:pPr>
      <w:r>
        <w:t xml:space="preserve">70% ethanol</w:t>
      </w:r>
    </w:p>
    <w:p>
      <w:pPr>
        <w:pStyle w:val="Compact"/>
        <w:numPr>
          <w:ilvl w:val="0"/>
          <w:numId w:val="1074"/>
        </w:numPr>
      </w:pPr>
      <w:r>
        <w:t xml:space="preserve">Kimwipes and Paper Towels</w:t>
      </w:r>
    </w:p>
    <w:p>
      <w:pPr>
        <w:pStyle w:val="Compact"/>
        <w:numPr>
          <w:ilvl w:val="0"/>
          <w:numId w:val="1074"/>
        </w:numPr>
      </w:pPr>
      <w:r>
        <w:t xml:space="preserve">Parafilm</w:t>
      </w:r>
    </w:p>
    <w:p>
      <w:pPr>
        <w:pStyle w:val="Compact"/>
        <w:numPr>
          <w:ilvl w:val="0"/>
          <w:numId w:val="1074"/>
        </w:numPr>
      </w:pPr>
      <w:r>
        <w:t xml:space="preserve">Fine Tip Sharpie</w:t>
      </w:r>
    </w:p>
    <w:p>
      <w:pPr>
        <w:pStyle w:val="Compact"/>
        <w:numPr>
          <w:ilvl w:val="0"/>
          <w:numId w:val="1074"/>
        </w:numPr>
      </w:pPr>
      <w:r>
        <w:t xml:space="preserve">Flame Source for Sterilization (alcohol lamp or Bunsen burner)</w:t>
      </w:r>
    </w:p>
    <w:p>
      <w:pPr>
        <w:pStyle w:val="Compact"/>
        <w:numPr>
          <w:ilvl w:val="0"/>
          <w:numId w:val="1074"/>
        </w:numPr>
      </w:pPr>
      <w:r>
        <w:t xml:space="preserve">Scalpel</w:t>
      </w:r>
    </w:p>
    <w:p>
      <w:pPr>
        <w:pStyle w:val="Compact"/>
        <w:numPr>
          <w:ilvl w:val="0"/>
          <w:numId w:val="1074"/>
        </w:numPr>
      </w:pPr>
      <w:r>
        <w:t xml:space="preserve">Ruler</w:t>
      </w:r>
    </w:p>
    <w:p>
      <w:pPr>
        <w:pStyle w:val="Compact"/>
        <w:numPr>
          <w:ilvl w:val="0"/>
          <w:numId w:val="1074"/>
        </w:numPr>
      </w:pPr>
      <w:r>
        <w:t xml:space="preserve">Forceps</w:t>
      </w:r>
    </w:p>
    <w:bookmarkEnd w:id="86"/>
    <w:bookmarkStart w:id="89" w:name="instructions-1"/>
    <w:p>
      <w:pPr>
        <w:pStyle w:val="Heading3"/>
      </w:pPr>
      <w:r>
        <w:t xml:space="preserve">Instructions</w:t>
      </w:r>
    </w:p>
    <w:bookmarkStart w:id="87"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75"/>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75"/>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75"/>
        </w:numPr>
      </w:pPr>
      <w:r>
        <w:t xml:space="preserve">Use a stefilized scalpel.</w:t>
      </w:r>
    </w:p>
    <w:p>
      <w:pPr>
        <w:pStyle w:val="Compact"/>
        <w:numPr>
          <w:ilvl w:val="0"/>
          <w:numId w:val="1075"/>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76"/>
        </w:numPr>
      </w:pPr>
      <w:r>
        <w:t xml:space="preserve">Work quickly and cleanly and consider your technique to prevent contamination. Remove Parafilm from the water agar plate.</w:t>
      </w:r>
    </w:p>
    <w:p>
      <w:pPr>
        <w:pStyle w:val="Compact"/>
        <w:numPr>
          <w:ilvl w:val="1"/>
          <w:numId w:val="1076"/>
        </w:numPr>
      </w:pPr>
      <w:r>
        <w:t xml:space="preserve">Tilt or lift the lid of the water agar petri dish as little as possible, try to keep the lid covering or hovering over the plate to prevent airborne contaminants.</w:t>
      </w:r>
    </w:p>
    <w:p>
      <w:pPr>
        <w:pStyle w:val="Compact"/>
        <w:numPr>
          <w:ilvl w:val="1"/>
          <w:numId w:val="1076"/>
        </w:numPr>
      </w:pPr>
      <w:r>
        <w:t xml:space="preserve">Using a sterile scalpel remove the chunk of agar from the target fungal isolate.</w:t>
      </w:r>
    </w:p>
    <w:p>
      <w:pPr>
        <w:pStyle w:val="Compact"/>
        <w:numPr>
          <w:ilvl w:val="1"/>
          <w:numId w:val="1076"/>
        </w:numPr>
      </w:pPr>
      <w:r>
        <w:t xml:space="preserve">Replace the lid of the water agar.</w:t>
      </w:r>
    </w:p>
    <w:p>
      <w:pPr>
        <w:pStyle w:val="Compact"/>
        <w:numPr>
          <w:ilvl w:val="1"/>
          <w:numId w:val="1076"/>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76"/>
        </w:numPr>
      </w:pPr>
      <w:r>
        <w:t xml:space="preserve">Close the lid of the PDA petri dish lid as quickly as possible. Seal with parafilm.</w:t>
      </w:r>
    </w:p>
    <w:bookmarkEnd w:id="87"/>
    <w:bookmarkStart w:id="88" w:name="part-ii-measuring-growth-rates"/>
    <w:p>
      <w:pPr>
        <w:pStyle w:val="Heading4"/>
      </w:pPr>
      <w:r>
        <w:t xml:space="preserve">Part II – Measuring Growth Rates</w:t>
      </w:r>
    </w:p>
    <w:p>
      <w:pPr>
        <w:pStyle w:val="Compact"/>
        <w:numPr>
          <w:ilvl w:val="0"/>
          <w:numId w:val="1077"/>
        </w:numPr>
      </w:pPr>
      <w:r>
        <w:t xml:space="preserve">Design a data sheet to record growth.</w:t>
      </w:r>
    </w:p>
    <w:p>
      <w:pPr>
        <w:pStyle w:val="Compact"/>
        <w:numPr>
          <w:ilvl w:val="0"/>
          <w:numId w:val="1077"/>
        </w:numPr>
      </w:pPr>
      <w:r>
        <w:t xml:space="preserve">On the bottom of the plate, trace the edge of your fungal culture using a fine-tip sharpie (Figures 3 and 4).</w:t>
      </w:r>
    </w:p>
    <w:p>
      <w:pPr>
        <w:pStyle w:val="Compact"/>
        <w:numPr>
          <w:ilvl w:val="0"/>
          <w:numId w:val="1077"/>
        </w:numPr>
      </w:pPr>
      <w:r>
        <w:t xml:space="preserve">Measure, in mm, new growth at each of the eight edges along the lines (Figures 3 and 4)</w:t>
      </w:r>
    </w:p>
    <w:p>
      <w:pPr>
        <w:pStyle w:val="Compact"/>
        <w:numPr>
          <w:ilvl w:val="0"/>
          <w:numId w:val="1077"/>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78"/>
        </w:numPr>
      </w:pPr>
      <w:r>
        <w:t xml:space="preserve">Continue to measure average growth in mm 7 days from plating (Figure 4).</w:t>
      </w:r>
    </w:p>
    <w:p>
      <w:pPr>
        <w:pStyle w:val="Compact"/>
        <w:numPr>
          <w:ilvl w:val="0"/>
          <w:numId w:val="1078"/>
        </w:numPr>
      </w:pPr>
      <w:r>
        <w:t xml:space="preserve">Calculate the average growth rate (distance/time).</w:t>
      </w:r>
    </w:p>
    <w:p>
      <w:pPr>
        <w:pStyle w:val="Compact"/>
        <w:numPr>
          <w:ilvl w:val="0"/>
          <w:numId w:val="1078"/>
        </w:numPr>
      </w:pPr>
      <w:r>
        <w:t xml:space="preserve">Plot a graph of your fungal isolate(s) growth rate.</w:t>
      </w:r>
    </w:p>
    <w:p>
      <w:pPr>
        <w:pStyle w:val="Compact"/>
        <w:numPr>
          <w:ilvl w:val="0"/>
          <w:numId w:val="1078"/>
        </w:numPr>
      </w:pPr>
      <w:r>
        <w:t xml:space="preserve">Submit images and your data sheet and a graph of growth rates in your lab blog post for this project. Please take images to add to your blog post.</w:t>
      </w:r>
    </w:p>
    <w:bookmarkEnd w:id="88"/>
    <w:bookmarkEnd w:id="89"/>
    <w:bookmarkEnd w:id="90"/>
    <w:bookmarkEnd w:id="91"/>
    <w:bookmarkStart w:id="99" w:name="module-3-phenotypic-assays"/>
    <w:p>
      <w:pPr>
        <w:pStyle w:val="Heading1"/>
      </w:pPr>
      <w:r>
        <w:t xml:space="preserve">Module 3: Phenotypic Assays</w:t>
      </w:r>
    </w:p>
    <w:bookmarkStart w:id="93" w:name="module-3.1-phenotypic-assays"/>
    <w:p>
      <w:pPr>
        <w:pStyle w:val="Heading2"/>
      </w:pPr>
      <w:r>
        <w:t xml:space="preserve">Module 3.1 – Phenotypic Assays</w:t>
      </w:r>
    </w:p>
    <w:bookmarkStart w:id="92"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92"/>
    <w:bookmarkEnd w:id="93"/>
    <w:bookmarkStart w:id="98" w:name="module-3.2-phenotypic-assays"/>
    <w:p>
      <w:pPr>
        <w:pStyle w:val="Heading2"/>
      </w:pPr>
      <w:r>
        <w:t xml:space="preserve">Module 3.2 – Phenotypic Assays</w:t>
      </w:r>
    </w:p>
    <w:bookmarkStart w:id="94"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94"/>
    <w:bookmarkStart w:id="95"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95"/>
    <w:bookmarkStart w:id="96"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96"/>
    <w:bookmarkStart w:id="97"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97"/>
    <w:bookmarkEnd w:id="98"/>
    <w:bookmarkEnd w:id="99"/>
    <w:bookmarkStart w:id="124" w:name="module-4-dna-sequencing"/>
    <w:p>
      <w:pPr>
        <w:pStyle w:val="Heading1"/>
      </w:pPr>
      <w:r>
        <w:t xml:space="preserve">Module 4: DNA Sequencing</w:t>
      </w:r>
    </w:p>
    <w:bookmarkStart w:id="101" w:name="X1f9141d941555e98bd81ab73b3543cfd3247ac1"/>
    <w:p>
      <w:pPr>
        <w:pStyle w:val="Heading2"/>
      </w:pPr>
      <w:r>
        <w:t xml:space="preserve">Module 4.1 – DNA Sequencing and Species Identification Instructor Resources</w:t>
      </w:r>
    </w:p>
    <w:bookmarkStart w:id="100"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p>
    <w:p>
      <w:pPr>
        <w:pStyle w:val="Compact"/>
        <w:numPr>
          <w:ilvl w:val="0"/>
          <w:numId w:val="1079"/>
        </w:numPr>
      </w:pPr>
      <w:r>
        <w:t xml:space="preserve">Gloves</w:t>
      </w:r>
    </w:p>
    <w:p>
      <w:pPr>
        <w:pStyle w:val="Compact"/>
        <w:numPr>
          <w:ilvl w:val="0"/>
          <w:numId w:val="1079"/>
        </w:numPr>
      </w:pPr>
      <w:r>
        <w:t xml:space="preserve">Sharpie</w:t>
      </w:r>
    </w:p>
    <w:p>
      <w:pPr>
        <w:pStyle w:val="Compact"/>
        <w:numPr>
          <w:ilvl w:val="0"/>
          <w:numId w:val="1079"/>
        </w:numPr>
      </w:pPr>
      <w:r>
        <w:t xml:space="preserve">Thermal cycler</w:t>
      </w:r>
    </w:p>
    <w:p>
      <w:pPr>
        <w:pStyle w:val="Compact"/>
        <w:numPr>
          <w:ilvl w:val="0"/>
          <w:numId w:val="1079"/>
        </w:numPr>
      </w:pPr>
      <w:r>
        <w:t xml:space="preserve">Vortex</w:t>
      </w:r>
    </w:p>
    <w:p>
      <w:pPr>
        <w:pStyle w:val="Compact"/>
        <w:numPr>
          <w:ilvl w:val="0"/>
          <w:numId w:val="1079"/>
        </w:numPr>
      </w:pPr>
      <w:r>
        <w:t xml:space="preserve">Centrifuge for PCR and microfuge tubes</w:t>
      </w:r>
    </w:p>
    <w:p>
      <w:pPr>
        <w:pStyle w:val="Compact"/>
        <w:numPr>
          <w:ilvl w:val="0"/>
          <w:numId w:val="1079"/>
        </w:numPr>
      </w:pPr>
      <w:r>
        <w:t xml:space="preserve">Heat block/thermomixer for 1.5-2.0 ml microfuge tubes</w:t>
      </w:r>
    </w:p>
    <w:p>
      <w:pPr>
        <w:pStyle w:val="Compact"/>
        <w:numPr>
          <w:ilvl w:val="0"/>
          <w:numId w:val="1079"/>
        </w:numPr>
      </w:pPr>
      <w:r>
        <w:t xml:space="preserve">1.5mL microcentrifuge tubes (Eppendorf DNA LoBind)</w:t>
      </w:r>
    </w:p>
    <w:p>
      <w:pPr>
        <w:pStyle w:val="Compact"/>
        <w:numPr>
          <w:ilvl w:val="0"/>
          <w:numId w:val="1079"/>
        </w:numPr>
      </w:pPr>
      <w:r>
        <w:t xml:space="preserve">0.2 mL PCR tubes</w:t>
      </w:r>
    </w:p>
    <w:p>
      <w:pPr>
        <w:pStyle w:val="Compact"/>
        <w:numPr>
          <w:ilvl w:val="0"/>
          <w:numId w:val="1079"/>
        </w:numPr>
      </w:pPr>
      <w:r>
        <w:t xml:space="preserve">Microfuge and PCR tube racks</w:t>
      </w:r>
    </w:p>
    <w:p>
      <w:pPr>
        <w:pStyle w:val="Compact"/>
        <w:numPr>
          <w:ilvl w:val="0"/>
          <w:numId w:val="1079"/>
        </w:numPr>
      </w:pPr>
      <w:r>
        <w:t xml:space="preserve">Labeling tape</w:t>
      </w:r>
    </w:p>
    <w:p>
      <w:pPr>
        <w:pStyle w:val="Compact"/>
        <w:numPr>
          <w:ilvl w:val="0"/>
          <w:numId w:val="1079"/>
        </w:numPr>
      </w:pPr>
      <w:r>
        <w:t xml:space="preserve">Monarch® Spin gDNA Extraction Kit (New England BioLabs,T3010S)</w:t>
      </w:r>
    </w:p>
    <w:p>
      <w:pPr>
        <w:pStyle w:val="Compact"/>
        <w:numPr>
          <w:ilvl w:val="0"/>
          <w:numId w:val="1079"/>
        </w:numPr>
      </w:pPr>
      <w:r>
        <w:t xml:space="preserve">MetaPolyzyme, DNA free (Millipore Sigma, MAC4LDF-5X1VL)</w:t>
      </w:r>
    </w:p>
    <w:p>
      <w:pPr>
        <w:pStyle w:val="Compact"/>
        <w:numPr>
          <w:ilvl w:val="0"/>
          <w:numId w:val="1079"/>
        </w:numPr>
      </w:pPr>
      <w:r>
        <w:t xml:space="preserve">TE Buffer</w:t>
      </w:r>
    </w:p>
    <w:p>
      <w:pPr>
        <w:pStyle w:val="Compact"/>
        <w:numPr>
          <w:ilvl w:val="0"/>
          <w:numId w:val="1079"/>
        </w:numPr>
      </w:pPr>
      <w:r>
        <w:t xml:space="preserve">CTAB solution (100 ml, Promega, MC1411)</w:t>
      </w:r>
    </w:p>
    <w:p>
      <w:pPr>
        <w:pStyle w:val="Compact"/>
        <w:numPr>
          <w:ilvl w:val="0"/>
          <w:numId w:val="1079"/>
        </w:numPr>
      </w:pPr>
      <w:r>
        <w:t xml:space="preserve">Parafilm</w:t>
      </w:r>
    </w:p>
    <w:p>
      <w:pPr>
        <w:pStyle w:val="Compact"/>
        <w:numPr>
          <w:ilvl w:val="0"/>
          <w:numId w:val="1079"/>
        </w:numPr>
      </w:pPr>
      <w:r>
        <w:t xml:space="preserve">70% ETOH</w:t>
      </w:r>
    </w:p>
    <w:p>
      <w:pPr>
        <w:pStyle w:val="Compact"/>
        <w:numPr>
          <w:ilvl w:val="0"/>
          <w:numId w:val="1079"/>
        </w:numPr>
      </w:pPr>
      <w:r>
        <w:t xml:space="preserve">1-10, 20-200, and 100-1000 µL micropipettors</w:t>
      </w:r>
    </w:p>
    <w:p>
      <w:pPr>
        <w:pStyle w:val="Compact"/>
        <w:numPr>
          <w:ilvl w:val="0"/>
          <w:numId w:val="1079"/>
        </w:numPr>
      </w:pPr>
      <w:r>
        <w:t xml:space="preserve">1-10, 20-200, and 100-1000 µL micropipette tips (preferably filtered)</w:t>
      </w:r>
    </w:p>
    <w:p>
      <w:pPr>
        <w:pStyle w:val="Compact"/>
        <w:numPr>
          <w:ilvl w:val="0"/>
          <w:numId w:val="1079"/>
        </w:numPr>
      </w:pPr>
      <w:r>
        <w:t xml:space="preserve">Kimwipes</w:t>
      </w:r>
    </w:p>
    <w:p>
      <w:pPr>
        <w:pStyle w:val="Compact"/>
        <w:numPr>
          <w:ilvl w:val="0"/>
          <w:numId w:val="1079"/>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080"/>
        </w:numPr>
      </w:pPr>
      <w:r>
        <w:t xml:space="preserve">ITS1f: 5’-CTTGGTCATTTAGAGGAAGTAA-3’</w:t>
      </w:r>
    </w:p>
    <w:p>
      <w:pPr>
        <w:pStyle w:val="Compact"/>
        <w:numPr>
          <w:ilvl w:val="1"/>
          <w:numId w:val="1080"/>
        </w:numPr>
      </w:pPr>
      <w:r>
        <w:t xml:space="preserve">ITS4: 5’-TCCTCCGCTTATTGATATGC-3’</w:t>
      </w:r>
    </w:p>
    <w:p>
      <w:pPr>
        <w:pStyle w:val="Compact"/>
        <w:numPr>
          <w:ilvl w:val="1"/>
          <w:numId w:val="1080"/>
        </w:numPr>
      </w:pPr>
      <w:r>
        <w:t xml:space="preserve">5.8SR: 5’-CGCTGCGTTCTTCATCG-3’</w:t>
      </w:r>
    </w:p>
    <w:p>
      <w:pPr>
        <w:pStyle w:val="Compact"/>
        <w:numPr>
          <w:ilvl w:val="1"/>
          <w:numId w:val="1080"/>
        </w:numPr>
      </w:pPr>
      <w:r>
        <w:t xml:space="preserve">fITS7: 5’-GTGARTCATCGAATCTTTG-3’</w:t>
      </w:r>
    </w:p>
    <w:p>
      <w:pPr>
        <w:pStyle w:val="Compact"/>
        <w:numPr>
          <w:ilvl w:val="0"/>
          <w:numId w:val="1079"/>
        </w:numPr>
      </w:pPr>
      <w:r>
        <w:t xml:space="preserve">Q5® Hot Start High-Fidelity 2X Master Mix - 100 reactions(New England BioLabs, M0494S)</w:t>
      </w:r>
    </w:p>
    <w:p>
      <w:pPr>
        <w:pStyle w:val="Compact"/>
        <w:numPr>
          <w:ilvl w:val="0"/>
          <w:numId w:val="1079"/>
        </w:numPr>
      </w:pPr>
      <w:r>
        <w:t xml:space="preserve">PCR water (New England BioLabs, B1500S)</w:t>
      </w:r>
    </w:p>
    <w:p>
      <w:pPr>
        <w:pStyle w:val="Compact"/>
        <w:numPr>
          <w:ilvl w:val="0"/>
          <w:numId w:val="1079"/>
        </w:numPr>
      </w:pPr>
      <w:r>
        <w:t xml:space="preserve">Exo-CIP Rapid PCR Cleanup Kit - 100 reactions (New England BioLabs, E1050S)</w:t>
      </w:r>
    </w:p>
    <w:p>
      <w:pPr>
        <w:pStyle w:val="Compact"/>
        <w:numPr>
          <w:ilvl w:val="0"/>
          <w:numId w:val="1079"/>
        </w:numPr>
      </w:pPr>
      <w:r>
        <w:t xml:space="preserve">E-Gel system with 1.2% agarose gels (ThermoFisher, G4010010) or similar gel electrophoresis system</w:t>
      </w:r>
    </w:p>
    <w:p>
      <w:pPr>
        <w:pStyle w:val="Compact"/>
        <w:numPr>
          <w:ilvl w:val="0"/>
          <w:numId w:val="1079"/>
        </w:numPr>
      </w:pPr>
      <w:r>
        <w:t xml:space="preserve">E-Gel™ Sizing DNA Ladder (ThermoFisher, 10488100)</w:t>
      </w:r>
    </w:p>
    <w:p>
      <w:pPr>
        <w:pStyle w:val="Compact"/>
        <w:numPr>
          <w:ilvl w:val="0"/>
          <w:numId w:val="1079"/>
        </w:numPr>
      </w:pPr>
      <w:r>
        <w:t xml:space="preserve">DNA quantification system (for example, Qubit Fluorometer with dsDNA HS Assay Kit, ThermoFisher, Q32851)</w:t>
      </w:r>
    </w:p>
    <w:p>
      <w:pPr>
        <w:pStyle w:val="Compact"/>
        <w:numPr>
          <w:ilvl w:val="0"/>
          <w:numId w:val="1079"/>
        </w:numPr>
      </w:pPr>
      <w:r>
        <w:t xml:space="preserve">Access to Sanger sequencing services (for example, Genewiz, Eurofins, Eton, or similar provider).</w:t>
      </w:r>
    </w:p>
    <w:p>
      <w:pPr>
        <w:pStyle w:val="Compact"/>
        <w:numPr>
          <w:ilvl w:val="0"/>
          <w:numId w:val="1079"/>
        </w:numPr>
      </w:pPr>
      <w:r>
        <w:t xml:space="preserve">Rapid Barcoding Kit v14 (Oxford Nanopore Technologies), SQK-RBK114.24 or similar kit for long-read sequencing (optional)</w:t>
      </w:r>
    </w:p>
    <w:p>
      <w:pPr>
        <w:pStyle w:val="Compact"/>
        <w:numPr>
          <w:ilvl w:val="0"/>
          <w:numId w:val="1079"/>
        </w:numPr>
      </w:pPr>
      <w:r>
        <w:t xml:space="preserve">MinION sequencing device</w:t>
      </w:r>
    </w:p>
    <w:p>
      <w:pPr>
        <w:pStyle w:val="Compact"/>
        <w:numPr>
          <w:ilvl w:val="0"/>
          <w:numId w:val="1079"/>
        </w:numPr>
      </w:pPr>
      <w:r>
        <w:t xml:space="preserve">MinION flow cells (R10.4.1 or similar, Oxford Nanopore Technologies, FLO-MIN114)</w:t>
      </w:r>
    </w:p>
    <w:p>
      <w:pPr>
        <w:pStyle w:val="Compact"/>
        <w:numPr>
          <w:ilvl w:val="0"/>
          <w:numId w:val="1079"/>
        </w:numPr>
      </w:pPr>
      <w:r>
        <w:t xml:space="preserve">Ultrapure BSA 50mg/ml (ThermoFisher, AM2616) for long-read sequencing</w:t>
      </w:r>
    </w:p>
    <w:p>
      <w:pPr>
        <w:pStyle w:val="Compact"/>
        <w:numPr>
          <w:ilvl w:val="0"/>
          <w:numId w:val="1079"/>
        </w:numPr>
      </w:pPr>
      <w:r>
        <w:t xml:space="preserve">1.5mL microcentrifuge tubes (Eppendorf DNA LoBind) for long-read sequencing</w:t>
      </w:r>
    </w:p>
    <w:p>
      <w:pPr>
        <w:pStyle w:val="Compact"/>
        <w:numPr>
          <w:ilvl w:val="0"/>
          <w:numId w:val="1079"/>
        </w:numPr>
      </w:pPr>
      <w:r>
        <w:t xml:space="preserve">0.2 mL PCR tubes for long-read sequencing</w:t>
      </w:r>
    </w:p>
    <w:p>
      <w:pPr>
        <w:pStyle w:val="Compact"/>
        <w:numPr>
          <w:ilvl w:val="0"/>
          <w:numId w:val="1079"/>
        </w:numPr>
      </w:pPr>
      <w:r>
        <w:t xml:space="preserve">Magnetic rack for 1.5ml microcentrifuge tubes (for example, ThermoFisher DynaMag-2, 12321D) for long-read sequencing</w:t>
      </w:r>
    </w:p>
    <w:p>
      <w:pPr>
        <w:pStyle w:val="Compact"/>
        <w:numPr>
          <w:ilvl w:val="0"/>
          <w:numId w:val="1079"/>
        </w:numPr>
      </w:pPr>
      <w:r>
        <w:t xml:space="preserve">Nuclease-free water and 100% ethanol to prepare 80% ethanol for long-read sequencing</w:t>
      </w:r>
    </w:p>
    <w:p>
      <w:pPr>
        <w:pStyle w:val="FirstParagraph"/>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00"/>
    <w:bookmarkEnd w:id="101"/>
    <w:bookmarkStart w:id="123" w:name="X84ab9f30f319591ed283388a48344a8ca0af377"/>
    <w:p>
      <w:pPr>
        <w:pStyle w:val="Heading2"/>
      </w:pPr>
      <w:r>
        <w:t xml:space="preserve">Module 4.2 – DNA Sequencing and Species Identification</w:t>
      </w:r>
    </w:p>
    <w:bookmarkStart w:id="102"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02"/>
    <w:bookmarkStart w:id="103" w:name="learning-goals-2"/>
    <w:p>
      <w:pPr>
        <w:pStyle w:val="Heading3"/>
      </w:pPr>
      <w:r>
        <w:t xml:space="preserve">Learning Goals</w:t>
      </w:r>
    </w:p>
    <w:p>
      <w:pPr>
        <w:pStyle w:val="Compact"/>
        <w:numPr>
          <w:ilvl w:val="0"/>
          <w:numId w:val="1081"/>
        </w:numPr>
      </w:pPr>
      <w:r>
        <w:t xml:space="preserve">Practice extracting fungal DNA</w:t>
      </w:r>
    </w:p>
    <w:p>
      <w:pPr>
        <w:pStyle w:val="Compact"/>
        <w:numPr>
          <w:ilvl w:val="0"/>
          <w:numId w:val="1081"/>
        </w:numPr>
      </w:pPr>
      <w:r>
        <w:t xml:space="preserve">Successfully PCR amplify fungal ITS</w:t>
      </w:r>
    </w:p>
    <w:p>
      <w:pPr>
        <w:pStyle w:val="Compact"/>
        <w:numPr>
          <w:ilvl w:val="0"/>
          <w:numId w:val="1081"/>
        </w:numPr>
      </w:pPr>
      <w:r>
        <w:t xml:space="preserve">Learn to BLAST ITS sequence to identify fungal isolates</w:t>
      </w:r>
    </w:p>
    <w:bookmarkEnd w:id="103"/>
    <w:bookmarkStart w:id="107" w:name="part-i-dna-extraction"/>
    <w:p>
      <w:pPr>
        <w:pStyle w:val="Heading3"/>
      </w:pPr>
      <w:r>
        <w:t xml:space="preserve">Part I: DNA Extraction</w:t>
      </w:r>
    </w:p>
    <w:bookmarkStart w:id="104"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04"/>
    <w:bookmarkStart w:id="105" w:name="materials"/>
    <w:p>
      <w:pPr>
        <w:pStyle w:val="Heading4"/>
      </w:pPr>
      <w:r>
        <w:t xml:space="preserve">Materials:</w:t>
      </w:r>
    </w:p>
    <w:p>
      <w:pPr>
        <w:pStyle w:val="Compact"/>
        <w:numPr>
          <w:ilvl w:val="0"/>
          <w:numId w:val="1082"/>
        </w:numPr>
      </w:pPr>
      <w:r>
        <w:t xml:space="preserve">Fungal isolates</w:t>
      </w:r>
    </w:p>
    <w:p>
      <w:pPr>
        <w:pStyle w:val="Compact"/>
        <w:numPr>
          <w:ilvl w:val="0"/>
          <w:numId w:val="1082"/>
        </w:numPr>
      </w:pPr>
      <w:r>
        <w:t xml:space="preserve">0.2 mL PCR tubes</w:t>
      </w:r>
    </w:p>
    <w:p>
      <w:pPr>
        <w:pStyle w:val="Compact"/>
        <w:numPr>
          <w:ilvl w:val="0"/>
          <w:numId w:val="1082"/>
        </w:numPr>
      </w:pPr>
      <w:r>
        <w:t xml:space="preserve">P20 micropipette with tips</w:t>
      </w:r>
    </w:p>
    <w:p>
      <w:pPr>
        <w:pStyle w:val="Compact"/>
        <w:numPr>
          <w:ilvl w:val="0"/>
          <w:numId w:val="1082"/>
        </w:numPr>
      </w:pPr>
      <w:r>
        <w:t xml:space="preserve">DNA extraction solution (ES)</w:t>
      </w:r>
    </w:p>
    <w:p>
      <w:pPr>
        <w:pStyle w:val="Compact"/>
        <w:numPr>
          <w:ilvl w:val="0"/>
          <w:numId w:val="1082"/>
        </w:numPr>
      </w:pPr>
      <w:r>
        <w:t xml:space="preserve">DNA dilution solution (DS)</w:t>
      </w:r>
    </w:p>
    <w:p>
      <w:pPr>
        <w:pStyle w:val="Compact"/>
        <w:numPr>
          <w:ilvl w:val="0"/>
          <w:numId w:val="1082"/>
        </w:numPr>
      </w:pPr>
      <w:r>
        <w:t xml:space="preserve">Ethanol jar</w:t>
      </w:r>
    </w:p>
    <w:p>
      <w:pPr>
        <w:pStyle w:val="Compact"/>
        <w:numPr>
          <w:ilvl w:val="0"/>
          <w:numId w:val="1082"/>
        </w:numPr>
      </w:pPr>
      <w:r>
        <w:t xml:space="preserve">Loop, pick, and forceps</w:t>
      </w:r>
    </w:p>
    <w:bookmarkEnd w:id="105"/>
    <w:bookmarkStart w:id="106" w:name="procedures"/>
    <w:p>
      <w:pPr>
        <w:pStyle w:val="Heading4"/>
      </w:pPr>
      <w:r>
        <w:t xml:space="preserve">Procedures:</w:t>
      </w:r>
    </w:p>
    <w:p>
      <w:pPr>
        <w:pStyle w:val="Compact"/>
        <w:numPr>
          <w:ilvl w:val="0"/>
          <w:numId w:val="108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8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83"/>
        </w:numPr>
      </w:pPr>
      <w:r>
        <w:t xml:space="preserve">Close the snap-caps and incubate at 65 °C for 10 minutes followed by 95 °C for 10 minutes.</w:t>
      </w:r>
    </w:p>
    <w:p>
      <w:pPr>
        <w:pStyle w:val="Compact"/>
        <w:numPr>
          <w:ilvl w:val="0"/>
          <w:numId w:val="108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06"/>
    <w:bookmarkEnd w:id="107"/>
    <w:bookmarkStart w:id="112" w:name="part-ii-polymerase-chain-reaction-pcr"/>
    <w:p>
      <w:pPr>
        <w:pStyle w:val="Heading3"/>
      </w:pPr>
      <w:r>
        <w:t xml:space="preserve">Part II: Polymerase Chain Reaction (PCR)</w:t>
      </w:r>
    </w:p>
    <w:bookmarkStart w:id="108"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08"/>
    <w:bookmarkStart w:id="109" w:name="materials-1"/>
    <w:p>
      <w:pPr>
        <w:pStyle w:val="Heading4"/>
      </w:pPr>
      <w:r>
        <w:t xml:space="preserve">Materials:</w:t>
      </w:r>
    </w:p>
    <w:p>
      <w:pPr>
        <w:pStyle w:val="Compact"/>
        <w:numPr>
          <w:ilvl w:val="0"/>
          <w:numId w:val="1084"/>
        </w:numPr>
      </w:pPr>
      <w:r>
        <w:t xml:space="preserve">DNA extractions with DS</w:t>
      </w:r>
    </w:p>
    <w:p>
      <w:pPr>
        <w:pStyle w:val="Compact"/>
        <w:numPr>
          <w:ilvl w:val="0"/>
          <w:numId w:val="1084"/>
        </w:numPr>
      </w:pPr>
      <w:r>
        <w:t xml:space="preserve">Control DNA sample</w:t>
      </w:r>
    </w:p>
    <w:p>
      <w:pPr>
        <w:pStyle w:val="Compact"/>
        <w:numPr>
          <w:ilvl w:val="0"/>
          <w:numId w:val="1084"/>
        </w:numPr>
      </w:pPr>
      <w:r>
        <w:t xml:space="preserve">0.2 mL PCR tubes</w:t>
      </w:r>
    </w:p>
    <w:p>
      <w:pPr>
        <w:pStyle w:val="Compact"/>
        <w:numPr>
          <w:ilvl w:val="0"/>
          <w:numId w:val="1084"/>
        </w:numPr>
      </w:pPr>
      <w:r>
        <w:t xml:space="preserve">P10 micropipette with tips</w:t>
      </w:r>
    </w:p>
    <w:p>
      <w:pPr>
        <w:pStyle w:val="Compact"/>
        <w:numPr>
          <w:ilvl w:val="0"/>
          <w:numId w:val="1084"/>
        </w:numPr>
      </w:pPr>
      <w:r>
        <w:t xml:space="preserve">P20 micropipette with tips</w:t>
      </w:r>
    </w:p>
    <w:p>
      <w:pPr>
        <w:pStyle w:val="Compact"/>
        <w:numPr>
          <w:ilvl w:val="0"/>
          <w:numId w:val="1084"/>
        </w:numPr>
      </w:pPr>
      <w:r>
        <w:t xml:space="preserve">P200 micropipette with tips</w:t>
      </w:r>
    </w:p>
    <w:p>
      <w:pPr>
        <w:pStyle w:val="Compact"/>
        <w:numPr>
          <w:ilvl w:val="0"/>
          <w:numId w:val="1084"/>
        </w:numPr>
      </w:pPr>
      <w:r>
        <w:t xml:space="preserve">P1000 micropipette with tips</w:t>
      </w:r>
    </w:p>
    <w:p>
      <w:pPr>
        <w:pStyle w:val="Compact"/>
        <w:numPr>
          <w:ilvl w:val="0"/>
          <w:numId w:val="1084"/>
        </w:numPr>
      </w:pPr>
      <w:r>
        <w:t xml:space="preserve">Master mix containing buffer (MgCl2, dNTPs, primers, polymerase enzyme)</w:t>
      </w:r>
    </w:p>
    <w:p>
      <w:pPr>
        <w:pStyle w:val="Compact"/>
        <w:numPr>
          <w:ilvl w:val="0"/>
          <w:numId w:val="1084"/>
        </w:numPr>
      </w:pPr>
      <w:r>
        <w:t xml:space="preserve">PCR tube centrifuge</w:t>
      </w:r>
    </w:p>
    <w:p>
      <w:pPr>
        <w:pStyle w:val="Compact"/>
        <w:numPr>
          <w:ilvl w:val="0"/>
          <w:numId w:val="1084"/>
        </w:numPr>
      </w:pPr>
      <w:r>
        <w:t xml:space="preserve">Thermal cycler</w:t>
      </w:r>
    </w:p>
    <w:bookmarkEnd w:id="109"/>
    <w:bookmarkStart w:id="110"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10"/>
    <w:bookmarkStart w:id="111" w:name="X7a9437114b66a535474c7c1f8d36e2e2fb635f1"/>
    <w:p>
      <w:pPr>
        <w:pStyle w:val="Heading4"/>
      </w:pPr>
      <w:r>
        <w:t xml:space="preserve">PCR Troubleshooting after Gel Electrophoresis</w:t>
      </w:r>
    </w:p>
    <w:p>
      <w:pPr>
        <w:pStyle w:val="Compact"/>
        <w:numPr>
          <w:ilvl w:val="0"/>
          <w:numId w:val="1085"/>
        </w:numPr>
      </w:pPr>
      <w:r>
        <w:t xml:space="preserve">No amplification on any samples: check primers, polymerase, and other reagents.</w:t>
      </w:r>
    </w:p>
    <w:p>
      <w:pPr>
        <w:pStyle w:val="Compact"/>
        <w:numPr>
          <w:ilvl w:val="0"/>
          <w:numId w:val="108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85"/>
        </w:numPr>
      </w:pPr>
      <w:r>
        <w:t xml:space="preserve">Weak or multiple bands, smear: Mispriming from the incorrect program. Check primer concentration: an imbalance of primers can lead to multiple bands.</w:t>
      </w:r>
    </w:p>
    <w:bookmarkEnd w:id="111"/>
    <w:bookmarkEnd w:id="112"/>
    <w:bookmarkStart w:id="117"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13"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13"/>
    <w:bookmarkStart w:id="114" w:name="materials-needed"/>
    <w:p>
      <w:pPr>
        <w:pStyle w:val="Heading4"/>
      </w:pPr>
      <w:r>
        <w:t xml:space="preserve">Materials needed:</w:t>
      </w:r>
    </w:p>
    <w:p>
      <w:pPr>
        <w:pStyle w:val="Compact"/>
        <w:numPr>
          <w:ilvl w:val="0"/>
          <w:numId w:val="1086"/>
        </w:numPr>
      </w:pPr>
      <w:r>
        <w:t xml:space="preserve">Agarose</w:t>
      </w:r>
    </w:p>
    <w:p>
      <w:pPr>
        <w:pStyle w:val="Compact"/>
        <w:numPr>
          <w:ilvl w:val="0"/>
          <w:numId w:val="1086"/>
        </w:numPr>
      </w:pPr>
      <w:r>
        <w:t xml:space="preserve">1X TAE (or TE, TBE, or SB) buffer to make gels and running buffer</w:t>
      </w:r>
      <w:r>
        <w:t xml:space="preserve"> </w:t>
      </w:r>
      <w:r>
        <w:t xml:space="preserve">Note: Use the same buffer for making and running the gel</w:t>
      </w:r>
    </w:p>
    <w:p>
      <w:pPr>
        <w:pStyle w:val="Compact"/>
        <w:numPr>
          <w:ilvl w:val="0"/>
          <w:numId w:val="1086"/>
        </w:numPr>
      </w:pPr>
      <w:r>
        <w:t xml:space="preserve">SYBR Safe to visualize DNA</w:t>
      </w:r>
    </w:p>
    <w:p>
      <w:pPr>
        <w:pStyle w:val="Compact"/>
        <w:numPr>
          <w:ilvl w:val="0"/>
          <w:numId w:val="1086"/>
        </w:numPr>
      </w:pPr>
      <w:r>
        <w:t xml:space="preserve">250 mL Erlenmeyer Flask</w:t>
      </w:r>
    </w:p>
    <w:p>
      <w:pPr>
        <w:pStyle w:val="Compact"/>
        <w:numPr>
          <w:ilvl w:val="0"/>
          <w:numId w:val="1086"/>
        </w:numPr>
      </w:pPr>
      <w:r>
        <w:t xml:space="preserve">P20 micropipette with tips</w:t>
      </w:r>
    </w:p>
    <w:p>
      <w:pPr>
        <w:pStyle w:val="Compact"/>
        <w:numPr>
          <w:ilvl w:val="0"/>
          <w:numId w:val="1086"/>
        </w:numPr>
      </w:pPr>
      <w:r>
        <w:t xml:space="preserve">PCR products</w:t>
      </w:r>
    </w:p>
    <w:p>
      <w:pPr>
        <w:pStyle w:val="Compact"/>
        <w:numPr>
          <w:ilvl w:val="0"/>
          <w:numId w:val="1086"/>
        </w:numPr>
      </w:pPr>
      <w:r>
        <w:t xml:space="preserve">100 bp Ladder</w:t>
      </w:r>
    </w:p>
    <w:p>
      <w:pPr>
        <w:pStyle w:val="Compact"/>
        <w:numPr>
          <w:ilvl w:val="0"/>
          <w:numId w:val="1086"/>
        </w:numPr>
      </w:pPr>
      <w:r>
        <w:t xml:space="preserve">Digital Balance</w:t>
      </w:r>
    </w:p>
    <w:p>
      <w:pPr>
        <w:pStyle w:val="Compact"/>
        <w:numPr>
          <w:ilvl w:val="0"/>
          <w:numId w:val="1086"/>
        </w:numPr>
      </w:pPr>
      <w:r>
        <w:t xml:space="preserve">Weigh Boats</w:t>
      </w:r>
    </w:p>
    <w:p>
      <w:pPr>
        <w:pStyle w:val="Compact"/>
        <w:numPr>
          <w:ilvl w:val="0"/>
          <w:numId w:val="1086"/>
        </w:numPr>
      </w:pPr>
      <w:r>
        <w:t xml:space="preserve">Gel rigs</w:t>
      </w:r>
    </w:p>
    <w:p>
      <w:pPr>
        <w:pStyle w:val="Compact"/>
        <w:numPr>
          <w:ilvl w:val="0"/>
          <w:numId w:val="1086"/>
        </w:numPr>
      </w:pPr>
      <w:r>
        <w:t xml:space="preserve">Gel comb</w:t>
      </w:r>
    </w:p>
    <w:p>
      <w:pPr>
        <w:pStyle w:val="Compact"/>
        <w:numPr>
          <w:ilvl w:val="0"/>
          <w:numId w:val="1086"/>
        </w:numPr>
      </w:pPr>
      <w:r>
        <w:t xml:space="preserve">Power source</w:t>
      </w:r>
    </w:p>
    <w:bookmarkEnd w:id="114"/>
    <w:bookmarkStart w:id="115" w:name="X27e3611931edb00682f71c58d3e85dfeecf25c4"/>
    <w:p>
      <w:pPr>
        <w:pStyle w:val="Heading4"/>
      </w:pPr>
      <w:r>
        <w:t xml:space="preserve">Gel Preparation Protocol (Prep gel at least 20 minutes prior to use)</w:t>
      </w:r>
    </w:p>
    <w:p>
      <w:pPr>
        <w:pStyle w:val="Compact"/>
        <w:numPr>
          <w:ilvl w:val="0"/>
          <w:numId w:val="1087"/>
        </w:numPr>
      </w:pPr>
      <w:r>
        <w:t xml:space="preserve">Measure 100 mL of 1x TE buffer in an Erlenmeyer flask.</w:t>
      </w:r>
    </w:p>
    <w:p>
      <w:pPr>
        <w:pStyle w:val="Compact"/>
        <w:numPr>
          <w:ilvl w:val="0"/>
          <w:numId w:val="1087"/>
        </w:numPr>
      </w:pPr>
      <w:r>
        <w:t xml:space="preserve">Add 1 gram of agarose to the buffer.</w:t>
      </w:r>
    </w:p>
    <w:p>
      <w:pPr>
        <w:pStyle w:val="Compact"/>
        <w:numPr>
          <w:ilvl w:val="0"/>
          <w:numId w:val="1087"/>
        </w:numPr>
      </w:pPr>
      <w:r>
        <w:t xml:space="preserve">Microwave for 30-second intervals.</w:t>
      </w:r>
    </w:p>
    <w:p>
      <w:pPr>
        <w:pStyle w:val="Compact"/>
        <w:numPr>
          <w:ilvl w:val="0"/>
          <w:numId w:val="108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87"/>
        </w:numPr>
      </w:pPr>
      <w:r>
        <w:t xml:space="preserve">Once all the agarose is melted, let sit on the counter until it cools enough to handle. Don’t let it cool too long as it will solidify.</w:t>
      </w:r>
    </w:p>
    <w:p>
      <w:pPr>
        <w:pStyle w:val="Compact"/>
        <w:numPr>
          <w:ilvl w:val="0"/>
          <w:numId w:val="1087"/>
        </w:numPr>
      </w:pPr>
      <w:r>
        <w:t xml:space="preserve">Set up the agarose mold and add a comb.</w:t>
      </w:r>
    </w:p>
    <w:p>
      <w:pPr>
        <w:pStyle w:val="Compact"/>
        <w:numPr>
          <w:ilvl w:val="0"/>
          <w:numId w:val="1087"/>
        </w:numPr>
      </w:pPr>
      <w:r>
        <w:t xml:space="preserve">Once the agarose has cooled to the touch. Pour into the mold. Make sure the agarose is approximately 1/3 to 1/2 way up the combs.</w:t>
      </w:r>
    </w:p>
    <w:p>
      <w:pPr>
        <w:pStyle w:val="Compact"/>
        <w:numPr>
          <w:ilvl w:val="0"/>
          <w:numId w:val="1087"/>
        </w:numPr>
      </w:pPr>
      <w:r>
        <w:t xml:space="preserve">If bubbles are present, use a micropipette tip to draw them to the sides of the gel.</w:t>
      </w:r>
    </w:p>
    <w:p>
      <w:pPr>
        <w:pStyle w:val="Compact"/>
        <w:numPr>
          <w:ilvl w:val="0"/>
          <w:numId w:val="1087"/>
        </w:numPr>
      </w:pPr>
      <w:r>
        <w:t xml:space="preserve">Allow approximately 20 minutes for the gel to solidify and become somewhat translucent.</w:t>
      </w:r>
    </w:p>
    <w:p>
      <w:pPr>
        <w:pStyle w:val="Compact"/>
        <w:numPr>
          <w:ilvl w:val="0"/>
          <w:numId w:val="1087"/>
        </w:numPr>
      </w:pPr>
      <w:r>
        <w:t xml:space="preserve">Gently remove the comb.</w:t>
      </w:r>
    </w:p>
    <w:p>
      <w:pPr>
        <w:pStyle w:val="Compact"/>
        <w:numPr>
          <w:ilvl w:val="0"/>
          <w:numId w:val="108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87"/>
        </w:numPr>
      </w:pPr>
      <w:r>
        <w:t xml:space="preserve">Gels can be wrapped in saran wrap and stored for approximately 1 week.</w:t>
      </w:r>
    </w:p>
    <w:bookmarkEnd w:id="115"/>
    <w:bookmarkStart w:id="116" w:name="gel-loading"/>
    <w:p>
      <w:pPr>
        <w:pStyle w:val="Heading4"/>
      </w:pPr>
      <w:r>
        <w:t xml:space="preserve">Gel Loading:</w:t>
      </w:r>
    </w:p>
    <w:p>
      <w:pPr>
        <w:pStyle w:val="Compact"/>
        <w:numPr>
          <w:ilvl w:val="0"/>
          <w:numId w:val="1088"/>
        </w:numPr>
      </w:pPr>
      <w:r>
        <w:t xml:space="preserve">Fill the gel rig with 1X TAE (or equivalent) buffer until it covers the surface of the gel.</w:t>
      </w:r>
    </w:p>
    <w:p>
      <w:pPr>
        <w:pStyle w:val="Compact"/>
        <w:numPr>
          <w:ilvl w:val="0"/>
          <w:numId w:val="1088"/>
        </w:numPr>
      </w:pPr>
      <w:r>
        <w:t xml:space="preserve">Make a map of your samples in your gel.</w:t>
      </w:r>
    </w:p>
    <w:p>
      <w:pPr>
        <w:pStyle w:val="Compact"/>
        <w:numPr>
          <w:ilvl w:val="0"/>
          <w:numId w:val="1088"/>
        </w:numPr>
      </w:pPr>
      <w:r>
        <w:t xml:space="preserve">Load Gel</w:t>
      </w:r>
    </w:p>
    <w:p>
      <w:pPr>
        <w:pStyle w:val="Compact"/>
        <w:numPr>
          <w:ilvl w:val="1"/>
          <w:numId w:val="108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89"/>
        </w:numPr>
      </w:pPr>
      <w:r>
        <w:t xml:space="preserve">PCR product with loading dye: Draw up 5 μL of PCR product using micropipette.</w:t>
      </w:r>
    </w:p>
    <w:p>
      <w:pPr>
        <w:pStyle w:val="Compact"/>
        <w:numPr>
          <w:ilvl w:val="0"/>
          <w:numId w:val="108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88"/>
        </w:numPr>
      </w:pPr>
      <w:r>
        <w:t xml:space="preserve">Be sure to reserve one well per row for a standardized DNA ladder.</w:t>
      </w:r>
    </w:p>
    <w:p>
      <w:pPr>
        <w:pStyle w:val="Compact"/>
        <w:numPr>
          <w:ilvl w:val="0"/>
          <w:numId w:val="1088"/>
        </w:numPr>
      </w:pPr>
      <w:r>
        <w:t xml:space="preserve">Run at 300 volts for about 15 minutes</w:t>
      </w:r>
    </w:p>
    <w:p>
      <w:pPr>
        <w:pStyle w:val="Compact"/>
        <w:numPr>
          <w:ilvl w:val="1"/>
          <w:numId w:val="1090"/>
        </w:numPr>
      </w:pPr>
      <w:r>
        <w:t xml:space="preserve">Keep an eye on the migration of your PCR product across the gel to ensure it doesn’t run off the other end of the gel.</w:t>
      </w:r>
    </w:p>
    <w:p>
      <w:pPr>
        <w:pStyle w:val="Compact"/>
        <w:numPr>
          <w:ilvl w:val="0"/>
          <w:numId w:val="1088"/>
        </w:numPr>
      </w:pPr>
      <w:r>
        <w:t xml:space="preserve">Visualize with UV light.</w:t>
      </w:r>
    </w:p>
    <w:bookmarkEnd w:id="116"/>
    <w:bookmarkEnd w:id="117"/>
    <w:bookmarkStart w:id="118"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18"/>
    <w:bookmarkStart w:id="119"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19"/>
    <w:bookmarkStart w:id="121" w:name="X119230681215c553508703bd9b858aabc863314"/>
    <w:p>
      <w:pPr>
        <w:pStyle w:val="Heading3"/>
      </w:pPr>
      <w:r>
        <w:t xml:space="preserve">Part VI: Identifying Species using DNA Barcode</w:t>
      </w:r>
    </w:p>
    <w:bookmarkStart w:id="120"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91"/>
        </w:numPr>
      </w:pPr>
      <w:r>
        <w:t xml:space="preserve">Go to NCBI: https://www.ncbi.nlm.nih.gov/.</w:t>
      </w:r>
    </w:p>
    <w:p>
      <w:pPr>
        <w:pStyle w:val="Compact"/>
        <w:numPr>
          <w:ilvl w:val="0"/>
          <w:numId w:val="109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92"/>
        </w:numPr>
      </w:pPr>
      <w:r>
        <w:t xml:space="preserve">BLAST = Basic Local Alignment Search Tool</w:t>
      </w:r>
    </w:p>
    <w:p>
      <w:pPr>
        <w:pStyle w:val="Compact"/>
        <w:numPr>
          <w:ilvl w:val="0"/>
          <w:numId w:val="1091"/>
        </w:numPr>
      </w:pPr>
      <w:r>
        <w:t xml:space="preserve">Click on the Nucleotide BLAST image.</w:t>
      </w:r>
    </w:p>
    <w:p>
      <w:pPr>
        <w:pStyle w:val="Compact"/>
        <w:numPr>
          <w:ilvl w:val="1"/>
          <w:numId w:val="109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91"/>
        </w:numPr>
      </w:pPr>
      <w:r>
        <w:t xml:space="preserve">Paste your sequence data into the big space under</w:t>
      </w:r>
      <w:r>
        <w:t xml:space="preserve"> </w:t>
      </w:r>
      <w:r>
        <w:t xml:space="preserve">“Enter Query Sequence”</w:t>
      </w:r>
      <w:r>
        <w:t xml:space="preserve">.</w:t>
      </w:r>
    </w:p>
    <w:p>
      <w:pPr>
        <w:pStyle w:val="Compact"/>
        <w:numPr>
          <w:ilvl w:val="1"/>
          <w:numId w:val="109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91"/>
        </w:numPr>
      </w:pPr>
      <w:r>
        <w:t xml:space="preserve">Under Choose Search Set you can keep it under</w:t>
      </w:r>
      <w:r>
        <w:t xml:space="preserve"> </w:t>
      </w:r>
      <w:r>
        <w:t xml:space="preserve">“Standard databases (nr etc.)”</w:t>
      </w:r>
      <w:r>
        <w:t xml:space="preserve">.</w:t>
      </w:r>
    </w:p>
    <w:p>
      <w:pPr>
        <w:pStyle w:val="Compact"/>
        <w:numPr>
          <w:ilvl w:val="1"/>
          <w:numId w:val="109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91"/>
        </w:numPr>
      </w:pPr>
      <w:r>
        <w:t xml:space="preserve">Select the</w:t>
      </w:r>
      <w:r>
        <w:t xml:space="preserve"> </w:t>
      </w:r>
      <w:r>
        <w:t xml:space="preserve">“BLAST”</w:t>
      </w:r>
      <w:r>
        <w:t xml:space="preserve"> </w:t>
      </w:r>
      <w:r>
        <w:t xml:space="preserve">button at the end.</w:t>
      </w:r>
    </w:p>
    <w:p>
      <w:pPr>
        <w:pStyle w:val="Compact"/>
        <w:numPr>
          <w:ilvl w:val="1"/>
          <w:numId w:val="109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96"/>
        </w:numPr>
      </w:pPr>
      <w:r>
        <w:t xml:space="preserve">Percent Identity = What percent of your sequence (query sequence) is identical to the matched sequence.</w:t>
      </w:r>
    </w:p>
    <w:p>
      <w:pPr>
        <w:pStyle w:val="Compact"/>
        <w:numPr>
          <w:ilvl w:val="1"/>
          <w:numId w:val="1096"/>
        </w:numPr>
      </w:pPr>
      <w:r>
        <w:t xml:space="preserve">Query Cover = How much of the query sequence covers the matched sequence.</w:t>
      </w:r>
    </w:p>
    <w:p>
      <w:pPr>
        <w:pStyle w:val="Compact"/>
        <w:numPr>
          <w:ilvl w:val="1"/>
          <w:numId w:val="1096"/>
        </w:numPr>
      </w:pPr>
      <w:r>
        <w:t xml:space="preserve">E value = The probability that this match occurred by chance in the provided database.</w:t>
      </w:r>
    </w:p>
    <w:p>
      <w:pPr>
        <w:pStyle w:val="Compact"/>
        <w:numPr>
          <w:ilvl w:val="0"/>
          <w:numId w:val="1091"/>
        </w:numPr>
      </w:pPr>
      <w:r>
        <w:t xml:space="preserve">Review the results.</w:t>
      </w:r>
    </w:p>
    <w:p>
      <w:pPr>
        <w:pStyle w:val="Compact"/>
        <w:numPr>
          <w:ilvl w:val="1"/>
          <w:numId w:val="1097"/>
        </w:numPr>
      </w:pPr>
      <w:r>
        <w:t xml:space="preserve">What is the</w:t>
      </w:r>
      <w:r>
        <w:t xml:space="preserve"> </w:t>
      </w:r>
      <w:r>
        <w:t xml:space="preserve">“top hit”</w:t>
      </w:r>
      <w:r>
        <w:t xml:space="preserve">?</w:t>
      </w:r>
    </w:p>
    <w:p>
      <w:pPr>
        <w:pStyle w:val="Compact"/>
        <w:numPr>
          <w:ilvl w:val="1"/>
          <w:numId w:val="1097"/>
        </w:numPr>
      </w:pPr>
      <w:r>
        <w:t xml:space="preserve">How much support is provided for this hit given the current database used?</w:t>
      </w:r>
    </w:p>
    <w:p>
      <w:pPr>
        <w:pStyle w:val="Compact"/>
        <w:numPr>
          <w:ilvl w:val="1"/>
          <w:numId w:val="1097"/>
        </w:numPr>
      </w:pPr>
      <w:r>
        <w:t xml:space="preserve">What is the taxonomic ID of this result? What kind of fungi are these?</w:t>
      </w:r>
    </w:p>
    <w:p>
      <w:pPr>
        <w:pStyle w:val="Compact"/>
        <w:numPr>
          <w:ilvl w:val="1"/>
          <w:numId w:val="1097"/>
        </w:numPr>
      </w:pPr>
      <w:r>
        <w:t xml:space="preserve">You may google the names and search under Wikipedia to get a better understanding of these organisms and what is known.</w:t>
      </w:r>
    </w:p>
    <w:bookmarkEnd w:id="120"/>
    <w:bookmarkEnd w:id="121"/>
    <w:bookmarkStart w:id="122"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22"/>
    <w:bookmarkEnd w:id="123"/>
    <w:bookmarkEnd w:id="124"/>
    <w:bookmarkStart w:id="135" w:name="module-5-tissue-preparation"/>
    <w:p>
      <w:pPr>
        <w:pStyle w:val="Heading1"/>
      </w:pPr>
      <w:r>
        <w:t xml:space="preserve">Module 5: Tissue Preparation</w:t>
      </w:r>
    </w:p>
    <w:bookmarkStart w:id="126" w:name="X0d17ba572a281133a22d073b368b9fbe73454ca"/>
    <w:p>
      <w:pPr>
        <w:pStyle w:val="Heading2"/>
      </w:pPr>
      <w:r>
        <w:t xml:space="preserve">Module 5.1 – Tissue Preparation for Genome Sequencing</w:t>
      </w:r>
    </w:p>
    <w:bookmarkStart w:id="125"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25"/>
    <w:bookmarkEnd w:id="126"/>
    <w:bookmarkStart w:id="134" w:name="Xc8205bcafd44c2f0f2777871d0b670e5430cb18"/>
    <w:p>
      <w:pPr>
        <w:pStyle w:val="Heading2"/>
      </w:pPr>
      <w:r>
        <w:t xml:space="preserve">Module 5.2 – Tissue Preparation for Genome Sequencing</w:t>
      </w:r>
    </w:p>
    <w:bookmarkStart w:id="127"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27"/>
    <w:bookmarkStart w:id="128"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28"/>
    <w:bookmarkStart w:id="129" w:name="sub-culturing-on-cellophane"/>
    <w:p>
      <w:pPr>
        <w:pStyle w:val="Heading3"/>
      </w:pPr>
      <w:r>
        <w:t xml:space="preserve">Sub-Culturing on Cellophane</w:t>
      </w:r>
    </w:p>
    <w:p>
      <w:pPr>
        <w:pStyle w:val="Compact"/>
        <w:numPr>
          <w:ilvl w:val="0"/>
          <w:numId w:val="1098"/>
        </w:numPr>
      </w:pPr>
      <w:r>
        <w:t xml:space="preserve">Clean your workspace as described previously. Work under flames or in a laminar flow hood if available.</w:t>
      </w:r>
    </w:p>
    <w:p>
      <w:pPr>
        <w:pStyle w:val="Compact"/>
        <w:numPr>
          <w:ilvl w:val="0"/>
          <w:numId w:val="1098"/>
        </w:numPr>
      </w:pPr>
      <w:r>
        <w:t xml:space="preserve">Label your Cellophane lined Petri Dish appropriately.</w:t>
      </w:r>
    </w:p>
    <w:p>
      <w:pPr>
        <w:pStyle w:val="Compact"/>
        <w:numPr>
          <w:ilvl w:val="0"/>
          <w:numId w:val="1098"/>
        </w:numPr>
      </w:pPr>
      <w:r>
        <w:t xml:space="preserve">Sterilize implements (forceps and scalpel).</w:t>
      </w:r>
    </w:p>
    <w:p>
      <w:pPr>
        <w:pStyle w:val="Compact"/>
        <w:numPr>
          <w:ilvl w:val="0"/>
          <w:numId w:val="1098"/>
        </w:numPr>
      </w:pPr>
      <w:r>
        <w:t xml:space="preserve">Scrape mycelia from PDA plates that you have been growing. Be sure to avoid transferring any media as much as possible.</w:t>
      </w:r>
    </w:p>
    <w:p>
      <w:pPr>
        <w:pStyle w:val="Compact"/>
        <w:numPr>
          <w:ilvl w:val="1"/>
          <w:numId w:val="1099"/>
        </w:numPr>
      </w:pPr>
      <w:r>
        <w:t xml:space="preserve">Leaving the assay plate on the bench space, remove the parafilm of the inoculation plate and slightly crack open the lid using your non-dominant hand.</w:t>
      </w:r>
    </w:p>
    <w:p>
      <w:pPr>
        <w:pStyle w:val="Compact"/>
        <w:numPr>
          <w:ilvl w:val="1"/>
          <w:numId w:val="1099"/>
        </w:numPr>
      </w:pPr>
      <w:r>
        <w:t xml:space="preserve">Insert your forceps into the crack of the Petri dish and attempt to sample some mycelium.</w:t>
      </w:r>
    </w:p>
    <w:p>
      <w:pPr>
        <w:pStyle w:val="Compact"/>
        <w:numPr>
          <w:ilvl w:val="2"/>
          <w:numId w:val="1100"/>
        </w:numPr>
      </w:pPr>
      <w:r>
        <w:t xml:space="preserve">If you are unable to remove mycelia with your forceps, use your scalpel to remove mycelia with the least amount of agar possible.</w:t>
      </w:r>
    </w:p>
    <w:p>
      <w:pPr>
        <w:pStyle w:val="Compact"/>
        <w:numPr>
          <w:ilvl w:val="0"/>
          <w:numId w:val="1098"/>
        </w:numPr>
      </w:pPr>
      <w:r>
        <w:t xml:space="preserve">Transfer the mycelia to a Petri dish with cellophane.</w:t>
      </w:r>
    </w:p>
    <w:p>
      <w:pPr>
        <w:pStyle w:val="Compact"/>
        <w:numPr>
          <w:ilvl w:val="1"/>
          <w:numId w:val="1101"/>
        </w:numPr>
      </w:pPr>
      <w:r>
        <w:t xml:space="preserve">Carefully remove the chunk of agar. Replace the lid. Slide the sample plate away. Slide a cellophane plate towards you.</w:t>
      </w:r>
    </w:p>
    <w:p>
      <w:pPr>
        <w:pStyle w:val="Compact"/>
        <w:numPr>
          <w:ilvl w:val="1"/>
          <w:numId w:val="1101"/>
        </w:numPr>
      </w:pPr>
      <w:r>
        <w:t xml:space="preserve">Crack open the cellophane plate using your non-dominant hand, and carefully insert the forceps with the agar and mycelium.</w:t>
      </w:r>
    </w:p>
    <w:p>
      <w:pPr>
        <w:pStyle w:val="Compact"/>
        <w:numPr>
          <w:ilvl w:val="1"/>
          <w:numId w:val="1101"/>
        </w:numPr>
      </w:pPr>
      <w:r>
        <w:t xml:space="preserve">To deposit the agar onto the PDA agar, submerge the forceps into the agar on the plate. This should force the agar and mycelium from your forceps, onto the PDA agar.</w:t>
      </w:r>
    </w:p>
    <w:p>
      <w:pPr>
        <w:pStyle w:val="Compact"/>
        <w:numPr>
          <w:ilvl w:val="1"/>
          <w:numId w:val="1101"/>
        </w:numPr>
      </w:pPr>
      <w:r>
        <w:t xml:space="preserve">Pull your forceps straight out to leave the agar and mycelium on the plate.</w:t>
      </w:r>
    </w:p>
    <w:p>
      <w:pPr>
        <w:pStyle w:val="Compact"/>
        <w:numPr>
          <w:ilvl w:val="1"/>
          <w:numId w:val="110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98"/>
        </w:numPr>
      </w:pPr>
      <w:r>
        <w:t xml:space="preserve">Seal Petri dish with parafilm.</w:t>
      </w:r>
    </w:p>
    <w:p>
      <w:pPr>
        <w:pStyle w:val="Compact"/>
        <w:numPr>
          <w:ilvl w:val="0"/>
          <w:numId w:val="1098"/>
        </w:numPr>
      </w:pPr>
      <w:r>
        <w:t xml:space="preserve">Allow fungi to fill the cellophane.</w:t>
      </w:r>
    </w:p>
    <w:p>
      <w:pPr>
        <w:pStyle w:val="Compact"/>
        <w:numPr>
          <w:ilvl w:val="0"/>
          <w:numId w:val="1098"/>
        </w:numPr>
      </w:pPr>
      <w:r>
        <w:t xml:space="preserve">Repeat this process with all fungal isolates that will be sent for genome sequencing.</w:t>
      </w:r>
    </w:p>
    <w:bookmarkEnd w:id="129"/>
    <w:bookmarkStart w:id="130"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30"/>
    <w:bookmarkStart w:id="131" w:name="student-lab-supplies-1"/>
    <w:p>
      <w:pPr>
        <w:pStyle w:val="Heading3"/>
      </w:pPr>
      <w:r>
        <w:t xml:space="preserve">Student Lab Supplies</w:t>
      </w:r>
    </w:p>
    <w:p>
      <w:pPr>
        <w:pStyle w:val="Compact"/>
        <w:numPr>
          <w:ilvl w:val="0"/>
          <w:numId w:val="1102"/>
        </w:numPr>
      </w:pPr>
      <w:r>
        <w:t xml:space="preserve">1.5 ml Eppendorf tubes</w:t>
      </w:r>
    </w:p>
    <w:p>
      <w:pPr>
        <w:pStyle w:val="Compact"/>
        <w:numPr>
          <w:ilvl w:val="0"/>
          <w:numId w:val="1102"/>
        </w:numPr>
      </w:pPr>
      <w:r>
        <w:t xml:space="preserve">Sharpie</w:t>
      </w:r>
    </w:p>
    <w:p>
      <w:pPr>
        <w:pStyle w:val="Compact"/>
        <w:numPr>
          <w:ilvl w:val="0"/>
          <w:numId w:val="1102"/>
        </w:numPr>
      </w:pPr>
      <w:r>
        <w:t xml:space="preserve">Scalpel</w:t>
      </w:r>
    </w:p>
    <w:p>
      <w:pPr>
        <w:pStyle w:val="Compact"/>
        <w:numPr>
          <w:ilvl w:val="0"/>
          <w:numId w:val="1102"/>
        </w:numPr>
      </w:pPr>
      <w:r>
        <w:t xml:space="preserve">Forceps</w:t>
      </w:r>
    </w:p>
    <w:p>
      <w:pPr>
        <w:pStyle w:val="Compact"/>
        <w:numPr>
          <w:ilvl w:val="0"/>
          <w:numId w:val="1102"/>
        </w:numPr>
      </w:pPr>
      <w:r>
        <w:t xml:space="preserve">Silica</w:t>
      </w:r>
    </w:p>
    <w:p>
      <w:pPr>
        <w:pStyle w:val="Compact"/>
        <w:numPr>
          <w:ilvl w:val="0"/>
          <w:numId w:val="1102"/>
        </w:numPr>
      </w:pPr>
      <w:r>
        <w:t xml:space="preserve">Probe</w:t>
      </w:r>
    </w:p>
    <w:bookmarkEnd w:id="131"/>
    <w:bookmarkStart w:id="132"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32"/>
    <w:bookmarkStart w:id="133" w:name="instructions-2"/>
    <w:p>
      <w:pPr>
        <w:pStyle w:val="Heading3"/>
      </w:pPr>
      <w:r>
        <w:t xml:space="preserve">Instructions</w:t>
      </w:r>
    </w:p>
    <w:p>
      <w:pPr>
        <w:pStyle w:val="Compact"/>
        <w:numPr>
          <w:ilvl w:val="0"/>
          <w:numId w:val="1103"/>
        </w:numPr>
      </w:pPr>
      <w:r>
        <w:t xml:space="preserve">You will be harvesting fungal tissue from the cellophane PDA petri dishes.</w:t>
      </w:r>
    </w:p>
    <w:p>
      <w:pPr>
        <w:pStyle w:val="Compact"/>
        <w:numPr>
          <w:ilvl w:val="0"/>
          <w:numId w:val="1103"/>
        </w:numPr>
      </w:pPr>
      <w:r>
        <w:t xml:space="preserve">Use a laminar flow hood or set up flames to create a sterile environment. Clean your sterile area.</w:t>
      </w:r>
    </w:p>
    <w:p>
      <w:pPr>
        <w:pStyle w:val="Compact"/>
        <w:numPr>
          <w:ilvl w:val="0"/>
          <w:numId w:val="1103"/>
        </w:numPr>
      </w:pPr>
      <w:r>
        <w:t xml:space="preserve">Light your flame source. Dip your harvesting implement(s) (scalpel, forceps, and/or probe) into alcohol. Flame your implements and let it cool.</w:t>
      </w:r>
    </w:p>
    <w:p>
      <w:pPr>
        <w:pStyle w:val="Compact"/>
        <w:numPr>
          <w:ilvl w:val="0"/>
          <w:numId w:val="110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0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03"/>
        </w:numPr>
      </w:pPr>
      <w:r>
        <w:t xml:space="preserve">Seal silica-filled jar with the lid. Allow the tissue to dry for 5-10 days.</w:t>
      </w:r>
    </w:p>
    <w:p>
      <w:pPr>
        <w:pStyle w:val="Compact"/>
        <w:numPr>
          <w:ilvl w:val="0"/>
          <w:numId w:val="1103"/>
        </w:numPr>
      </w:pPr>
      <w:r>
        <w:t xml:space="preserve">Once the tissue is dry, remove the Eppendorf tubes from the silica jar and close the lids.</w:t>
      </w:r>
    </w:p>
    <w:p>
      <w:pPr>
        <w:pStyle w:val="Compact"/>
        <w:numPr>
          <w:ilvl w:val="0"/>
          <w:numId w:val="1103"/>
        </w:numPr>
      </w:pPr>
      <w:r>
        <w:t xml:space="preserve">Proceed to the Sample submission module.</w:t>
      </w:r>
    </w:p>
    <w:bookmarkEnd w:id="133"/>
    <w:bookmarkEnd w:id="134"/>
    <w:bookmarkEnd w:id="135"/>
    <w:bookmarkStart w:id="142" w:name="module-6-sample-submission"/>
    <w:p>
      <w:pPr>
        <w:pStyle w:val="Heading1"/>
      </w:pPr>
      <w:r>
        <w:t xml:space="preserve">Module 6: Sample Submission</w:t>
      </w:r>
    </w:p>
    <w:bookmarkStart w:id="141" w:name="module-6.1-myco-ed-sample-submission-sop"/>
    <w:p>
      <w:pPr>
        <w:pStyle w:val="Heading2"/>
      </w:pPr>
      <w:r>
        <w:t xml:space="preserve">Module 6.1 – Myco-Ed Sample Submission SOP</w:t>
      </w:r>
    </w:p>
    <w:bookmarkStart w:id="136" w:name="overview-2"/>
    <w:p>
      <w:pPr>
        <w:pStyle w:val="Heading3"/>
      </w:pPr>
      <w:r>
        <w:t xml:space="preserve">Overview</w:t>
      </w:r>
    </w:p>
    <w:p>
      <w:pPr>
        <w:pStyle w:val="FirstParagraph"/>
      </w:pPr>
      <w:r>
        <w:t xml:space="preserve">Use this document to submit fungal samples to Arizona Genomics Institute (AGI) for DNA extraction.</w:t>
      </w:r>
    </w:p>
    <w:bookmarkEnd w:id="136"/>
    <w:bookmarkStart w:id="137" w:name="definitions"/>
    <w:p>
      <w:pPr>
        <w:pStyle w:val="Heading3"/>
      </w:pPr>
      <w:r>
        <w:t xml:space="preserve">Definitions</w:t>
      </w:r>
    </w:p>
    <w:p>
      <w:pPr>
        <w:pStyle w:val="Compact"/>
        <w:numPr>
          <w:ilvl w:val="0"/>
          <w:numId w:val="1104"/>
        </w:numPr>
      </w:pPr>
      <w:r>
        <w:t xml:space="preserve">JGI = Joint Genomics Institute</w:t>
      </w:r>
    </w:p>
    <w:p>
      <w:pPr>
        <w:pStyle w:val="Compact"/>
        <w:numPr>
          <w:ilvl w:val="0"/>
          <w:numId w:val="1104"/>
        </w:numPr>
      </w:pPr>
      <w:r>
        <w:t xml:space="preserve">AGI = Arizona Genome Institute</w:t>
      </w:r>
    </w:p>
    <w:bookmarkEnd w:id="137"/>
    <w:bookmarkStart w:id="138" w:name="associated-documents"/>
    <w:p>
      <w:pPr>
        <w:pStyle w:val="Heading3"/>
      </w:pPr>
      <w:r>
        <w:t xml:space="preserve">Associated Documents</w:t>
      </w:r>
    </w:p>
    <w:p>
      <w:pPr>
        <w:pStyle w:val="FirstParagraph"/>
      </w:pPr>
      <w:r>
        <w:t xml:space="preserve">MycoEd Metadata Form</w:t>
      </w:r>
    </w:p>
    <w:bookmarkEnd w:id="138"/>
    <w:bookmarkStart w:id="139" w:name="process-steps"/>
    <w:p>
      <w:pPr>
        <w:pStyle w:val="Heading3"/>
      </w:pPr>
      <w:r>
        <w:t xml:space="preserve">Process Steps</w:t>
      </w:r>
    </w:p>
    <w:p>
      <w:pPr>
        <w:pStyle w:val="Compact"/>
        <w:numPr>
          <w:ilvl w:val="0"/>
          <w:numId w:val="1105"/>
        </w:numPr>
      </w:pPr>
      <w:r>
        <w:t xml:space="preserve">Create a JGI Single Sign on Account</w:t>
      </w:r>
    </w:p>
    <w:p>
      <w:pPr>
        <w:pStyle w:val="Compact"/>
        <w:numPr>
          <w:ilvl w:val="0"/>
          <w:numId w:val="1105"/>
        </w:numPr>
      </w:pPr>
      <w:r>
        <w:t xml:space="preserve">Email photos of the live tissue you intend to send AGI before collection to JTALAG@email.arizona.edu and kwbarry@lbl.gov.</w:t>
      </w:r>
    </w:p>
    <w:p>
      <w:pPr>
        <w:pStyle w:val="Compact"/>
        <w:numPr>
          <w:ilvl w:val="0"/>
          <w:numId w:val="1105"/>
        </w:numPr>
      </w:pPr>
      <w:r>
        <w:t xml:space="preserve">Make a copy of the MycoEd Metadata Form</w:t>
      </w:r>
    </w:p>
    <w:p>
      <w:pPr>
        <w:pStyle w:val="Compact"/>
        <w:numPr>
          <w:ilvl w:val="1"/>
          <w:numId w:val="1106"/>
        </w:numPr>
      </w:pPr>
      <w:r>
        <w:t xml:space="preserve">Click on MycoEd Metadata Form link</w:t>
      </w:r>
    </w:p>
    <w:p>
      <w:pPr>
        <w:pStyle w:val="Compact"/>
        <w:numPr>
          <w:ilvl w:val="1"/>
          <w:numId w:val="1106"/>
        </w:numPr>
      </w:pPr>
      <w:r>
        <w:t xml:space="preserve">Under file, select Make a Copy</w:t>
      </w:r>
    </w:p>
    <w:p>
      <w:pPr>
        <w:pStyle w:val="Compact"/>
        <w:numPr>
          <w:ilvl w:val="1"/>
          <w:numId w:val="1106"/>
        </w:numPr>
      </w:pPr>
      <w:r>
        <w:t xml:space="preserve">Rename your new copy [University][Instructor Last Name][MycoEd Metadata][Date]</w:t>
      </w:r>
    </w:p>
    <w:p>
      <w:pPr>
        <w:pStyle w:val="Compact"/>
        <w:numPr>
          <w:ilvl w:val="0"/>
          <w:numId w:val="1105"/>
        </w:numPr>
      </w:pPr>
      <w:r>
        <w:t xml:space="preserve">Fill out your copy of the MycoEd Metadata Form</w:t>
      </w:r>
    </w:p>
    <w:p>
      <w:pPr>
        <w:pStyle w:val="Compact"/>
        <w:numPr>
          <w:ilvl w:val="1"/>
          <w:numId w:val="1107"/>
        </w:numPr>
      </w:pPr>
      <w:r>
        <w:t xml:space="preserve">Professor is the instructor for the class and their email address</w:t>
      </w:r>
    </w:p>
    <w:p>
      <w:pPr>
        <w:pStyle w:val="Compact"/>
        <w:numPr>
          <w:ilvl w:val="1"/>
          <w:numId w:val="1107"/>
        </w:numPr>
      </w:pPr>
      <w:r>
        <w:t xml:space="preserve">Name of the University/Institution is your University/Institution</w:t>
      </w:r>
    </w:p>
    <w:p>
      <w:pPr>
        <w:pStyle w:val="Compact"/>
        <w:numPr>
          <w:ilvl w:val="1"/>
          <w:numId w:val="1107"/>
        </w:numPr>
      </w:pPr>
      <w:r>
        <w:t xml:space="preserve">Date submitted/shipped is the date you ship the samples to AGI</w:t>
      </w:r>
    </w:p>
    <w:p>
      <w:pPr>
        <w:pStyle w:val="Compact"/>
        <w:numPr>
          <w:ilvl w:val="1"/>
          <w:numId w:val="1107"/>
        </w:numPr>
      </w:pPr>
      <w:r>
        <w:t xml:space="preserve">JGI proposal name &amp; number is DS 509937 (already provided)</w:t>
      </w:r>
    </w:p>
    <w:p>
      <w:pPr>
        <w:pStyle w:val="Compact"/>
        <w:numPr>
          <w:ilvl w:val="0"/>
          <w:numId w:val="1105"/>
        </w:numPr>
      </w:pPr>
      <w:r>
        <w:t xml:space="preserve">Fill out Sample Table</w:t>
      </w:r>
    </w:p>
    <w:p>
      <w:pPr>
        <w:pStyle w:val="Compact"/>
        <w:numPr>
          <w:ilvl w:val="1"/>
          <w:numId w:val="1108"/>
        </w:numPr>
      </w:pPr>
      <w:r>
        <w:t xml:space="preserve">Enter requested metadata into the table</w:t>
      </w:r>
    </w:p>
    <w:p>
      <w:pPr>
        <w:pStyle w:val="Compact"/>
        <w:numPr>
          <w:ilvl w:val="1"/>
          <w:numId w:val="1108"/>
        </w:numPr>
      </w:pPr>
      <w:r>
        <w:t xml:space="preserve">Use one row per sample/tube</w:t>
      </w:r>
    </w:p>
    <w:p>
      <w:pPr>
        <w:pStyle w:val="Compact"/>
        <w:numPr>
          <w:ilvl w:val="1"/>
          <w:numId w:val="1108"/>
        </w:numPr>
      </w:pPr>
      <w:r>
        <w:t xml:space="preserve">Insert additional rows if needed</w:t>
      </w:r>
    </w:p>
    <w:p>
      <w:pPr>
        <w:pStyle w:val="Compact"/>
        <w:numPr>
          <w:ilvl w:val="1"/>
          <w:numId w:val="1108"/>
        </w:numPr>
      </w:pPr>
      <w:r>
        <w:t xml:space="preserve">Columns with gray field headers, B and D, will be filled out by JGI</w:t>
      </w:r>
    </w:p>
    <w:p>
      <w:pPr>
        <w:pStyle w:val="Compact"/>
        <w:numPr>
          <w:ilvl w:val="1"/>
          <w:numId w:val="1108"/>
        </w:numPr>
      </w:pPr>
      <w:r>
        <w:t xml:space="preserve">For Column C, Sample Name - please use below convention for naming: [University][Plant][Plant tissue] Metagenome [Sample ID]</w:t>
      </w:r>
    </w:p>
    <w:p>
      <w:pPr>
        <w:pStyle w:val="Compact"/>
        <w:numPr>
          <w:ilvl w:val="1"/>
          <w:numId w:val="1108"/>
        </w:numPr>
      </w:pPr>
      <w:r>
        <w:t xml:space="preserve">Column G is only needed if you are sending more than 22 samples</w:t>
      </w:r>
    </w:p>
    <w:p>
      <w:pPr>
        <w:pStyle w:val="Compact"/>
        <w:numPr>
          <w:ilvl w:val="1"/>
          <w:numId w:val="1108"/>
        </w:numPr>
      </w:pPr>
      <w:r>
        <w:t xml:space="preserve">Student is the full name of student that collected the sample and their email address</w:t>
      </w:r>
    </w:p>
    <w:p>
      <w:pPr>
        <w:pStyle w:val="Compact"/>
        <w:numPr>
          <w:ilvl w:val="1"/>
          <w:numId w:val="1108"/>
        </w:numPr>
      </w:pPr>
      <w:r>
        <w:t xml:space="preserve">Columns with Yellow Header, X-AF, will be filled out by AGI after DNA extraction</w:t>
      </w:r>
    </w:p>
    <w:p>
      <w:pPr>
        <w:pStyle w:val="Compact"/>
        <w:numPr>
          <w:ilvl w:val="0"/>
          <w:numId w:val="1105"/>
        </w:numPr>
      </w:pPr>
      <w:r>
        <w:t xml:space="preserve">Email form to AGI &amp; JGI</w:t>
      </w:r>
    </w:p>
    <w:p>
      <w:pPr>
        <w:pStyle w:val="Compact"/>
        <w:numPr>
          <w:ilvl w:val="1"/>
          <w:numId w:val="1109"/>
        </w:numPr>
      </w:pPr>
      <w:r>
        <w:t xml:space="preserve">Once all required metadata is provided, download a copy to excel</w:t>
      </w:r>
    </w:p>
    <w:p>
      <w:pPr>
        <w:pStyle w:val="Compact"/>
        <w:numPr>
          <w:ilvl w:val="1"/>
          <w:numId w:val="1109"/>
        </w:numPr>
      </w:pPr>
      <w:r>
        <w:t xml:space="preserve">Email a copy to Jayson at (jtalag@ag.arizona.edu ) and Kerrie (kwbarry@lbl.gov).</w:t>
      </w:r>
    </w:p>
    <w:p>
      <w:pPr>
        <w:pStyle w:val="Compact"/>
        <w:numPr>
          <w:ilvl w:val="1"/>
          <w:numId w:val="110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09"/>
        </w:numPr>
      </w:pPr>
      <w:r>
        <w:t xml:space="preserve">Include in your email your name, your college/university, the exact name of your samples (column D) that are ready to ship to AGI (and the rows in this sheet).</w:t>
      </w:r>
    </w:p>
    <w:p>
      <w:pPr>
        <w:pStyle w:val="Compact"/>
        <w:numPr>
          <w:ilvl w:val="1"/>
          <w:numId w:val="1109"/>
        </w:numPr>
      </w:pPr>
      <w:r>
        <w:t xml:space="preserve">Wait for approval/confirmation from AGI &amp; JGI.</w:t>
      </w:r>
    </w:p>
    <w:p>
      <w:pPr>
        <w:pStyle w:val="Compact"/>
        <w:numPr>
          <w:ilvl w:val="2"/>
          <w:numId w:val="1110"/>
        </w:numPr>
      </w:pPr>
      <w:r>
        <w:t xml:space="preserve">If needed make requested changed and email updated copy</w:t>
      </w:r>
    </w:p>
    <w:p>
      <w:pPr>
        <w:pStyle w:val="Compact"/>
        <w:numPr>
          <w:ilvl w:val="0"/>
          <w:numId w:val="1105"/>
        </w:numPr>
      </w:pPr>
      <w:r>
        <w:t xml:space="preserve">Prepare samples for shipment</w:t>
      </w:r>
    </w:p>
    <w:p>
      <w:pPr>
        <w:pStyle w:val="Compact"/>
        <w:numPr>
          <w:ilvl w:val="1"/>
          <w:numId w:val="1111"/>
        </w:numPr>
      </w:pPr>
    </w:p>
    <w:p>
      <w:pPr>
        <w:pStyle w:val="Compact"/>
        <w:numPr>
          <w:ilvl w:val="2"/>
          <w:numId w:val="111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11"/>
        </w:numPr>
      </w:pPr>
      <w:r>
        <w:t xml:space="preserve">Email FEDEX tracking # when your shipment is picked up.</w:t>
      </w:r>
    </w:p>
    <w:p>
      <w:pPr>
        <w:pStyle w:val="Compact"/>
        <w:numPr>
          <w:ilvl w:val="1"/>
          <w:numId w:val="111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39"/>
    <w:bookmarkStart w:id="140"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40"/>
    <w:bookmarkEnd w:id="141"/>
    <w:bookmarkEnd w:id="142"/>
    <w:bookmarkStart w:id="160" w:name="module-7-genomic-analyses"/>
    <w:p>
      <w:pPr>
        <w:pStyle w:val="Heading1"/>
      </w:pPr>
      <w:r>
        <w:t xml:space="preserve">Module 7: Genomic Analyses</w:t>
      </w:r>
    </w:p>
    <w:bookmarkStart w:id="150" w:name="X46999d4e04aaa0bd6e7f1cf0936f3283e50c93c"/>
    <w:p>
      <w:pPr>
        <w:pStyle w:val="Heading2"/>
      </w:pPr>
      <w:r>
        <w:t xml:space="preserve">Module 7.1 – Sexual Reproduction in Ascomycota Genomic Analysis</w:t>
      </w:r>
    </w:p>
    <w:bookmarkStart w:id="143"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43"/>
    <w:bookmarkStart w:id="144" w:name="references"/>
    <w:p>
      <w:pPr>
        <w:pStyle w:val="Heading3"/>
      </w:pPr>
      <w:r>
        <w:t xml:space="preserve">References:</w:t>
      </w:r>
    </w:p>
    <w:p>
      <w:pPr>
        <w:pStyle w:val="Compact"/>
        <w:numPr>
          <w:ilvl w:val="0"/>
          <w:numId w:val="1113"/>
        </w:numPr>
      </w:pPr>
      <w:r>
        <w:t xml:space="preserve">Casselton, L.A., Olesnicky, N.S., 1998. Molecular Genetics of Mating Recognition in Basidiomycete Fungi. Microbiol Mol Biol Rev., 62(1): 55–70. doi: 10.1128/mmbr.62.1.55-70.1998</w:t>
      </w:r>
    </w:p>
    <w:p>
      <w:pPr>
        <w:pStyle w:val="Compact"/>
        <w:numPr>
          <w:ilvl w:val="0"/>
          <w:numId w:val="1113"/>
        </w:numPr>
      </w:pPr>
      <w:r>
        <w:t xml:space="preserve">Cambareri, E.B., Singer, M.J., Selker, E.U., 1991. Recurrence of repeat-induced point mutation (RIP) in Neurospora crassa. Genetics, 127(4):699-710. doi: 10.1093/genetics/127.4.699.</w:t>
      </w:r>
    </w:p>
    <w:p>
      <w:pPr>
        <w:pStyle w:val="Compact"/>
        <w:numPr>
          <w:ilvl w:val="0"/>
          <w:numId w:val="1113"/>
        </w:numPr>
      </w:pPr>
      <w:r>
        <w:t xml:space="preserve">Metzenberg, R.L., Glass, N.L., 1990. Mating type and mating strategies in Neurospora. Bioessays. 1990 Feb;12(2):53-9. doi: 10.1002/bies.950120202.</w:t>
      </w:r>
    </w:p>
    <w:bookmarkEnd w:id="144"/>
    <w:bookmarkStart w:id="149" w:name="finding-mat-a"/>
    <w:p>
      <w:pPr>
        <w:pStyle w:val="Heading3"/>
      </w:pPr>
      <w:r>
        <w:t xml:space="preserve">Finding mat A</w:t>
      </w:r>
    </w:p>
    <w:bookmarkStart w:id="145"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1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1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14"/>
        </w:numPr>
      </w:pPr>
      <w:r>
        <w:t xml:space="preserve">Let’s find the location of this gene in the genome! Go to the Neucr2 MycoCosm portal (https://mycocosm.jgi.doe.gov/Neucr2) and search for it using the BLAST tool.</w:t>
      </w:r>
    </w:p>
    <w:p>
      <w:pPr>
        <w:pStyle w:val="Compact"/>
        <w:numPr>
          <w:ilvl w:val="0"/>
          <w:numId w:val="111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14"/>
        </w:numPr>
      </w:pPr>
      <w:r>
        <w:t xml:space="preserve">You should see two hits, each shown in a separate row.</w:t>
      </w:r>
    </w:p>
    <w:p>
      <w:pPr>
        <w:pStyle w:val="Compact"/>
        <w:numPr>
          <w:ilvl w:val="1"/>
          <w:numId w:val="111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15"/>
        </w:numPr>
      </w:pPr>
      <w:r>
        <w:t xml:space="preserve">The second column shows an alignment of that sequence against your query, which is helpful for seeing how well hits cover your query sequence.</w:t>
      </w:r>
    </w:p>
    <w:p>
      <w:pPr>
        <w:pStyle w:val="Compact"/>
        <w:numPr>
          <w:ilvl w:val="1"/>
          <w:numId w:val="1115"/>
        </w:numPr>
      </w:pPr>
      <w:r>
        <w:t xml:space="preserve">The score and EValue columns are also useful when assessing hit quality. Higher scores are better, and conversely, lower e-values are better.</w:t>
      </w:r>
    </w:p>
    <w:p>
      <w:pPr>
        <w:pStyle w:val="Compact"/>
        <w:numPr>
          <w:ilvl w:val="0"/>
          <w:numId w:val="111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1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1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1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1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1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1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1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14"/>
        </w:numPr>
      </w:pPr>
      <w:r>
        <w:t xml:space="preserve">Using the information on the protein page, can you find mat A-2 and mat-A3?</w:t>
      </w:r>
    </w:p>
    <w:p>
      <w:pPr>
        <w:pStyle w:val="Compact"/>
        <w:numPr>
          <w:ilvl w:val="0"/>
          <w:numId w:val="1114"/>
        </w:numPr>
      </w:pPr>
      <w:r>
        <w:t xml:space="preserve">At the mating type locus, do you notice anything interesting when exploring the read depth coverage plots (pink tracks) from related Neurospora genomes?</w:t>
      </w:r>
    </w:p>
    <w:p>
      <w:pPr>
        <w:pStyle w:val="Compact"/>
        <w:numPr>
          <w:ilvl w:val="0"/>
          <w:numId w:val="111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45"/>
    <w:bookmarkStart w:id="146"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1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1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1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1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1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1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46"/>
    <w:bookmarkStart w:id="147"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1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17"/>
        </w:numPr>
      </w:pPr>
      <w:r>
        <w:t xml:space="preserve">Let’s find it on the mat a genome portal you found earlier for N. tetrasperma strain FGSC 2509, (https://mycocosm.jgi.doe.gov/Neute_mat_a1).</w:t>
      </w:r>
    </w:p>
    <w:p>
      <w:pPr>
        <w:pStyle w:val="Compact"/>
        <w:numPr>
          <w:ilvl w:val="0"/>
          <w:numId w:val="111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17"/>
        </w:numPr>
      </w:pPr>
      <w:r>
        <w:t xml:space="preserve">The best hit is to N. tetrasperma protein ID 124723, can you explain why?</w:t>
      </w:r>
    </w:p>
    <w:p>
      <w:pPr>
        <w:pStyle w:val="Compact"/>
        <w:numPr>
          <w:ilvl w:val="0"/>
          <w:numId w:val="1117"/>
        </w:numPr>
      </w:pPr>
      <w:r>
        <w:t xml:space="preserve">Let’s revisit the Neucr2 mcl clustering page and search for this, again by typing portalID.proteinID (e.g. Neute_mat_a1.124723) in the search field.</w:t>
      </w:r>
    </w:p>
    <w:p>
      <w:pPr>
        <w:pStyle w:val="Compact"/>
        <w:numPr>
          <w:ilvl w:val="0"/>
          <w:numId w:val="111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17"/>
        </w:numPr>
      </w:pPr>
      <w:r>
        <w:t xml:space="preserve">It looks like our mat a gene is found in a region that is not present in any of the others, which are all the opposite mating type (mat A)!</w:t>
      </w:r>
    </w:p>
    <w:p>
      <w:pPr>
        <w:pStyle w:val="Compact"/>
        <w:numPr>
          <w:ilvl w:val="0"/>
          <w:numId w:val="1117"/>
        </w:numPr>
      </w:pPr>
      <w:r>
        <w:t xml:space="preserve">With this information, we can say that all our current evidence supports our hypothesis that fungal mating types are driven by presence/absence of specific genes, mat a and A in particular!</w:t>
      </w:r>
    </w:p>
    <w:bookmarkEnd w:id="147"/>
    <w:bookmarkStart w:id="148"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1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1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18"/>
        </w:numPr>
      </w:pPr>
      <w:r>
        <w:t xml:space="preserve">Go through the same exercise to search mcl clusters. Do you see a similar pattern to what we observed in N. crassa?</w:t>
      </w:r>
    </w:p>
    <w:p>
      <w:pPr>
        <w:pStyle w:val="Compact"/>
        <w:numPr>
          <w:ilvl w:val="0"/>
          <w:numId w:val="111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1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1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1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1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48"/>
    <w:bookmarkEnd w:id="149"/>
    <w:bookmarkEnd w:id="150"/>
    <w:bookmarkStart w:id="159" w:name="Xe7b646958662d93788a5fac43551e0623449021"/>
    <w:p>
      <w:pPr>
        <w:pStyle w:val="Heading2"/>
      </w:pPr>
      <w:r>
        <w:t xml:space="preserve">Module 7.2 – Fungal Natural Product Production Genomic Analysis</w:t>
      </w:r>
    </w:p>
    <w:bookmarkStart w:id="151"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51"/>
    <w:bookmarkStart w:id="152" w:name="references-1"/>
    <w:p>
      <w:pPr>
        <w:pStyle w:val="Heading3"/>
      </w:pPr>
      <w:r>
        <w:t xml:space="preserve">References</w:t>
      </w:r>
    </w:p>
    <w:p>
      <w:pPr>
        <w:pStyle w:val="Compact"/>
        <w:numPr>
          <w:ilvl w:val="0"/>
          <w:numId w:val="111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19"/>
        </w:numPr>
      </w:pPr>
      <w:r>
        <w:t xml:space="preserve">Seenivasan, A., Subhagar, S., Aravindan, R., Viruthagiri, T., 2008. Microbial Production and Biomedical Applications of Lovastatin. Indian J Pharm Sci. 2008, doi: 10.4103/0250-474X.49087</w:t>
      </w:r>
    </w:p>
    <w:p>
      <w:pPr>
        <w:pStyle w:val="Compact"/>
        <w:numPr>
          <w:ilvl w:val="0"/>
          <w:numId w:val="111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19"/>
        </w:numPr>
      </w:pPr>
      <w:r>
        <w:t xml:space="preserve">Strieker, M., Tanovic, A., Marahiel, M.A., 2010. Nonribosomal peptide synthetases: structures and dynamics. Current Opinion in Structural Biology 2010, 20:234–240</w:t>
      </w:r>
    </w:p>
    <w:p>
      <w:pPr>
        <w:pStyle w:val="Compact"/>
        <w:numPr>
          <w:ilvl w:val="0"/>
          <w:numId w:val="1119"/>
        </w:numPr>
      </w:pPr>
      <w:r>
        <w:t xml:space="preserve">Keller, N., 2019. Fungal secondary metabolism: regulation, function and drug discovery. Nature Reviews Microbiology, 17(3): 167–180. doi: 10.1038/s41579-018-0121-1</w:t>
      </w:r>
    </w:p>
    <w:bookmarkEnd w:id="152"/>
    <w:bookmarkStart w:id="155" w:name="X31643484012ee51f67fd2def9a4608ddd3c7490"/>
    <w:p>
      <w:pPr>
        <w:pStyle w:val="Heading3"/>
      </w:pPr>
      <w:r>
        <w:t xml:space="preserve">Finding the Penicillin Biosynthetic Gene Cluster</w:t>
      </w:r>
    </w:p>
    <w:bookmarkStart w:id="153" w:name="X27e5a65183f9483aec43514a5289c555b8e099a"/>
    <w:p>
      <w:pPr>
        <w:pStyle w:val="Heading4"/>
      </w:pPr>
      <w:r>
        <w:t xml:space="preserve">Locate the known cluster in P. chrysogenum</w:t>
      </w:r>
    </w:p>
    <w:p>
      <w:pPr>
        <w:pStyle w:val="Compact"/>
        <w:numPr>
          <w:ilvl w:val="0"/>
          <w:numId w:val="112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2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2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2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2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20"/>
        </w:numPr>
      </w:pPr>
      <w:r>
        <w:t xml:space="preserve">You should see a single hit! Click on the coordinates to view this region of the genome.</w:t>
      </w:r>
    </w:p>
    <w:p>
      <w:pPr>
        <w:pStyle w:val="Compact"/>
        <w:numPr>
          <w:ilvl w:val="0"/>
          <w:numId w:val="1120"/>
        </w:numPr>
      </w:pPr>
      <w:r>
        <w:t xml:space="preserve">Of course, we are searching for DNA that is mostly found in between these penicillin-related genes. Click -10x to get a bigger view of this locus.</w:t>
      </w:r>
    </w:p>
    <w:p>
      <w:pPr>
        <w:pStyle w:val="Compact"/>
        <w:numPr>
          <w:ilvl w:val="0"/>
          <w:numId w:val="112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2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2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53"/>
    <w:bookmarkStart w:id="154" w:name="X3367d9de4d4452f0e4500f817aabeb87e960cf9"/>
    <w:p>
      <w:pPr>
        <w:pStyle w:val="Heading4"/>
      </w:pPr>
      <w:r>
        <w:t xml:space="preserve">Find candidate Penicillin BGCs in related fungi</w:t>
      </w:r>
    </w:p>
    <w:p>
      <w:pPr>
        <w:pStyle w:val="Compact"/>
        <w:numPr>
          <w:ilvl w:val="0"/>
          <w:numId w:val="1121"/>
        </w:numPr>
      </w:pPr>
      <w:r>
        <w:t xml:space="preserve">With our NRPS bait in hand, let’s try to fish out similar genes in related fungi! But before we do, do you have any hypotheses about how often it will be found?</w:t>
      </w:r>
    </w:p>
    <w:p>
      <w:pPr>
        <w:pStyle w:val="Compact"/>
        <w:numPr>
          <w:ilvl w:val="0"/>
          <w:numId w:val="112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2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2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2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2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2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21"/>
        </w:numPr>
      </w:pPr>
      <w:r>
        <w:t xml:space="preserve">Can you find where hit quality begins to drop off? You can see by just looking at the top 10 that quality drops off really fast!</w:t>
      </w:r>
    </w:p>
    <w:p>
      <w:pPr>
        <w:pStyle w:val="Compact"/>
        <w:numPr>
          <w:ilvl w:val="0"/>
          <w:numId w:val="112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2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2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2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2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2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2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2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2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2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2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2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54"/>
    <w:bookmarkEnd w:id="155"/>
    <w:bookmarkStart w:id="158" w:name="characterize-myco-ed-bgcs"/>
    <w:p>
      <w:pPr>
        <w:pStyle w:val="Heading3"/>
      </w:pPr>
      <w:r>
        <w:t xml:space="preserve">Characterize Myco-Ed BGCs</w:t>
      </w:r>
    </w:p>
    <w:bookmarkStart w:id="156"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2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2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22"/>
        </w:numPr>
      </w:pPr>
      <w:r>
        <w:t xml:space="preserve">Let’s set a goal to describe the distribution of fungal BGC backbone genes, following the same workflow you just did for penicillin.</w:t>
      </w:r>
    </w:p>
    <w:p>
      <w:pPr>
        <w:pStyle w:val="Compact"/>
        <w:numPr>
          <w:ilvl w:val="0"/>
          <w:numId w:val="112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2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2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2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2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2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2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56"/>
    <w:bookmarkStart w:id="157" w:name="annotate-them"/>
    <w:p>
      <w:pPr>
        <w:pStyle w:val="Heading4"/>
      </w:pPr>
      <w:r>
        <w:t xml:space="preserve">Annotate them!</w:t>
      </w:r>
    </w:p>
    <w:p>
      <w:pPr>
        <w:pStyle w:val="Compact"/>
        <w:numPr>
          <w:ilvl w:val="0"/>
          <w:numId w:val="112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2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2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57"/>
    <w:bookmarkEnd w:id="158"/>
    <w:bookmarkEnd w:id="159"/>
    <w:bookmarkEnd w:id="160"/>
    <w:bookmarkStart w:id="162"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61">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62"/>
    <w:bookmarkStart w:id="163" w:name="carlos-c.-goller"/>
    <w:p>
      <w:pPr>
        <w:pStyle w:val="Heading1"/>
      </w:pPr>
      <w:r>
        <w:t xml:space="preserve">1. Carlos C. Goller</w:t>
      </w:r>
    </w:p>
    <w:bookmarkEnd w:id="163"/>
    <w:bookmarkStart w:id="166"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64"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64"/>
    <w:bookmarkStart w:id="165"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65"/>
    <w:bookmarkEnd w:id="166"/>
    <w:bookmarkStart w:id="170" w:name="references-2"/>
    <w:p>
      <w:pPr>
        <w:pStyle w:val="Heading1"/>
      </w:pPr>
      <w:r>
        <w:t xml:space="preserve">References</w:t>
      </w:r>
    </w:p>
    <w:bookmarkStart w:id="169" w:name="module-7.1-references"/>
    <w:p>
      <w:pPr>
        <w:pStyle w:val="Heading2"/>
      </w:pPr>
      <w:r>
        <w:t xml:space="preserve">Module 7.1 References</w:t>
      </w:r>
    </w:p>
    <w:p>
      <w:pPr>
        <w:pStyle w:val="Compact"/>
        <w:numPr>
          <w:ilvl w:val="0"/>
          <w:numId w:val="1124"/>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24"/>
        </w:numPr>
      </w:pPr>
      <w:r>
        <w:t xml:space="preserve">Cambareri, E.B., Singer, M.J., Selker, E.U., 1991. Recurrence of repeat-induced point mutation (RIP) in Neurospora crassa. Genetics, 127(4): 699-710. https://doi.org/10.1093/genetics/127.4.699</w:t>
      </w:r>
    </w:p>
    <w:p>
      <w:pPr>
        <w:pStyle w:val="Compact"/>
        <w:numPr>
          <w:ilvl w:val="0"/>
          <w:numId w:val="1124"/>
        </w:numPr>
      </w:pPr>
      <w:r>
        <w:t xml:space="preserve">Metzenberg, R.L., Glass, N.L., 1990. Mating type and mating strategies in Neurospora. BioEssays, 12(2): 53-59. https://doi.org/10.1002/bies.950120202</w:t>
      </w:r>
    </w:p>
    <w:bookmarkStart w:id="168" w:name="refs"/>
    <w:bookmarkStart w:id="167"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67"/>
    <w:bookmarkEnd w:id="168"/>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hyperlink" Id="rId25" Target="https://dx.doi.org/10.17504/protocols.io.rm7vzqd5xvx1/v1" TargetMode="External" /><Relationship Type="http://schemas.openxmlformats.org/officeDocument/2006/relationships/hyperlink" Id="rId69" Target="https://fundis.org/get-started/photograph" TargetMode="External" /><Relationship Type="http://schemas.openxmlformats.org/officeDocument/2006/relationships/hyperlink" Id="rId161" Target="https://github.com/BSC495-HWC" TargetMode="External" /><Relationship Type="http://schemas.openxmlformats.org/officeDocument/2006/relationships/hyperlink" Id="rId67"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6"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8"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5" Target="https://dx.doi.org/10.17504/protocols.io.rm7vzqd5xvx1/v1" TargetMode="External" /><Relationship Type="http://schemas.openxmlformats.org/officeDocument/2006/relationships/hyperlink" Id="rId69" Target="https://fundis.org/get-started/photograph" TargetMode="External" /><Relationship Type="http://schemas.openxmlformats.org/officeDocument/2006/relationships/hyperlink" Id="rId161" Target="https://github.com/BSC495-HWC" TargetMode="External" /><Relationship Type="http://schemas.openxmlformats.org/officeDocument/2006/relationships/hyperlink" Id="rId67"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6"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8"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2026-05-20T16:44:24Z</dcterms:created>
  <dcterms:modified xsi:type="dcterms:W3CDTF">2026-05-20T16:44:24Z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