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0.png" ContentType="image/png"/>
  <Override PartName="/word/media/rId11.png" ContentType="image/png"/>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BSC 495: The Hidden World’s Code</w:t>
      </w:r>
    </w:p>
    <w:p>
      <w:pPr>
        <w:pStyle w:val="Subtitle"/>
      </w:pPr>
      <w:r>
        <w:t xml:space="preserve">A Hands-On Fungal Genomics Lab</w:t>
      </w:r>
    </w:p>
    <w:p>
      <w:pPr>
        <w:pStyle w:val="Author"/>
      </w:pPr>
      <w:r>
        <w:t xml:space="preserve">Carlos C. Goller, Ph.D.</w:t>
      </w:r>
    </w:p>
    <w:p>
      <w:pPr>
        <w:pStyle w:val="Date"/>
      </w:pPr>
      <w:r>
        <w:t xml:space="preserve">2026-05-07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3" w:name="overview"/>
    <w:p>
      <w:pPr>
        <w:pStyle w:val="Heading1"/>
      </w:pPr>
      <w:r>
        <w:t xml:space="preserve">Overview</w:t>
      </w:r>
    </w:p>
    <w:p>
      <w:pPr>
        <w:pStyle w:val="FirstParagraph"/>
      </w:pPr>
      <w:r>
        <w:t xml:space="preserve">The Mycological Curriculum for Education and Discovery</w:t>
      </w:r>
      <w:r>
        <w:t xml:space="preserve"> </w:t>
      </w:r>
      <w:r>
        <w:rPr>
          <w:b/>
          <w:bCs/>
        </w:rPr>
        <w:t xml:space="preserve">(Myco-Ed)</w:t>
      </w:r>
      <w:r>
        <w:t xml:space="preserve"> </w:t>
      </w:r>
      <w:r>
        <w:t xml:space="preserve">is a</w:t>
      </w:r>
      <w:r>
        <w:t xml:space="preserve"> </w:t>
      </w:r>
      <w:r>
        <w:rPr>
          <w:b/>
          <w:bCs/>
        </w:rPr>
        <w:t xml:space="preserve">Course-Based Undergraduate Research Experience (CURE)</w:t>
      </w:r>
      <w:r>
        <w:t xml:space="preserve"> </w:t>
      </w:r>
      <w:r>
        <w:t xml:space="preserve">that features team-based, hands-on experiments in fungal biology and genomics. You will learn new laboratory techniques and data analysis by starting with sample collection, fungal isolation, and the characterization of the resulting data to improve fungal genomic resources. Genomic DNA will be extracted from samples for genome sequencing, assembly, and annotation. By isolating and sequencing new fungal species, your team will help produce high-quality fungal reference genomes. This course will prepare you with workforce training in fungal biology and genomics and empower you to be a contributor to fungal genomics! Importantly, you will practice lab and bioinformatics skills that are broadly applicable!</w:t>
      </w:r>
    </w:p>
    <w:p>
      <w:pPr>
        <w:pStyle w:val="BodyText"/>
      </w:pPr>
      <w:r>
        <w:t xml:space="preserve">To learn more about Quarto books visit</w:t>
      </w:r>
      <w:r>
        <w:t xml:space="preserve"> </w:t>
      </w:r>
      <w:hyperlink r:id="rId9">
        <w:r>
          <w:rPr>
            <w:rStyle w:val="Hyperlink"/>
          </w:rPr>
          <w:t xml:space="preserve">Quarto Books</w:t>
        </w:r>
      </w:hyperlink>
      <w:r>
        <w:t xml:space="preserve"> </w:t>
      </w:r>
      <w:r>
        <w:t xml:space="preserve">To learn more about the MycoEd curriculum visit the</w:t>
      </w:r>
      <w:r>
        <w:t xml:space="preserve"> </w:t>
      </w:r>
      <w:hyperlink r:id="rId10">
        <w:r>
          <w:rPr>
            <w:rStyle w:val="Hyperlink"/>
          </w:rPr>
          <w:t xml:space="preserve">MycoEd GitHub</w:t>
        </w:r>
      </w:hyperlink>
      <w:r>
        <w:t xml:space="preserve">)</w:t>
      </w:r>
    </w:p>
    <w:bookmarkStart w:id="22" w:name="module-slides"/>
    <w:p>
      <w:pPr>
        <w:pStyle w:val="Heading2"/>
      </w:pPr>
      <w:r>
        <w:t xml:space="preserve">Module Slides</w:t>
      </w:r>
    </w:p>
    <w:p>
      <w:pPr>
        <w:pStyle w:val="FirstParagraph"/>
      </w:pPr>
      <w:r>
        <w:t xml:space="preserve">The links below open the RevealJS slide decks for each module. Please note the slides can be advanced using the arrow keys on your keyboard, and you can also use the menu in the bottom right corner to navigate between slides. The slide decks are designed to be used in conjunction with the corresponding module content in this book, so feel free to refer back to them as needed while working through the modules.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2" name="Picture"/>
                  <a:graphic>
                    <a:graphicData uri="http://schemas.openxmlformats.org/drawingml/2006/picture">
                      <pic:pic>
                        <pic:nvPicPr>
                          <pic:cNvPr descr="/opt/quarto/share/formats/docx/tip.png" id="1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Links to RevealJS slide decks for each module are listed below.</w:t>
            </w:r>
          </w:p>
          <w:p>
            <w:pPr>
              <w:pStyle w:val="Compact"/>
              <w:numPr>
                <w:ilvl w:val="0"/>
                <w:numId w:val="1001"/>
              </w:numPr>
            </w:pPr>
            <w:hyperlink r:id="rId14">
              <w:r>
                <w:rPr>
                  <w:rStyle w:val="Hyperlink"/>
                </w:rPr>
                <w:t xml:space="preserve">Open Module 0 RevealJS Slides</w:t>
              </w:r>
            </w:hyperlink>
          </w:p>
          <w:p>
            <w:pPr>
              <w:pStyle w:val="Compact"/>
              <w:numPr>
                <w:ilvl w:val="0"/>
                <w:numId w:val="1001"/>
              </w:numPr>
            </w:pPr>
            <w:hyperlink r:id="rId15">
              <w:r>
                <w:rPr>
                  <w:rStyle w:val="Hyperlink"/>
                </w:rPr>
                <w:t xml:space="preserve">Open Module 1 RevealJS Slides</w:t>
              </w:r>
            </w:hyperlink>
          </w:p>
          <w:p>
            <w:pPr>
              <w:pStyle w:val="Compact"/>
              <w:numPr>
                <w:ilvl w:val="0"/>
                <w:numId w:val="1001"/>
              </w:numPr>
            </w:pPr>
            <w:hyperlink r:id="rId16">
              <w:r>
                <w:rPr>
                  <w:rStyle w:val="Hyperlink"/>
                </w:rPr>
                <w:t xml:space="preserve">Open Module 2 RevealJS Slides</w:t>
              </w:r>
            </w:hyperlink>
          </w:p>
          <w:p>
            <w:pPr>
              <w:pStyle w:val="Compact"/>
              <w:numPr>
                <w:ilvl w:val="0"/>
                <w:numId w:val="1001"/>
              </w:numPr>
            </w:pPr>
            <w:hyperlink r:id="rId17">
              <w:r>
                <w:rPr>
                  <w:rStyle w:val="Hyperlink"/>
                </w:rPr>
                <w:t xml:space="preserve">Open Module 3 RevealJS Slides</w:t>
              </w:r>
            </w:hyperlink>
          </w:p>
          <w:p>
            <w:pPr>
              <w:pStyle w:val="Compact"/>
              <w:numPr>
                <w:ilvl w:val="0"/>
                <w:numId w:val="1001"/>
              </w:numPr>
            </w:pPr>
            <w:hyperlink r:id="rId18">
              <w:r>
                <w:rPr>
                  <w:rStyle w:val="Hyperlink"/>
                </w:rPr>
                <w:t xml:space="preserve">Open Module 4 RevealJS Slides</w:t>
              </w:r>
            </w:hyperlink>
          </w:p>
          <w:p>
            <w:pPr>
              <w:pStyle w:val="Compact"/>
              <w:numPr>
                <w:ilvl w:val="0"/>
                <w:numId w:val="1001"/>
              </w:numPr>
            </w:pPr>
            <w:hyperlink r:id="rId19">
              <w:r>
                <w:rPr>
                  <w:rStyle w:val="Hyperlink"/>
                </w:rPr>
                <w:t xml:space="preserve">Open Module 5 RevealJS Slides</w:t>
              </w:r>
            </w:hyperlink>
          </w:p>
          <w:p>
            <w:pPr>
              <w:pStyle w:val="Compact"/>
              <w:numPr>
                <w:ilvl w:val="0"/>
                <w:numId w:val="1001"/>
              </w:numPr>
            </w:pPr>
            <w:hyperlink r:id="rId20">
              <w:r>
                <w:rPr>
                  <w:rStyle w:val="Hyperlink"/>
                </w:rPr>
                <w:t xml:space="preserve">Open Module 6 RevealJS Slides</w:t>
              </w:r>
            </w:hyperlink>
          </w:p>
          <w:p>
            <w:pPr>
              <w:pStyle w:val="Compact"/>
              <w:numPr>
                <w:ilvl w:val="0"/>
                <w:numId w:val="1001"/>
              </w:numPr>
            </w:pPr>
            <w:hyperlink r:id="rId21">
              <w:r>
                <w:rPr>
                  <w:rStyle w:val="Hyperlink"/>
                </w:rPr>
                <w:t xml:space="preserve">Open Module 7 RevealJS Slides</w:t>
              </w:r>
            </w:hyperlink>
          </w:p>
          <w:p/>
        </w:tc>
      </w:tr>
    </w:tbl>
    <w:bookmarkEnd w:id="22"/>
    <w:bookmarkEnd w:id="23"/>
    <w:bookmarkStart w:id="25" w:name="introduction"/>
    <w:p>
      <w:pPr>
        <w:pStyle w:val="Heading1"/>
      </w:pPr>
      <w:r>
        <w:t xml:space="preserve">Introduction</w:t>
      </w:r>
    </w:p>
    <w:p>
      <w:pPr>
        <w:pStyle w:val="FirstParagraph"/>
      </w:pPr>
      <w:r>
        <w:t xml:space="preserve">This is a Quarto book created from the</w:t>
      </w:r>
      <w:r>
        <w:t xml:space="preserve"> </w:t>
      </w:r>
      <w:hyperlink r:id="rId24">
        <w:r>
          <w:rPr>
            <w:rStyle w:val="Hyperlink"/>
          </w:rPr>
          <w:t xml:space="preserve">MycoEd Workbook from March 2026</w:t>
        </w:r>
      </w:hyperlink>
      <w:r>
        <w:t xml:space="preserve"> </w:t>
      </w:r>
      <w:r>
        <w:t xml:space="preserve">and adapted for the</w:t>
      </w:r>
      <w:r>
        <w:t xml:space="preserve"> </w:t>
      </w:r>
      <w:r>
        <w:rPr>
          <w:b/>
          <w:bCs/>
        </w:rPr>
        <w:t xml:space="preserve">BSC 495</w:t>
      </w:r>
      <w:r>
        <w:rPr>
          <w:b/>
          <w:bCs/>
        </w:rPr>
        <w:t xml:space="preserve"> </w:t>
      </w:r>
      <w:r>
        <w:rPr>
          <w:b/>
          <w:bCs/>
          <w:i/>
          <w:iCs/>
        </w:rPr>
        <w:t xml:space="preserve">The Hidden World’s Code</w:t>
      </w:r>
      <w:r>
        <w:t xml:space="preserve">, a course developed for students at North Carolina State University. The course is designed to provide students with hands-on experience in fungal biology and genomics, and to empower them to contribute to the field of mycology through research and discovery.</w:t>
      </w:r>
    </w:p>
    <w:p>
      <w:pPr>
        <w:pStyle w:val="BodyText"/>
      </w:pPr>
      <w:r>
        <w:t xml:space="preserve">The Mycological Curriculum for Education and Discovery (Myco-Ed) is a Course-Based Undergraduate Research Experience (CURE) that consists of coordinated hands-on experiments across fungal biology teaching labs with the goals of</w:t>
      </w:r>
    </w:p>
    <w:p>
      <w:pPr>
        <w:pStyle w:val="Compact"/>
        <w:numPr>
          <w:ilvl w:val="0"/>
          <w:numId w:val="1002"/>
        </w:numPr>
      </w:pPr>
      <w:r>
        <w:t xml:space="preserve">Training students and instructors in laboratory techniques and data analyses</w:t>
      </w:r>
    </w:p>
    <w:p>
      <w:pPr>
        <w:pStyle w:val="Compact"/>
        <w:numPr>
          <w:ilvl w:val="0"/>
          <w:numId w:val="1002"/>
        </w:numPr>
      </w:pPr>
      <w:r>
        <w:t xml:space="preserve">Compiling original data for improving fungal genomic resources</w:t>
      </w:r>
    </w:p>
    <w:p>
      <w:pPr>
        <w:pStyle w:val="Compact"/>
        <w:numPr>
          <w:ilvl w:val="0"/>
          <w:numId w:val="1002"/>
        </w:numPr>
      </w:pPr>
      <w:r>
        <w:t xml:space="preserve">Empowering students through isolation and genome sequencing of new fungal species</w:t>
      </w:r>
    </w:p>
    <w:p>
      <w:pPr>
        <w:pStyle w:val="FirstParagraph"/>
      </w:pPr>
      <w:r>
        <w:t xml:space="preserve">The content is organized into</w:t>
      </w:r>
      <w:r>
        <w:t xml:space="preserve"> </w:t>
      </w:r>
      <w:r>
        <w:rPr>
          <w:b/>
          <w:bCs/>
        </w:rPr>
        <w:t xml:space="preserve">modules</w:t>
      </w:r>
      <w:r>
        <w:t xml:space="preserve">, each covering a specific topic related to mycology and education. The book is designed to provide comprehensive information and resources for educators, students, and anyone interested in learning about fungi and their role in the environment.</w:t>
      </w:r>
    </w:p>
    <w:bookmarkEnd w:id="25"/>
    <w:bookmarkStart w:id="36" w:name="Xe1adfe0dbe0fd7da8caab0dded5a990a311f7c3"/>
    <w:p>
      <w:pPr>
        <w:pStyle w:val="Heading1"/>
      </w:pPr>
      <w:r>
        <w:t xml:space="preserve">Module 0: Getting Started and Data Management</w:t>
      </w:r>
    </w:p>
    <w:bookmarkStart w:id="26" w:name="X854485e3e75ebd41e9a51cfdeb9c6827d1373c6"/>
    <w:p>
      <w:pPr>
        <w:pStyle w:val="Heading2"/>
      </w:pPr>
      <w:r>
        <w:t xml:space="preserve">Module 0.1 – Lab Materials and Equipment Overview</w:t>
      </w:r>
    </w:p>
    <w:p>
      <w:pPr>
        <w:pStyle w:val="FirstParagraph"/>
      </w:pPr>
      <w:r>
        <w:t xml:space="preserve">This table lists all materials and equipment required across Myco-Ed modules. Use the search box to filter by module, item, company, or catalog number.</w:t>
      </w:r>
    </w:p>
    <w:p>
      <w:pPr>
        <w:pStyle w:val="SourceCode"/>
      </w:pPr>
      <w:r>
        <w:rPr>
          <w:rStyle w:val="VerbatimChar"/>
        </w:rPr>
        <w:t xml:space="preserve">//| echo: false</w:t>
      </w:r>
      <w:r>
        <w:br/>
      </w:r>
      <w:r>
        <w:rPr>
          <w:rStyle w:val="VerbatimChar"/>
        </w:rPr>
        <w:t xml:space="preserve">materials = [</w:t>
      </w:r>
      <w:r>
        <w:br/>
      </w:r>
      <w:r>
        <w:rPr>
          <w:rStyle w:val="VerbatimChar"/>
        </w:rPr>
        <w:t xml:space="preserve">  // Module 1</w:t>
      </w:r>
      <w:r>
        <w:br/>
      </w:r>
      <w:r>
        <w:rPr>
          <w:rStyle w:val="VerbatimChar"/>
        </w:rPr>
        <w:t xml:space="preserve">  { module: "Module 1 – Fungal Sampling &amp; Culturing", item: "100×15 mm Petri dishes", description: "Petri dishes for fungal culturing", company: "", catalog: "" },</w:t>
      </w:r>
      <w:r>
        <w:br/>
      </w:r>
      <w:r>
        <w:rPr>
          <w:rStyle w:val="VerbatimChar"/>
        </w:rPr>
        <w:t xml:space="preserve">  { module: "Module 1 – Fungal Sampling &amp; Culturing", item: "Bacteriological agar (e.g., Difco Bacto Agar)", description: "Agar base for culture media", company: "Difco/BD", catalog: "" },</w:t>
      </w:r>
      <w:r>
        <w:br/>
      </w:r>
      <w:r>
        <w:rPr>
          <w:rStyle w:val="VerbatimChar"/>
        </w:rPr>
        <w:t xml:space="preserve">  { module: "Module 1 – Fungal Sampling &amp; Culturing", item: "Autoclave", description: "Sterilization of media and equipment", company: "", catalog: "" },</w:t>
      </w:r>
      <w:r>
        <w:br/>
      </w:r>
      <w:r>
        <w:rPr>
          <w:rStyle w:val="VerbatimChar"/>
        </w:rPr>
        <w:t xml:space="preserve">  { module: "Module 1 – Fungal Sampling &amp; Culturing", item: "Laminar flow hood", description: "Sterile work environment (optional if unavailable)", company: "", catalog: "" },</w:t>
      </w:r>
      <w:r>
        <w:br/>
      </w:r>
      <w:r>
        <w:rPr>
          <w:rStyle w:val="VerbatimChar"/>
        </w:rPr>
        <w:t xml:space="preserve">  { module: "Module 1 – Fungal Sampling &amp; Culturing", item: "Forceps", description: "Sample manipulation", company: "", catalog: "" },</w:t>
      </w:r>
      <w:r>
        <w:br/>
      </w:r>
      <w:r>
        <w:rPr>
          <w:rStyle w:val="VerbatimChar"/>
        </w:rPr>
        <w:t xml:space="preserve">  { module: "Module 1 – Fungal Sampling &amp; Culturing", item: "Scalpels", description: "Cutting leaf tissue", company: "", catalog: "" },</w:t>
      </w:r>
      <w:r>
        <w:br/>
      </w:r>
      <w:r>
        <w:rPr>
          <w:rStyle w:val="VerbatimChar"/>
        </w:rPr>
        <w:t xml:space="preserve">  { module: "Module 1 – Fungal Sampling &amp; Culturing", item: "150 mL beaker", description: "Container for ethanol", company: "", catalog: "" },</w:t>
      </w:r>
      <w:r>
        <w:br/>
      </w:r>
      <w:r>
        <w:rPr>
          <w:rStyle w:val="VerbatimChar"/>
        </w:rPr>
        <w:t xml:space="preserve">  { module: "Module 1 – Fungal Sampling &amp; Culturing", item: "Parafilm", description: "Sealing Petri plates", company: "Bemis", catalog: "" },</w:t>
      </w:r>
      <w:r>
        <w:br/>
      </w:r>
      <w:r>
        <w:rPr>
          <w:rStyle w:val="VerbatimChar"/>
        </w:rPr>
        <w:t xml:space="preserve">  { module: "Module 1 – Fungal Sampling &amp; Culturing", item: "Gloves", description: "Personal protection", company: "", catalog: "" },</w:t>
      </w:r>
      <w:r>
        <w:br/>
      </w:r>
      <w:r>
        <w:rPr>
          <w:rStyle w:val="VerbatimChar"/>
        </w:rPr>
        <w:t xml:space="preserve">  { module: "Module 1 – Fungal Sampling &amp; Culturing", item: "Hole punch (all metal)", description: "Cutting leaf discs; scalpel is an acceptable substitute", company: "", catalog: "" },</w:t>
      </w:r>
      <w:r>
        <w:br/>
      </w:r>
      <w:r>
        <w:rPr>
          <w:rStyle w:val="VerbatimChar"/>
        </w:rPr>
        <w:t xml:space="preserve">  { module: "Module 1 – Fungal Sampling &amp; Culturing", item: "Kimwipes", description: "Lab wipes", company: "Kimtech", catalog: "" },</w:t>
      </w:r>
      <w:r>
        <w:br/>
      </w:r>
      <w:r>
        <w:rPr>
          <w:rStyle w:val="VerbatimChar"/>
        </w:rPr>
        <w:t xml:space="preserve">  { module: "Module 1 – Fungal Sampling &amp; Culturing", item: "Paper bags", description: "Field sample storage", company: "", catalog: "" },</w:t>
      </w:r>
      <w:r>
        <w:br/>
      </w:r>
      <w:r>
        <w:rPr>
          <w:rStyle w:val="VerbatimChar"/>
        </w:rPr>
        <w:t xml:space="preserve">  { module: "Module 1 – Fungal Sampling &amp; Culturing", item: "10% bleach (in autoclaved water)", description: "Surface sterilization solution", company: "", catalog: "" },</w:t>
      </w:r>
      <w:r>
        <w:br/>
      </w:r>
      <w:r>
        <w:rPr>
          <w:rStyle w:val="VerbatimChar"/>
        </w:rPr>
        <w:t xml:space="preserve">  { module: "Module 1 – Fungal Sampling &amp; Culturing", item: "70% ethanol", description: "Surface sterilization", company: "", catalog: "" },</w:t>
      </w:r>
      <w:r>
        <w:br/>
      </w:r>
      <w:r>
        <w:rPr>
          <w:rStyle w:val="VerbatimChar"/>
        </w:rPr>
        <w:t xml:space="preserve">  { module: "Module 1 – Fungal Sampling &amp; Culturing", item: "Paper towels", description: "General lab use", company: "", catalog: "" },</w:t>
      </w:r>
      <w:r>
        <w:br/>
      </w:r>
      <w:r>
        <w:rPr>
          <w:rStyle w:val="VerbatimChar"/>
        </w:rPr>
        <w:t xml:space="preserve">  // Module 2</w:t>
      </w:r>
      <w:r>
        <w:br/>
      </w:r>
      <w:r>
        <w:rPr>
          <w:rStyle w:val="VerbatimChar"/>
        </w:rPr>
        <w:t xml:space="preserve">  { module: "Module 2 – Fungal Isolation", item: "60×15 mm Petri dishes", description: "Smaller dishes for fungal isolation transfers", company: "", catalog: "" },</w:t>
      </w:r>
      <w:r>
        <w:br/>
      </w:r>
      <w:r>
        <w:rPr>
          <w:rStyle w:val="VerbatimChar"/>
        </w:rPr>
        <w:t xml:space="preserve">  { module: "Module 2 – Fungal Isolation", item: "Potato Dextrose Agar (PDA)", description: "Selective culture media for fungi", company: "", catalog: "" },</w:t>
      </w:r>
      <w:r>
        <w:br/>
      </w:r>
      <w:r>
        <w:rPr>
          <w:rStyle w:val="VerbatimChar"/>
        </w:rPr>
        <w:t xml:space="preserve">  { module: "Module 2 – Fungal Isolation", item: "Autoclave", description: "Sterilization of media and equipment", company: "", catalog: "" },</w:t>
      </w:r>
      <w:r>
        <w:br/>
      </w:r>
      <w:r>
        <w:rPr>
          <w:rStyle w:val="VerbatimChar"/>
        </w:rPr>
        <w:t xml:space="preserve">  { module: "Module 2 – Fungal Isolation", item: "Laminar flow hood", description: "Sterile work environment (optional if unavailable)", company: "", catalog: "" },</w:t>
      </w:r>
      <w:r>
        <w:br/>
      </w:r>
      <w:r>
        <w:rPr>
          <w:rStyle w:val="VerbatimChar"/>
        </w:rPr>
        <w:t xml:space="preserve">  { module: "Module 2 – Fungal Isolation", item: "Gloves", description: "Personal protection", company: "", catalog: "" },</w:t>
      </w:r>
      <w:r>
        <w:br/>
      </w:r>
      <w:r>
        <w:rPr>
          <w:rStyle w:val="VerbatimChar"/>
        </w:rPr>
        <w:t xml:space="preserve">  { module: "Module 2 – Fungal Isolation", item: "Sharpie or lab marker (fine tip)", description: "Plate labeling", company: "", catalog: "" },</w:t>
      </w:r>
      <w:r>
        <w:br/>
      </w:r>
      <w:r>
        <w:rPr>
          <w:rStyle w:val="VerbatimChar"/>
        </w:rPr>
        <w:t xml:space="preserve">  { module: "Module 2 – Fungal Isolation", item: "70% ethanol", description: "Surface sterilization", company: "", catalog: "" },</w:t>
      </w:r>
      <w:r>
        <w:br/>
      </w:r>
      <w:r>
        <w:rPr>
          <w:rStyle w:val="VerbatimChar"/>
        </w:rPr>
        <w:t xml:space="preserve">  { module: "Module 2 – Fungal Isolation", item: "Kimwipes", description: "Lab wipes", company: "Kimtech", catalog: "" },</w:t>
      </w:r>
      <w:r>
        <w:br/>
      </w:r>
      <w:r>
        <w:rPr>
          <w:rStyle w:val="VerbatimChar"/>
        </w:rPr>
        <w:t xml:space="preserve">  // Module 3</w:t>
      </w:r>
      <w:r>
        <w:br/>
      </w:r>
      <w:r>
        <w:rPr>
          <w:rStyle w:val="VerbatimChar"/>
        </w:rPr>
        <w:t xml:space="preserve">  { module: "Module 3 – Phenotypic Assays", item: "Varies by assay", description: "Materials depend on the chosen phenotypic assay", company: "", catalog: "" },</w:t>
      </w:r>
      <w:r>
        <w:br/>
      </w:r>
      <w:r>
        <w:rPr>
          <w:rStyle w:val="VerbatimChar"/>
        </w:rPr>
        <w:t xml:space="preserve">  // Module 4</w:t>
      </w:r>
      <w:r>
        <w:br/>
      </w:r>
      <w:r>
        <w:rPr>
          <w:rStyle w:val="VerbatimChar"/>
        </w:rPr>
        <w:t xml:space="preserve">  { module: "Module 4 – DNA Sequencing", item: "Gloves", description: "Personal protection", company: "", catalog: "" },</w:t>
      </w:r>
      <w:r>
        <w:br/>
      </w:r>
      <w:r>
        <w:rPr>
          <w:rStyle w:val="VerbatimChar"/>
        </w:rPr>
        <w:t xml:space="preserve">  { module: "Module 4 – DNA Sequencing", item: "Sharpie", description: "Tube and plate labeling", company: "", catalog: "" },</w:t>
      </w:r>
      <w:r>
        <w:br/>
      </w:r>
      <w:r>
        <w:rPr>
          <w:rStyle w:val="VerbatimChar"/>
        </w:rPr>
        <w:t xml:space="preserve">  { module: "Module 4 – DNA Sequencing", item: "Thermal cycler", description: "PCR amplification", company: "", catalog: "" },</w:t>
      </w:r>
      <w:r>
        <w:br/>
      </w:r>
      <w:r>
        <w:rPr>
          <w:rStyle w:val="VerbatimChar"/>
        </w:rPr>
        <w:t xml:space="preserve">  { module: "Module 4 – DNA Sequencing", item: "Vortex", description: "Sample mixing", company: "", catalog: "" },</w:t>
      </w:r>
      <w:r>
        <w:br/>
      </w:r>
      <w:r>
        <w:rPr>
          <w:rStyle w:val="VerbatimChar"/>
        </w:rPr>
        <w:t xml:space="preserve">  { module: "Module 4 – DNA Sequencing", item: "Centrifuge", description: "Centrifugation of PCR and microfuge tubes", company: "", catalog: "" },</w:t>
      </w:r>
      <w:r>
        <w:br/>
      </w:r>
      <w:r>
        <w:rPr>
          <w:rStyle w:val="VerbatimChar"/>
        </w:rPr>
        <w:t xml:space="preserve">  { module: "Module 4 – DNA Sequencing", item: "Heat block / thermomixer", description: "For 1.5–2.0 mL microfuge tubes", company: "", catalog: "" },</w:t>
      </w:r>
      <w:r>
        <w:br/>
      </w:r>
      <w:r>
        <w:rPr>
          <w:rStyle w:val="VerbatimChar"/>
        </w:rPr>
        <w:t xml:space="preserve">  { module: "Module 4 – DNA Sequencing", item: "1.5 mL microcentrifuge tubes (DNA LoBind)", description: "Low-bind tubes to minimize DNA adsorption", company: "Eppendorf", catalog: "" },</w:t>
      </w:r>
      <w:r>
        <w:br/>
      </w:r>
      <w:r>
        <w:rPr>
          <w:rStyle w:val="VerbatimChar"/>
        </w:rPr>
        <w:t xml:space="preserve">  { module: "Module 4 – DNA Sequencing", item: "0.2 mL PCR tubes", description: "PCR reactions", company: "", catalog: "" },</w:t>
      </w:r>
      <w:r>
        <w:br/>
      </w:r>
      <w:r>
        <w:rPr>
          <w:rStyle w:val="VerbatimChar"/>
        </w:rPr>
        <w:t xml:space="preserve">  { module: "Module 4 – DNA Sequencing", item: "Microfuge and PCR tube racks", description: "Tube organization", company: "", catalog: "" },</w:t>
      </w:r>
      <w:r>
        <w:br/>
      </w:r>
      <w:r>
        <w:rPr>
          <w:rStyle w:val="VerbatimChar"/>
        </w:rPr>
        <w:t xml:space="preserve">  { module: "Module 4 – DNA Sequencing", item: "Labeling tape", description: "Sample labeling", company: "", catalog: "" },</w:t>
      </w:r>
      <w:r>
        <w:br/>
      </w:r>
      <w:r>
        <w:rPr>
          <w:rStyle w:val="VerbatimChar"/>
        </w:rPr>
        <w:t xml:space="preserve">  { module: "Module 4 – DNA Sequencing", item: "Monarch Spin gDNA Extraction Kit (100 reactions)", description: "Spin-column genomic DNA extraction kit", company: "New England BioLabs", catalog: "T3010S" },</w:t>
      </w:r>
      <w:r>
        <w:br/>
      </w:r>
      <w:r>
        <w:rPr>
          <w:rStyle w:val="VerbatimChar"/>
        </w:rPr>
        <w:t xml:space="preserve">  { module: "Module 4 – DNA Sequencing", item: "MetaPolyzyme, DNA free", description: "Enzyme blend for fungal cell wall digestion", company: "Millipore Sigma", catalog: "MAC4LDF-5X1VL" },</w:t>
      </w:r>
      <w:r>
        <w:br/>
      </w:r>
      <w:r>
        <w:rPr>
          <w:rStyle w:val="VerbatimChar"/>
        </w:rPr>
        <w:t xml:space="preserve">  { module: "Module 4 – DNA Sequencing", item: "TE Buffer", description: "DNA storage and dilution buffer", company: "", catalog: "" },</w:t>
      </w:r>
      <w:r>
        <w:br/>
      </w:r>
      <w:r>
        <w:rPr>
          <w:rStyle w:val="VerbatimChar"/>
        </w:rPr>
        <w:t xml:space="preserve">  { module: "Module 4 – DNA Sequencing", item: "CTAB solution (100 mL)", description: "Alternative DNA extraction reagent", company: "Promega", catalog: "MC1411" },</w:t>
      </w:r>
      <w:r>
        <w:br/>
      </w:r>
      <w:r>
        <w:rPr>
          <w:rStyle w:val="VerbatimChar"/>
        </w:rPr>
        <w:t xml:space="preserve">  { module: "Module 4 – DNA Sequencing", item: "Parafilm", description: "Tube sealing", company: "Bemis", catalog: "" },</w:t>
      </w:r>
      <w:r>
        <w:br/>
      </w:r>
      <w:r>
        <w:rPr>
          <w:rStyle w:val="VerbatimChar"/>
        </w:rPr>
        <w:t xml:space="preserve">  { module: "Module 4 – DNA Sequencing", item: "70% ethanol", description: "Surface sterilization", company: "", catalog: "" },</w:t>
      </w:r>
      <w:r>
        <w:br/>
      </w:r>
      <w:r>
        <w:rPr>
          <w:rStyle w:val="VerbatimChar"/>
        </w:rPr>
        <w:t xml:space="preserve">  { module: "Module 4 – DNA Sequencing", item: "Micropipettors (1–10, 20–200, 100–1000 µL)", description: "Liquid handling", company: "", catalog: "" },</w:t>
      </w:r>
      <w:r>
        <w:br/>
      </w:r>
      <w:r>
        <w:rPr>
          <w:rStyle w:val="VerbatimChar"/>
        </w:rPr>
        <w:t xml:space="preserve">  { module: "Module 4 – DNA Sequencing", item: "Micropipette tips (1–10, 20–200, 100–1000 µL, filtered preferred)", description: "Filtered tips reduce contamination risk", company: "", catalog: "" },</w:t>
      </w:r>
      <w:r>
        <w:br/>
      </w:r>
      <w:r>
        <w:rPr>
          <w:rStyle w:val="VerbatimChar"/>
        </w:rPr>
        <w:t xml:space="preserve">  { module: "Module 4 – DNA Sequencing", item: "Kimwipes", description: "Lab wipes", company: "Kimtech", catalog: "" },</w:t>
      </w:r>
      <w:r>
        <w:br/>
      </w:r>
      <w:r>
        <w:rPr>
          <w:rStyle w:val="VerbatimChar"/>
        </w:rPr>
        <w:t xml:space="preserve">  { module: "Module 4 – DNA Sequencing", item: "PCR primers: ITS1f, ITS4, 5.8SR, fITS7", description: "Fungal ITS barcoding primers; normalize to 100 µM in TE buffer. ITS1f: CTTGGTCATTTAGAGGAAGTAA; ITS4: TCCTCCGCTTATTGATATGC; 5.8SR: CGCTGCGTTCTTCATCG; fITS7: GTGARTCATCGAATCTTTG", company: "IDT or similar", catalog: "" },</w:t>
      </w:r>
      <w:r>
        <w:br/>
      </w:r>
      <w:r>
        <w:rPr>
          <w:rStyle w:val="VerbatimChar"/>
        </w:rPr>
        <w:t xml:space="preserve">  { module: "Module 4 – DNA Sequencing", item: "Q5 Hot Start High-Fidelity 2X Master Mix (100 reactions)", description: "High-fidelity PCR amplification master mix", company: "New England BioLabs", catalog: "M0494S" },</w:t>
      </w:r>
      <w:r>
        <w:br/>
      </w:r>
      <w:r>
        <w:rPr>
          <w:rStyle w:val="VerbatimChar"/>
        </w:rPr>
        <w:t xml:space="preserve">  { module: "Module 4 – DNA Sequencing", item: "PCR water", description: "Nuclease-free water for PCR setup", company: "New England BioLabs", catalog: "B1500S" },</w:t>
      </w:r>
      <w:r>
        <w:br/>
      </w:r>
      <w:r>
        <w:rPr>
          <w:rStyle w:val="VerbatimChar"/>
        </w:rPr>
        <w:t xml:space="preserve">  { module: "Module 4 – DNA Sequencing", item: "Exo-CIP Rapid PCR Cleanup Kit (100 reactions)", description: "Enzymatic cleanup of PCR products prior to sequencing", company: "New England BioLabs", catalog: "E1050S" },</w:t>
      </w:r>
      <w:r>
        <w:br/>
      </w:r>
      <w:r>
        <w:rPr>
          <w:rStyle w:val="VerbatimChar"/>
        </w:rPr>
        <w:t xml:space="preserve">  { module: "Module 4 – DNA Sequencing", item: "E-Gel system with 1.2% agarose gels", description: "Pre-cast gel electrophoresis system", company: "ThermoFisher", catalog: "G4010010" },</w:t>
      </w:r>
      <w:r>
        <w:br/>
      </w:r>
      <w:r>
        <w:rPr>
          <w:rStyle w:val="VerbatimChar"/>
        </w:rPr>
        <w:t xml:space="preserve">  { module: "Module 4 – DNA Sequencing", item: "E-Gel Sizing DNA Ladder", description: "DNA size standard for gel electrophoresis", company: "ThermoFisher", catalog: "10488100" },</w:t>
      </w:r>
      <w:r>
        <w:br/>
      </w:r>
      <w:r>
        <w:rPr>
          <w:rStyle w:val="VerbatimChar"/>
        </w:rPr>
        <w:t xml:space="preserve">  { module: "Module 4 – DNA Sequencing", item: "Qubit Fluorometer with dsDNA HS Assay Kit", description: "Fluorometric DNA quantification", company: "ThermoFisher", catalog: "Q32851" },</w:t>
      </w:r>
      <w:r>
        <w:br/>
      </w:r>
      <w:r>
        <w:rPr>
          <w:rStyle w:val="VerbatimChar"/>
        </w:rPr>
        <w:t xml:space="preserve">  { module: "Module 4 – DNA Sequencing", item: "Sanger sequencing service access", description: "Capillary sequencing of ITS amplicons (e.g., Genewiz, Eurofins, Eton)", company: "Various", catalog: "" },</w:t>
      </w:r>
      <w:r>
        <w:br/>
      </w:r>
      <w:r>
        <w:rPr>
          <w:rStyle w:val="VerbatimChar"/>
        </w:rPr>
        <w:t xml:space="preserve">  { module: "Module 4 – DNA Sequencing (long-read, optional)", item: "ONT Rapid Barcoding Kit v14", description: "Long-read nanopore sequencing library preparation", company: "Oxford Nanopore Technologies", catalog: "SQK-RBK114.24" },</w:t>
      </w:r>
      <w:r>
        <w:br/>
      </w:r>
      <w:r>
        <w:rPr>
          <w:rStyle w:val="VerbatimChar"/>
        </w:rPr>
        <w:t xml:space="preserve">  { module: "Module 4 – DNA Sequencing (long-read, optional)", item: "MinION sequencing device", description: "Portable nanopore sequencer", company: "Oxford Nanopore Technologies", catalog: "" },</w:t>
      </w:r>
      <w:r>
        <w:br/>
      </w:r>
      <w:r>
        <w:rPr>
          <w:rStyle w:val="VerbatimChar"/>
        </w:rPr>
        <w:t xml:space="preserve">  { module: "Module 4 – DNA Sequencing (long-read, optional)", item: "MinION flow cells (R10.4.1)", description: "Nanopore sequencing flow cells", company: "Oxford Nanopore Technologies", catalog: "FLO-MIN114" },</w:t>
      </w:r>
      <w:r>
        <w:br/>
      </w:r>
      <w:r>
        <w:rPr>
          <w:rStyle w:val="VerbatimChar"/>
        </w:rPr>
        <w:t xml:space="preserve">  { module: "Module 4 – DNA Sequencing (long-read, optional)", item: "Ultrapure BSA 50 mg/mL", description: "Blocking agent for long-read library prep", company: "ThermoFisher", catalog: "AM2616" },</w:t>
      </w:r>
      <w:r>
        <w:br/>
      </w:r>
      <w:r>
        <w:rPr>
          <w:rStyle w:val="VerbatimChar"/>
        </w:rPr>
        <w:t xml:space="preserve">  { module: "Module 4 – DNA Sequencing (long-read, optional)", item: "Magnetic rack for 1.5 mL tubes (DynaMag-2)", description: "Bead-based cleanup during long-read library preparation", company: "ThermoFisher", catalog: "12321D" },</w:t>
      </w:r>
      <w:r>
        <w:br/>
      </w:r>
      <w:r>
        <w:rPr>
          <w:rStyle w:val="VerbatimChar"/>
        </w:rPr>
        <w:t xml:space="preserve">  { module: "Module 4 – DNA Sequencing (long-read, optional)", item: "Nuclease-free water and 100% ethanol", description: "For preparing 80% ethanol wash during bead cleanup", company: "", catalog: "" },</w:t>
      </w:r>
      <w:r>
        <w:br/>
      </w:r>
      <w:r>
        <w:rPr>
          <w:rStyle w:val="VerbatimChar"/>
        </w:rPr>
        <w:t xml:space="preserve">  // Module 5</w:t>
      </w:r>
      <w:r>
        <w:br/>
      </w:r>
      <w:r>
        <w:rPr>
          <w:rStyle w:val="VerbatimChar"/>
        </w:rPr>
        <w:t xml:space="preserve">  { module: "Module 5 – Tissue Preparation", item: "Cellophane discs (autoclaved in gauze)", description: "Individually rinsed and autoclaved before use", company: "", catalog: "" },</w:t>
      </w:r>
      <w:r>
        <w:br/>
      </w:r>
      <w:r>
        <w:rPr>
          <w:rStyle w:val="VerbatimChar"/>
        </w:rPr>
        <w:t xml:space="preserve">  { module: "Module 5 – Tissue Preparation", item: "60×15 mm Petri dishes", description: "Culture dishes for tissue preparation", company: "", catalog: "" },</w:t>
      </w:r>
      <w:r>
        <w:br/>
      </w:r>
      <w:r>
        <w:rPr>
          <w:rStyle w:val="VerbatimChar"/>
        </w:rPr>
        <w:t xml:space="preserve">  { module: "Module 5 – Tissue Preparation", item: "Potato Dextrose Agar (PDA)", description: "Fungal culture media", company: "", catalog: "" },</w:t>
      </w:r>
      <w:r>
        <w:br/>
      </w:r>
      <w:r>
        <w:rPr>
          <w:rStyle w:val="VerbatimChar"/>
        </w:rPr>
        <w:t xml:space="preserve">  { module: "Module 5 – Tissue Preparation", item: "Silica beads", description: "For sample desiccation or homogenization", company: "", catalog: "" },</w:t>
      </w:r>
      <w:r>
        <w:br/>
      </w:r>
      <w:r>
        <w:rPr>
          <w:rStyle w:val="VerbatimChar"/>
        </w:rPr>
        <w:t xml:space="preserve">  { module: "Module 5 – Tissue Preparation", item: "Gloves", description: "Personal protection", company: "", catalog: "" },</w:t>
      </w:r>
      <w:r>
        <w:br/>
      </w:r>
      <w:r>
        <w:rPr>
          <w:rStyle w:val="VerbatimChar"/>
        </w:rPr>
        <w:t xml:space="preserve">  { module: "Module 5 – Tissue Preparation", item: "Incubator", description: "Controlled temperature environment for fungal growth", company: "", catalog: "" },</w:t>
      </w:r>
      <w:r>
        <w:br/>
      </w:r>
      <w:r>
        <w:rPr>
          <w:rStyle w:val="VerbatimChar"/>
        </w:rPr>
        <w:t xml:space="preserve">  { module: "Module 5 – Tissue Preparation", item: "Balance", description: "Weighing biomass samples", company: "", catalog: "" },</w:t>
      </w:r>
      <w:r>
        <w:br/>
      </w:r>
      <w:r>
        <w:rPr>
          <w:rStyle w:val="VerbatimChar"/>
        </w:rPr>
        <w:t xml:space="preserve">  { module: "Module 5 – Tissue Preparation", item: "Forceps", description: "Sample manipulation", company: "", catalog: "" },</w:t>
      </w:r>
      <w:r>
        <w:br/>
      </w:r>
      <w:r>
        <w:rPr>
          <w:rStyle w:val="VerbatimChar"/>
        </w:rPr>
        <w:t xml:space="preserve">  { module: "Module 5 – Tissue Preparation", item: "Scalpel", description: "Cutting tissue", company: "", catalog: "" },</w:t>
      </w:r>
      <w:r>
        <w:br/>
      </w:r>
      <w:r>
        <w:rPr>
          <w:rStyle w:val="VerbatimChar"/>
        </w:rPr>
        <w:t xml:space="preserve">  { module: "Module 5 – Tissue Preparation", item: "Small jar with lid or covered plates", description: "Sample containment and storage", company: "", catalog: "" },</w:t>
      </w:r>
      <w:r>
        <w:br/>
      </w:r>
      <w:r>
        <w:rPr>
          <w:rStyle w:val="VerbatimChar"/>
        </w:rPr>
        <w:t xml:space="preserve">  { module: "Module 5 – Tissue Preparation", item: "Pure fungal culture", description: "Starting biological material", company: "", catalog: "" },</w:t>
      </w:r>
      <w:r>
        <w:br/>
      </w:r>
      <w:r>
        <w:rPr>
          <w:rStyle w:val="VerbatimChar"/>
        </w:rPr>
        <w:t xml:space="preserve">  // Module 6</w:t>
      </w:r>
      <w:r>
        <w:br/>
      </w:r>
      <w:r>
        <w:rPr>
          <w:rStyle w:val="VerbatimChar"/>
        </w:rPr>
        <w:t xml:space="preserve">  { module: "Module 6 – Sample Submission", item: "Sample shipment supplies", description: "For shipping samples to AGI (see Module 6 SOP for details)", company: "", catalog: "" },</w:t>
      </w:r>
      <w:r>
        <w:br/>
      </w:r>
      <w:r>
        <w:rPr>
          <w:rStyle w:val="VerbatimChar"/>
        </w:rPr>
        <w:t xml:space="preserve">  { module: "Module 6 – Sample Submission", item: "MycoEd Metadata Form printout", description: "Paper copy of completed metadata form included with shipment (landscape orientation)", company: "", catalog: "" },</w:t>
      </w:r>
      <w:r>
        <w:br/>
      </w:r>
      <w:r>
        <w:rPr>
          <w:rStyle w:val="VerbatimChar"/>
        </w:rPr>
        <w:t xml:space="preserve">  // Module 7</w:t>
      </w:r>
      <w:r>
        <w:br/>
      </w:r>
      <w:r>
        <w:rPr>
          <w:rStyle w:val="VerbatimChar"/>
        </w:rPr>
        <w:t xml:space="preserve">  { module: "Module 7 – Genomic Analyses", item: "MycoCosm (JGI portal)", description: "Web-based genomic analysis portal", company: "DOE Joint Genome Institute", catalog: "" },</w:t>
      </w:r>
      <w:r>
        <w:br/>
      </w:r>
      <w:r>
        <w:rPr>
          <w:rStyle w:val="VerbatimChar"/>
        </w:rPr>
        <w:t xml:space="preserve">  { module: "Module 7 – Genomic Analyses", item: "Computer with internet access", description: "Required for all web-based genomic analyses", company: "", catalog: "" }</w:t>
      </w:r>
      <w:r>
        <w:br/>
      </w:r>
      <w:r>
        <w:rPr>
          <w:rStyle w:val="VerbatimChar"/>
        </w:rPr>
        <w:t xml:space="preserve">]</w:t>
      </w:r>
      <w:r>
        <w:br/>
      </w:r>
      <w:r>
        <w:br/>
      </w:r>
      <w:r>
        <w:rPr>
          <w:rStyle w:val="VerbatimChar"/>
        </w:rPr>
        <w:t xml:space="preserve">viewof search = Inputs.search(materials, {placeholder: "Search items, companies, catalog numbers…"})</w:t>
      </w:r>
      <w:r>
        <w:br/>
      </w:r>
      <w:r>
        <w:br/>
      </w:r>
      <w:r>
        <w:rPr>
          <w:rStyle w:val="VerbatimChar"/>
        </w:rPr>
        <w:t xml:space="preserve">Inputs.table(search, {</w:t>
      </w:r>
      <w:r>
        <w:br/>
      </w:r>
      <w:r>
        <w:rPr>
          <w:rStyle w:val="VerbatimChar"/>
        </w:rPr>
        <w:t xml:space="preserve">  columns: ["module", "item", "description", "company", "catalog"],</w:t>
      </w:r>
      <w:r>
        <w:br/>
      </w:r>
      <w:r>
        <w:rPr>
          <w:rStyle w:val="VerbatimChar"/>
        </w:rPr>
        <w:t xml:space="preserve">  header: {</w:t>
      </w:r>
      <w:r>
        <w:br/>
      </w:r>
      <w:r>
        <w:rPr>
          <w:rStyle w:val="VerbatimChar"/>
        </w:rPr>
        <w:t xml:space="preserve">    module: "Module",</w:t>
      </w:r>
      <w:r>
        <w:br/>
      </w:r>
      <w:r>
        <w:rPr>
          <w:rStyle w:val="VerbatimChar"/>
        </w:rPr>
        <w:t xml:space="preserve">    item: "Item",</w:t>
      </w:r>
      <w:r>
        <w:br/>
      </w:r>
      <w:r>
        <w:rPr>
          <w:rStyle w:val="VerbatimChar"/>
        </w:rPr>
        <w:t xml:space="preserve">    description: "Description",</w:t>
      </w:r>
      <w:r>
        <w:br/>
      </w:r>
      <w:r>
        <w:rPr>
          <w:rStyle w:val="VerbatimChar"/>
        </w:rPr>
        <w:t xml:space="preserve">    company: "Company",</w:t>
      </w:r>
      <w:r>
        <w:br/>
      </w:r>
      <w:r>
        <w:rPr>
          <w:rStyle w:val="VerbatimChar"/>
        </w:rPr>
        <w:t xml:space="preserve">    catalog: "Catalog #"</w:t>
      </w:r>
      <w:r>
        <w:br/>
      </w:r>
      <w:r>
        <w:rPr>
          <w:rStyle w:val="VerbatimChar"/>
        </w:rPr>
        <w:t xml:space="preserve">  }</w:t>
      </w:r>
      <w:r>
        <w:br/>
      </w:r>
      <w:r>
        <w:rPr>
          <w:rStyle w:val="VerbatimChar"/>
        </w:rPr>
        <w:t xml:space="preserve">})</w:t>
      </w:r>
    </w:p>
    <w:bookmarkEnd w:id="26"/>
    <w:bookmarkStart w:id="31" w:name="Xcbdbfd15cc4383fe5deee011eccaab33ef2e95c"/>
    <w:p>
      <w:pPr>
        <w:pStyle w:val="Heading2"/>
      </w:pPr>
      <w:r>
        <w:t xml:space="preserve">Module 0.2 – Create iNaturalist Traditional Project Instructions</w:t>
      </w:r>
    </w:p>
    <w:bookmarkStart w:id="27" w:name="inaturalist-introduction"/>
    <w:p>
      <w:pPr>
        <w:pStyle w:val="Heading3"/>
      </w:pPr>
      <w:r>
        <w:t xml:space="preserve">iNaturalist Introduction</w:t>
      </w:r>
    </w:p>
    <w:p>
      <w:pPr>
        <w:pStyle w:val="FirstParagraph"/>
      </w:pPr>
      <w:r>
        <w:t xml:space="preserve">iNaturalist is a tool that we can use to document the fungal isolates in Myco-Ed courses. This tool allows instructors and students to record the metadata associated with the fungal isolates. Metadata will include plant species, geographic location, elevation, fungal DNA sequences, growth assays, and any other data relevant for this project. This platform will also enable us to track growth of the MycoEd project. The goal of this long-term research project is to develop annotated fungal genomes to better understand fungal biology.</w:t>
      </w:r>
    </w:p>
    <w:p>
      <w:pPr>
        <w:pStyle w:val="BodyText"/>
      </w:pPr>
      <w:r>
        <w:t xml:space="preserve">To begin, make sure that you have an iNaturalist account.</w:t>
      </w:r>
    </w:p>
    <w:bookmarkEnd w:id="27"/>
    <w:bookmarkStart w:id="28" w:name="project-overview"/>
    <w:p>
      <w:pPr>
        <w:pStyle w:val="Heading3"/>
      </w:pPr>
      <w:r>
        <w:t xml:space="preserve">Project Overview</w:t>
      </w:r>
    </w:p>
    <w:p>
      <w:pPr>
        <w:pStyle w:val="FirstParagraph"/>
      </w:pPr>
      <w:r>
        <w:t xml:space="preserve">There are three kinds of projects:</w:t>
      </w:r>
      <w:r>
        <w:t xml:space="preserve"> </w:t>
      </w:r>
      <w:r>
        <w:t xml:space="preserve">1. Umbrella Projects</w:t>
      </w:r>
      <w:r>
        <w:t xml:space="preserve"> </w:t>
      </w:r>
      <w:r>
        <w:t xml:space="preserve">2. Collection Projects</w:t>
      </w:r>
      <w:r>
        <w:t xml:space="preserve"> </w:t>
      </w:r>
      <w:r>
        <w:t xml:space="preserve">3. Traditional Projects</w:t>
      </w:r>
    </w:p>
    <w:p>
      <w:pPr>
        <w:pStyle w:val="BodyText"/>
      </w:pPr>
      <w:r>
        <w:t xml:space="preserve">The umbrella project for MycoEd is the MycoEd Fungal Genomics Education Project. Each course will establish a Traditional Project in iNaturalist. A traditional project allows us to control whose observations are included in the project, which enables better downstream data management. We ask that your class use the Traditional Project for MycoEd for only your MycoEd fungi. If your course includes a fungal collection using iNaturalist, please have a separate iNaturalist project for these fungal observations.</w:t>
      </w:r>
    </w:p>
    <w:bookmarkEnd w:id="28"/>
    <w:bookmarkStart w:id="29" w:name="Xbe7dd89d850e9accf36a8a51cd2d2bfb9177b29"/>
    <w:p>
      <w:pPr>
        <w:pStyle w:val="Heading3"/>
      </w:pPr>
      <w:r>
        <w:t xml:space="preserve">Make a MycoEd Traditional Project [Instructor Instructions]</w:t>
      </w:r>
    </w:p>
    <w:p>
      <w:pPr>
        <w:pStyle w:val="Compact"/>
        <w:numPr>
          <w:ilvl w:val="0"/>
          <w:numId w:val="1003"/>
        </w:numPr>
      </w:pPr>
      <w:r>
        <w:t xml:space="preserve">Log into iNaturalist.</w:t>
      </w:r>
    </w:p>
    <w:p>
      <w:pPr>
        <w:pStyle w:val="Compact"/>
        <w:numPr>
          <w:ilvl w:val="0"/>
          <w:numId w:val="1003"/>
        </w:numPr>
      </w:pPr>
      <w:r>
        <w:t xml:space="preserve">Go to Projects.</w:t>
      </w:r>
    </w:p>
    <w:p>
      <w:pPr>
        <w:pStyle w:val="Compact"/>
        <w:numPr>
          <w:ilvl w:val="0"/>
          <w:numId w:val="1003"/>
        </w:numPr>
      </w:pPr>
      <w:r>
        <w:t xml:space="preserve">This will take you to Your Projects.</w:t>
      </w:r>
    </w:p>
    <w:p>
      <w:pPr>
        <w:pStyle w:val="Compact"/>
        <w:numPr>
          <w:ilvl w:val="0"/>
          <w:numId w:val="1003"/>
        </w:numPr>
      </w:pPr>
      <w:r>
        <w:t xml:space="preserve">On the bottom right of the page, select Start a Project.</w:t>
      </w:r>
    </w:p>
    <w:p>
      <w:pPr>
        <w:pStyle w:val="Compact"/>
        <w:numPr>
          <w:ilvl w:val="0"/>
          <w:numId w:val="1003"/>
        </w:numPr>
      </w:pPr>
      <w:r>
        <w:t xml:space="preserve">Start a Traditional Project. Scroll to the bottom of the page to find the Traditional Project link for this option.</w:t>
      </w:r>
    </w:p>
    <w:p>
      <w:pPr>
        <w:pStyle w:val="FirstParagraph"/>
      </w:pPr>
      <w:r>
        <w:rPr>
          <w:b/>
          <w:bCs/>
        </w:rPr>
        <w:t xml:space="preserve">Note: If you do not have this option, please contact Amy Honan (amy.honan@oregonstate.edu) or Andrew Wilson (andrew.wilson@BotanicGardens.org) for assistance.</w:t>
      </w:r>
    </w:p>
    <w:p>
      <w:pPr>
        <w:pStyle w:val="Compact"/>
        <w:numPr>
          <w:ilvl w:val="0"/>
          <w:numId w:val="1004"/>
        </w:numPr>
      </w:pPr>
      <w:r>
        <w:t xml:space="preserve">Complete the following criteria indicated in the lettered parts of the figure below:</w:t>
      </w:r>
    </w:p>
    <w:p>
      <w:pPr>
        <w:pStyle w:val="Compact"/>
        <w:numPr>
          <w:ilvl w:val="1"/>
          <w:numId w:val="1005"/>
        </w:numPr>
      </w:pPr>
      <w:r>
        <w:t xml:space="preserve">Add Title. Include Institution, term or semester, and year.</w:t>
      </w:r>
    </w:p>
    <w:p>
      <w:pPr>
        <w:pStyle w:val="Compact"/>
        <w:numPr>
          <w:ilvl w:val="1"/>
          <w:numId w:val="1005"/>
        </w:numPr>
      </w:pPr>
      <w:r>
        <w:t xml:space="preserve">Make this Invite Only. You will add your students to this project.</w:t>
      </w:r>
    </w:p>
    <w:p>
      <w:pPr>
        <w:pStyle w:val="Compact"/>
        <w:numPr>
          <w:ilvl w:val="1"/>
          <w:numId w:val="1005"/>
        </w:numPr>
      </w:pPr>
      <w:r>
        <w:t xml:space="preserve">Add images or logos as you see fit. This step is useful if you manage multiple projects.</w:t>
      </w:r>
    </w:p>
    <w:p>
      <w:pPr>
        <w:pStyle w:val="Compact"/>
        <w:numPr>
          <w:ilvl w:val="0"/>
          <w:numId w:val="1004"/>
        </w:numPr>
      </w:pPr>
      <w:r>
        <w:t xml:space="preserve">Other fields to consider:</w:t>
      </w:r>
    </w:p>
    <w:p>
      <w:pPr>
        <w:pStyle w:val="Compact"/>
        <w:numPr>
          <w:ilvl w:val="1"/>
          <w:numId w:val="1006"/>
        </w:numPr>
      </w:pPr>
      <w:r>
        <w:t xml:space="preserve">Location: You may choose to limit the locations of your observations. If your project is set to invite only, this is likely unnecessary.</w:t>
      </w:r>
    </w:p>
    <w:p>
      <w:pPr>
        <w:pStyle w:val="Compact"/>
        <w:numPr>
          <w:ilvl w:val="1"/>
          <w:numId w:val="1006"/>
        </w:numPr>
      </w:pPr>
      <w:r>
        <w:t xml:space="preserve">Observation Fields: Here you can link the fungal endophytes back to the host plants. In the future, we may have further instructions for data to add here.</w:t>
      </w:r>
    </w:p>
    <w:p>
      <w:pPr>
        <w:pStyle w:val="Compact"/>
        <w:numPr>
          <w:ilvl w:val="0"/>
          <w:numId w:val="1004"/>
        </w:numPr>
      </w:pPr>
      <w:r>
        <w:t xml:space="preserve">Complete the project by selecting the Create button.</w:t>
      </w:r>
    </w:p>
    <w:p>
      <w:pPr>
        <w:pStyle w:val="Compact"/>
        <w:numPr>
          <w:ilvl w:val="0"/>
          <w:numId w:val="1004"/>
        </w:numPr>
      </w:pPr>
      <w:r>
        <w:t xml:space="preserve">You may add your MycoEd concierges to your project if you wish (Andrew_wilson, ahonan).</w:t>
      </w:r>
    </w:p>
    <w:p>
      <w:pPr>
        <w:pStyle w:val="Compact"/>
        <w:numPr>
          <w:ilvl w:val="0"/>
          <w:numId w:val="1004"/>
        </w:numPr>
      </w:pPr>
      <w:r>
        <w:t xml:space="preserve">Email Andrew Wilson (andrew.wilson@BotanicGardens.org) to be added to the MycoEd Fungal Genomics Education Project.</w:t>
      </w:r>
    </w:p>
    <w:p>
      <w:pPr>
        <w:pStyle w:val="Compact"/>
        <w:numPr>
          <w:ilvl w:val="0"/>
          <w:numId w:val="1004"/>
        </w:numPr>
      </w:pPr>
      <w:r>
        <w:t xml:space="preserve">Add your project name to the text highlighted in yellow in copies of the following documents:</w:t>
      </w:r>
    </w:p>
    <w:p>
      <w:pPr>
        <w:pStyle w:val="Compact"/>
        <w:numPr>
          <w:ilvl w:val="1"/>
          <w:numId w:val="1007"/>
        </w:numPr>
      </w:pPr>
      <w:r>
        <w:t xml:space="preserve">Module 1 – Using iNaturalist</w:t>
      </w:r>
    </w:p>
    <w:p>
      <w:pPr>
        <w:pStyle w:val="Compact"/>
        <w:numPr>
          <w:ilvl w:val="1"/>
          <w:numId w:val="1007"/>
        </w:numPr>
      </w:pPr>
      <w:r>
        <w:t xml:space="preserve">Module 1 – Sampling Fungal Endophytes and Culturing Student Instructions</w:t>
      </w:r>
    </w:p>
    <w:p>
      <w:pPr>
        <w:pStyle w:val="FirstParagraph"/>
      </w:pPr>
      <w:r>
        <w:t xml:space="preserve">Adding your name to the copies of these documents will enable you to use them directly in your courses.</w:t>
      </w:r>
    </w:p>
    <w:bookmarkEnd w:id="29"/>
    <w:bookmarkStart w:id="30" w:name="add-participants-students-to-the-project"/>
    <w:p>
      <w:pPr>
        <w:pStyle w:val="Heading3"/>
      </w:pPr>
      <w:r>
        <w:t xml:space="preserve">Add Participants (=Students) To The Project</w:t>
      </w:r>
    </w:p>
    <w:p>
      <w:pPr>
        <w:pStyle w:val="FirstParagraph"/>
      </w:pPr>
      <w:r>
        <w:t xml:space="preserve">Because we’ve made the Project</w:t>
      </w:r>
      <w:r>
        <w:t xml:space="preserve"> </w:t>
      </w:r>
      <w:r>
        <w:t xml:space="preserve">“Invite Only”</w:t>
      </w:r>
      <w:r>
        <w:t xml:space="preserve"> </w:t>
      </w:r>
      <w:r>
        <w:t xml:space="preserve">you will need to manually invite each of the students to join the course. They are instructed to join the course in Module 1.2.</w:t>
      </w:r>
    </w:p>
    <w:p>
      <w:pPr>
        <w:pStyle w:val="Compact"/>
        <w:numPr>
          <w:ilvl w:val="0"/>
          <w:numId w:val="1008"/>
        </w:numPr>
      </w:pPr>
      <w:r>
        <w:t xml:space="preserve">Open your Myco-Ed project.</w:t>
      </w:r>
    </w:p>
    <w:p>
      <w:pPr>
        <w:pStyle w:val="Compact"/>
        <w:numPr>
          <w:ilvl w:val="0"/>
          <w:numId w:val="1008"/>
        </w:numPr>
      </w:pPr>
      <w:r>
        <w:t xml:space="preserve">Select the</w:t>
      </w:r>
      <w:r>
        <w:t xml:space="preserve"> </w:t>
      </w:r>
      <w:r>
        <w:t xml:space="preserve">“Members”</w:t>
      </w:r>
      <w:r>
        <w:t xml:space="preserve"> </w:t>
      </w:r>
      <w:r>
        <w:t xml:space="preserve">section on the lower right. In this section you can manage membership and participation for the project.</w:t>
      </w:r>
    </w:p>
    <w:p>
      <w:pPr>
        <w:pStyle w:val="Compact"/>
        <w:numPr>
          <w:ilvl w:val="0"/>
          <w:numId w:val="1008"/>
        </w:numPr>
      </w:pPr>
      <w:r>
        <w:t xml:space="preserve">Click on</w:t>
      </w:r>
      <w:r>
        <w:t xml:space="preserve"> </w:t>
      </w:r>
      <w:r>
        <w:t xml:space="preserve">“invite new members here”</w:t>
      </w:r>
      <w:r>
        <w:t xml:space="preserve"> </w:t>
      </w:r>
      <w:r>
        <w:t xml:space="preserve">in the yellow box on the right.</w:t>
      </w:r>
    </w:p>
    <w:p>
      <w:pPr>
        <w:pStyle w:val="Compact"/>
        <w:numPr>
          <w:ilvl w:val="0"/>
          <w:numId w:val="1008"/>
        </w:numPr>
      </w:pPr>
      <w:r>
        <w:t xml:space="preserve">Once you’ve received the iNaturalist User IDs, start adding your students to the blank space under</w:t>
      </w:r>
      <w:r>
        <w:t xml:space="preserve"> </w:t>
      </w:r>
      <w:r>
        <w:t xml:space="preserve">“Invite people…”</w:t>
      </w:r>
      <w:r>
        <w:t xml:space="preserve">. Their names/user ID should appear in the drop down menu.</w:t>
      </w:r>
    </w:p>
    <w:p>
      <w:pPr>
        <w:pStyle w:val="FirstParagraph"/>
      </w:pPr>
      <w:r>
        <w:t xml:space="preserve">If their names do not show up, it is because they have not completed their iNaturalist registration, or the User ID is different from what they’ve supplied.</w:t>
      </w:r>
    </w:p>
    <w:p>
      <w:pPr>
        <w:pStyle w:val="Compact"/>
        <w:numPr>
          <w:ilvl w:val="0"/>
          <w:numId w:val="1009"/>
        </w:numPr>
      </w:pPr>
      <w:r>
        <w:t xml:space="preserve">Instruct the students to look for their invitation and join the project. They must now add their course’s iNaturalist observations to the project for them to show up in the project.</w:t>
      </w:r>
    </w:p>
    <w:p>
      <w:pPr>
        <w:pStyle w:val="FirstParagraph"/>
      </w:pPr>
      <w:r>
        <w:t xml:space="preserve">Use this last step as a requirement for course credit to ensure the process is completed by students.</w:t>
      </w:r>
    </w:p>
    <w:bookmarkEnd w:id="30"/>
    <w:bookmarkEnd w:id="31"/>
    <w:bookmarkStart w:id="35" w:name="module-0.3-inaturalist-checklist"/>
    <w:p>
      <w:pPr>
        <w:pStyle w:val="Heading2"/>
      </w:pPr>
      <w:r>
        <w:t xml:space="preserve">Module 0.3 – iNaturalist Checklist</w:t>
      </w:r>
    </w:p>
    <w:bookmarkStart w:id="34" w:name="inaturalist-checklist"/>
    <w:p>
      <w:pPr>
        <w:pStyle w:val="Heading3"/>
      </w:pPr>
      <w:r>
        <w:t xml:space="preserve">iNaturalist Checklist</w:t>
      </w:r>
    </w:p>
    <w:p>
      <w:pPr>
        <w:pStyle w:val="FirstParagraph"/>
      </w:pPr>
      <w:r>
        <w:t xml:space="preserve">This checklist will help you track your progress in managing Myco-Ed project data using iNaturalist.</w:t>
      </w:r>
    </w:p>
    <w:bookmarkStart w:id="32" w:name="for-instructors"/>
    <w:p>
      <w:pPr>
        <w:pStyle w:val="Heading4"/>
      </w:pPr>
      <w:r>
        <w:t xml:space="preserve">For Instructors</w:t>
      </w:r>
    </w:p>
    <w:p>
      <w:pPr>
        <w:pStyle w:val="Compact"/>
        <w:numPr>
          <w:ilvl w:val="0"/>
          <w:numId w:val="1010"/>
        </w:numPr>
      </w:pPr>
      <w:r>
        <w:t xml:space="preserve">Create an iNaturalist Account. (Module 0.2)</w:t>
      </w:r>
    </w:p>
    <w:p>
      <w:pPr>
        <w:pStyle w:val="Compact"/>
        <w:numPr>
          <w:ilvl w:val="0"/>
          <w:numId w:val="1011"/>
        </w:numPr>
      </w:pPr>
      <w:r>
        <w:t xml:space="preserve">Create an iNaturalist Traditional Project for your course. (Module 0.2) You may need to request the assistance of the Myco-Ed team to create this if you do not have the pre-requisite number of observations.</w:t>
      </w:r>
    </w:p>
    <w:p>
      <w:pPr>
        <w:pStyle w:val="Compact"/>
        <w:numPr>
          <w:ilvl w:val="0"/>
          <w:numId w:val="1012"/>
        </w:numPr>
      </w:pPr>
      <w:r>
        <w:t xml:space="preserve">Tell your students the name of the iNaturalist Project, and request their iNaturalist user IDs.</w:t>
      </w:r>
    </w:p>
    <w:p>
      <w:pPr>
        <w:pStyle w:val="Compact"/>
        <w:numPr>
          <w:ilvl w:val="0"/>
          <w:numId w:val="1013"/>
        </w:numPr>
      </w:pPr>
      <w:r>
        <w:t xml:space="preserve">Add the students to the course project once they’ve completed Module 1.2. (Module 0.2)</w:t>
      </w:r>
    </w:p>
    <w:p>
      <w:pPr>
        <w:pStyle w:val="Compact"/>
        <w:numPr>
          <w:ilvl w:val="0"/>
          <w:numId w:val="1014"/>
        </w:numPr>
      </w:pPr>
      <w:r>
        <w:t xml:space="preserve">Instruct students on iNaturalist data management obligations for course credit (at the instructor’s discretion).</w:t>
      </w:r>
    </w:p>
    <w:bookmarkEnd w:id="32"/>
    <w:bookmarkStart w:id="33" w:name="for-studentsparticipants"/>
    <w:p>
      <w:pPr>
        <w:pStyle w:val="Heading4"/>
      </w:pPr>
      <w:r>
        <w:t xml:space="preserve">For Students/Participants</w:t>
      </w:r>
    </w:p>
    <w:p>
      <w:pPr>
        <w:pStyle w:val="FirstParagraph"/>
      </w:pPr>
      <w:r>
        <w:rPr>
          <w:b/>
          <w:bCs/>
        </w:rPr>
        <w:t xml:space="preserve">Homework Assignment 1 (Module 1.2)</w:t>
      </w:r>
    </w:p>
    <w:p>
      <w:pPr>
        <w:pStyle w:val="Compact"/>
        <w:numPr>
          <w:ilvl w:val="0"/>
          <w:numId w:val="1015"/>
        </w:numPr>
      </w:pPr>
      <w:r>
        <w:t xml:space="preserve">Create an iNaturalist Account.</w:t>
      </w:r>
    </w:p>
    <w:p>
      <w:pPr>
        <w:pStyle w:val="Compact"/>
        <w:numPr>
          <w:ilvl w:val="0"/>
          <w:numId w:val="1016"/>
        </w:numPr>
      </w:pPr>
      <w:r>
        <w:t xml:space="preserve">Get the iNaturalist App for your phone</w:t>
      </w:r>
    </w:p>
    <w:p>
      <w:pPr>
        <w:pStyle w:val="Compact"/>
        <w:numPr>
          <w:ilvl w:val="0"/>
          <w:numId w:val="1017"/>
        </w:numPr>
      </w:pPr>
      <w:r>
        <w:t xml:space="preserve">Give your instructor your iNaturalist User Name.</w:t>
      </w:r>
    </w:p>
    <w:p>
      <w:pPr>
        <w:pStyle w:val="Compact"/>
        <w:numPr>
          <w:ilvl w:val="0"/>
          <w:numId w:val="1018"/>
        </w:numPr>
      </w:pPr>
      <w:r>
        <w:t xml:space="preserve">Update your real name under your account settings.</w:t>
      </w:r>
    </w:p>
    <w:p>
      <w:pPr>
        <w:pStyle w:val="Compact"/>
        <w:numPr>
          <w:ilvl w:val="0"/>
          <w:numId w:val="1019"/>
        </w:numPr>
      </w:pPr>
      <w:r>
        <w:t xml:space="preserve">Watch some videos and tutorials.</w:t>
      </w:r>
    </w:p>
    <w:p>
      <w:pPr>
        <w:pStyle w:val="Compact"/>
        <w:numPr>
          <w:ilvl w:val="0"/>
          <w:numId w:val="1020"/>
        </w:numPr>
      </w:pPr>
      <w:r>
        <w:t xml:space="preserve">Join the course project once you receive an invitation from the instructor/TA.</w:t>
      </w:r>
    </w:p>
    <w:p>
      <w:pPr>
        <w:pStyle w:val="FirstParagraph"/>
      </w:pPr>
      <w:r>
        <w:rPr>
          <w:b/>
          <w:bCs/>
        </w:rPr>
        <w:t xml:space="preserve">Make an Observation (Module 1.2)</w:t>
      </w:r>
    </w:p>
    <w:p>
      <w:pPr>
        <w:pStyle w:val="Compact"/>
        <w:numPr>
          <w:ilvl w:val="0"/>
          <w:numId w:val="1021"/>
        </w:numPr>
      </w:pPr>
      <w:r>
        <w:t xml:space="preserve">Take multiple images of the plant host (or habitat photos of the environment) and include at least one image with a unique field number. (e.g., MycoEd_004)</w:t>
      </w:r>
    </w:p>
    <w:p>
      <w:pPr>
        <w:pStyle w:val="Compact"/>
        <w:numPr>
          <w:ilvl w:val="0"/>
          <w:numId w:val="1022"/>
        </w:numPr>
      </w:pPr>
      <w:r>
        <w:t xml:space="preserve">Add the observation to your course project.</w:t>
      </w:r>
    </w:p>
    <w:p>
      <w:pPr>
        <w:pStyle w:val="Compact"/>
        <w:numPr>
          <w:ilvl w:val="0"/>
          <w:numId w:val="1023"/>
        </w:numPr>
      </w:pPr>
      <w:r>
        <w:t xml:space="preserve">Save and upload the observation to the cloud once you’re connected to wifi.</w:t>
      </w:r>
    </w:p>
    <w:p>
      <w:pPr>
        <w:pStyle w:val="Compact"/>
        <w:numPr>
          <w:ilvl w:val="0"/>
          <w:numId w:val="1024"/>
        </w:numPr>
      </w:pPr>
      <w:r>
        <w:t xml:space="preserve">Add Observation Field for MycoEd ID.</w:t>
      </w:r>
    </w:p>
    <w:p>
      <w:pPr>
        <w:pStyle w:val="Compact"/>
        <w:numPr>
          <w:ilvl w:val="0"/>
          <w:numId w:val="1025"/>
        </w:numPr>
      </w:pPr>
      <w:r>
        <w:t xml:space="preserve">Add Observation Field for DNA Barcode ITS once you have DNA sequence data.</w:t>
      </w:r>
    </w:p>
    <w:p>
      <w:pPr>
        <w:pStyle w:val="Compact"/>
        <w:numPr>
          <w:ilvl w:val="0"/>
          <w:numId w:val="1026"/>
        </w:numPr>
      </w:pPr>
      <w:r>
        <w:t xml:space="preserve">Update the name of fungal isolates using DNA sequence BLAST results.</w:t>
      </w:r>
    </w:p>
    <w:p>
      <w:pPr>
        <w:pStyle w:val="Compact"/>
        <w:numPr>
          <w:ilvl w:val="0"/>
          <w:numId w:val="1027"/>
        </w:numPr>
      </w:pPr>
      <w:r>
        <w:t xml:space="preserve">Add Observation Field for Host Observation for fungal isolates linking to the original host on iNaturalist.</w:t>
      </w:r>
    </w:p>
    <w:bookmarkEnd w:id="33"/>
    <w:bookmarkEnd w:id="34"/>
    <w:bookmarkEnd w:id="35"/>
    <w:bookmarkEnd w:id="36"/>
    <w:bookmarkStart w:id="59" w:name="module-1-fungal-sampling"/>
    <w:p>
      <w:pPr>
        <w:pStyle w:val="Heading1"/>
      </w:pPr>
      <w:r>
        <w:t xml:space="preserve">Module 1: Fungal Sampling</w:t>
      </w:r>
    </w:p>
    <w:bookmarkStart w:id="41" w:name="module-1.1-lab-prep-overview"/>
    <w:p>
      <w:pPr>
        <w:pStyle w:val="Heading2"/>
      </w:pPr>
      <w:r>
        <w:t xml:space="preserve">Module 1.1 – Lab Prep Overview</w:t>
      </w:r>
    </w:p>
    <w:bookmarkStart w:id="40" w:name="X77a2a5cde368cdc7e0265278fa1fc26eefd1a5c"/>
    <w:p>
      <w:pPr>
        <w:pStyle w:val="Heading3"/>
      </w:pPr>
      <w:r>
        <w:t xml:space="preserve">Instructor Laboratory Preparation Instructions</w:t>
      </w:r>
    </w:p>
    <w:p>
      <w:pPr>
        <w:pStyle w:val="FirstParagraph"/>
      </w:pPr>
      <w:r>
        <w:rPr>
          <w:b/>
          <w:bCs/>
        </w:rPr>
        <w:t xml:space="preserve">Materials:</w:t>
      </w:r>
      <w:r>
        <w:t xml:space="preserve"> </w:t>
      </w:r>
      <w:r>
        <w:t xml:space="preserve">- [ ] Cellophane discs (rinsed and individually wrapped before autoclaving)</w:t>
      </w:r>
      <w:r>
        <w:t xml:space="preserve"> </w:t>
      </w:r>
      <w:r>
        <w:t xml:space="preserve">- [ ] 100x15mm Petri dishes</w:t>
      </w:r>
      <w:r>
        <w:t xml:space="preserve"> </w:t>
      </w:r>
      <w:r>
        <w:t xml:space="preserve">- [ ] 60x15mm Petri dishes</w:t>
      </w:r>
      <w:r>
        <w:t xml:space="preserve"> </w:t>
      </w:r>
      <w:r>
        <w:t xml:space="preserve">- [ ] Bacteriological agar</w:t>
      </w:r>
      <w:r>
        <w:t xml:space="preserve"> </w:t>
      </w:r>
      <w:r>
        <w:t xml:space="preserve">- [ ] Forceps</w:t>
      </w:r>
      <w:r>
        <w:t xml:space="preserve"> </w:t>
      </w:r>
      <w:r>
        <w:t xml:space="preserve">- [ ] Scalpels or metal hole punch</w:t>
      </w:r>
    </w:p>
    <w:p>
      <w:pPr>
        <w:pStyle w:val="BodyText"/>
      </w:pPr>
      <w:r>
        <w:rPr>
          <w:b/>
          <w:bCs/>
        </w:rPr>
        <w:t xml:space="preserve">Lab Prep and Sterility:</w:t>
      </w:r>
      <w:r>
        <w:t xml:space="preserve"> </w:t>
      </w:r>
      <w:r>
        <w:t xml:space="preserve">We will be working at the bench and without Bunsen burners.</w:t>
      </w:r>
      <w:r>
        <w:t xml:space="preserve"> </w:t>
      </w:r>
      <w:r>
        <w:rPr>
          <w:b/>
          <w:bCs/>
        </w:rPr>
        <w:t xml:space="preserve">Be very careful and do not leave plates open for long periods.</w:t>
      </w:r>
      <w:r>
        <w:t xml:space="preserve"> </w:t>
      </w:r>
      <w:r>
        <w:t xml:space="preserve">First, clean your work area with bleach, and/or ethanol. We will use clean benches and laminar flow hoods when available, but this is a good alternative for those without access to these resources.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opt/quarto/share/formats/docx/warning.png" id="39"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Note that we will be working with fungi, which are generally not harmful to humans, but can cause allergic reactions in some individuals. Always practice good sterile technique and handle all materials with care. If you have any concerns about allergies or sensitivities, please consult with your instructor before beginning the lab.</w:t>
            </w:r>
          </w:p>
          <w:p>
            <w:pPr>
              <w:pStyle w:val="BodyText"/>
            </w:pPr>
            <w:pPr>
              <w:spacing w:after="16"/>
            </w:pPr>
            <w:r>
              <w:t xml:space="preserve">Additionally, we may not be able to work in a laminar flow hood, which increases the risk of contamination. Be extra cautious with sterile technique and be prepared for some contamination in your plates.</w:t>
            </w:r>
            <w:r>
              <w:t xml:space="preserve"> </w:t>
            </w:r>
            <w:r>
              <w:rPr>
                <w:b/>
                <w:bCs/>
              </w:rPr>
              <w:t xml:space="preserve">Work carefully and do not leave plates open for long periods of time.</w:t>
            </w:r>
          </w:p>
          <w:p/>
        </w:tc>
      </w:tr>
    </w:tbl>
    <w:p>
      <w:pPr>
        <w:pStyle w:val="BodyText"/>
      </w:pPr>
      <w:r>
        <w:rPr>
          <w:b/>
          <w:bCs/>
        </w:rPr>
        <w:t xml:space="preserve">Water Agar Plates:</w:t>
      </w:r>
      <w:r>
        <w:t xml:space="preserve"> </w:t>
      </w:r>
      <w:r>
        <w:t xml:space="preserve">Student scholars isolate fungal endophytes from leaves on water agar. We use one 100x15mm Petri dish to plate up to 6 leaf discs.</w:t>
      </w:r>
    </w:p>
    <w:p>
      <w:pPr>
        <w:pStyle w:val="BodyText"/>
      </w:pPr>
      <w:r>
        <w:rPr>
          <w:b/>
          <w:bCs/>
        </w:rPr>
        <w:t xml:space="preserve">Water Agar Recipe:</w:t>
      </w:r>
      <w:r>
        <w:t xml:space="preserve"> </w:t>
      </w:r>
      <w:r>
        <w:t xml:space="preserve">Suspend 39 grams bacteriological agar in 1000 mL (1 L) distilled water. Heat to boiling to dissolve the medium completely (in most cases, this step can be skipped as autoclaving will dissolve media). Sterilize by autoclaving at 15 lbs pressure at 121 °C for 15 minutes.</w:t>
      </w:r>
    </w:p>
    <w:p>
      <w:pPr>
        <w:pStyle w:val="BodyText"/>
      </w:pPr>
      <w:r>
        <w:t xml:space="preserve">When the media is cool enough to handle with autoclave gloves, pour 100x15mm plates in a sterile environment. Do not let it cool too long as the media will solidify. Each 100x15mm plate holds approximately 20 ml media. If plates will be used immediately smaller amounts of media can be poured into plates. If plates will be stored, use larger amounts. Store plates in the original dish sleeve in a refrigerator (~4 °C) until use.</w:t>
      </w:r>
    </w:p>
    <w:p>
      <w:pPr>
        <w:pStyle w:val="BodyText"/>
      </w:pPr>
      <w:r>
        <w:rPr>
          <w:b/>
          <w:bCs/>
        </w:rPr>
        <w:t xml:space="preserve">Disposal:</w:t>
      </w:r>
      <w:r>
        <w:t xml:space="preserve"> </w:t>
      </w:r>
      <w:r>
        <w:t xml:space="preserve">Place all Petri dishes in an autoclavable bag and sterilize at 15 lbs. pressure at 121 °C for 15 minutes. Follow institutional protocol for post-sterilization disposal. Be sure that the disposal of any heavy metals or other chemicals is properly handled.</w:t>
      </w:r>
    </w:p>
    <w:bookmarkEnd w:id="40"/>
    <w:bookmarkEnd w:id="41"/>
    <w:bookmarkStart w:id="48" w:name="module-1.2-metadata-directions"/>
    <w:p>
      <w:pPr>
        <w:pStyle w:val="Heading2"/>
      </w:pPr>
      <w:r>
        <w:t xml:space="preserve">Module 1.2 – Metadata Directions</w:t>
      </w:r>
    </w:p>
    <w:bookmarkStart w:id="42" w:name="metadata"/>
    <w:p>
      <w:pPr>
        <w:pStyle w:val="Heading3"/>
      </w:pPr>
      <w:r>
        <w:t xml:space="preserve">Metadata</w:t>
      </w:r>
    </w:p>
    <w:p>
      <w:pPr>
        <w:pStyle w:val="DefinitionTerm"/>
      </w:pPr>
      <w:r>
        <w:t xml:space="preserve">Metadata</w:t>
      </w:r>
    </w:p>
    <w:p>
      <w:pPr>
        <w:pStyle w:val="Definition"/>
      </w:pPr>
      <w:r>
        <w:t xml:space="preserve">is the data providing information about other data.</w:t>
      </w:r>
      <w:r>
        <w:t xml:space="preserve"> </w:t>
      </w:r>
      <w:r>
        <w:t xml:space="preserve">In this project, metadata refers to information related to the fungi you will study, including information about the substrate (e.g., plant host for fungal endophytes), location (latitude and longitude), elevation, images, fungal species, growth rates, assay information, images, and other variables. This document guides you through capturing this data and where to document it.</w:t>
      </w:r>
    </w:p>
    <w:p>
      <w:pPr>
        <w:pStyle w:val="FirstParagraph"/>
      </w:pPr>
      <w:r>
        <w:t xml:space="preserve">Once you have selected the plant(s) that you will isolate fungi from, upload an image of each plant to your course’s iNaturalist Project page. This part of the larger MycoEd Fungal Genomics Education Project. The fungi you isolate from this plant and the data associated with the fungal isolates will be linked back to this observation. These data will then be freely available to you and any other researchers interested in investigating fungal endophyte ecology and genomics.</w:t>
      </w:r>
    </w:p>
    <w:p>
      <w:pPr>
        <w:pStyle w:val="BodyText"/>
      </w:pPr>
      <w:r>
        <w:t xml:space="preserve">Record metadata on the</w:t>
      </w:r>
      <w:r>
        <w:t xml:space="preserve"> </w:t>
      </w:r>
      <w:r>
        <w:rPr>
          <w:b/>
          <w:bCs/>
        </w:rPr>
        <w:t xml:space="preserve">Endophyte spreadsheet</w:t>
      </w:r>
      <w:r>
        <w:t xml:space="preserve">. Below are descriptions for each category where necessary.</w:t>
      </w:r>
    </w:p>
    <w:bookmarkEnd w:id="42"/>
    <w:bookmarkStart w:id="43" w:name="inaturalist-plant-observation"/>
    <w:p>
      <w:pPr>
        <w:pStyle w:val="Heading3"/>
      </w:pPr>
      <w:r>
        <w:t xml:space="preserve">iNaturalist plant observation:</w:t>
      </w:r>
    </w:p>
    <w:p>
      <w:pPr>
        <w:pStyle w:val="FirstParagraph"/>
      </w:pPr>
      <w:r>
        <w:t xml:space="preserve">[NC State Myco Ed on iNaturalist] (https://www.inaturalist.org/projects/nc-state-myco-ed)</w:t>
      </w:r>
      <w:r>
        <w:t xml:space="preserve"> </w:t>
      </w:r>
      <w:r>
        <w:t xml:space="preserve">https://www.inaturalist.org/projects/nc-state-myco-ed</w:t>
      </w:r>
    </w:p>
    <w:bookmarkEnd w:id="43"/>
    <w:bookmarkStart w:id="44" w:name="sample-naming"/>
    <w:p>
      <w:pPr>
        <w:pStyle w:val="Heading3"/>
      </w:pPr>
      <w:r>
        <w:t xml:space="preserve">Sample Naming:</w:t>
      </w:r>
    </w:p>
    <w:p>
      <w:pPr>
        <w:pStyle w:val="FirstParagraph"/>
      </w:pPr>
      <w:r>
        <w:t xml:space="preserve">Your individual fungal isolates will be identified using several identifiers. The first will be the unique</w:t>
      </w:r>
      <w:r>
        <w:t xml:space="preserve"> </w:t>
      </w:r>
      <w:r>
        <w:rPr>
          <w:b/>
          <w:bCs/>
        </w:rPr>
        <w:t xml:space="preserve">Host ID number</w:t>
      </w:r>
      <w:r>
        <w:t xml:space="preserve"> </w:t>
      </w:r>
      <w:r>
        <w:t xml:space="preserve">that identifies the host for the fungi you isolate. Second will be</w:t>
      </w:r>
      <w:r>
        <w:t xml:space="preserve"> </w:t>
      </w:r>
      <w:r>
        <w:rPr>
          <w:b/>
          <w:bCs/>
        </w:rPr>
        <w:t xml:space="preserve">your initials</w:t>
      </w:r>
      <w:r>
        <w:t xml:space="preserve">. Please use at least 3 initials since some large courses may have students with shared initials. Third,</w:t>
      </w:r>
      <w:r>
        <w:t xml:space="preserve"> </w:t>
      </w:r>
      <w:r>
        <w:rPr>
          <w:b/>
          <w:bCs/>
        </w:rPr>
        <w:t xml:space="preserve">each individual leaf you cultured fungi from will be a separate number</w:t>
      </w:r>
      <w:r>
        <w:t xml:space="preserve">. If you take multiple samples from the same leaf, they will be identified by letters. For example, if you have one leaf or needle with 3 different sections, they would be 1a, 1b, and 1c.</w:t>
      </w:r>
    </w:p>
    <w:p>
      <w:pPr>
        <w:pStyle w:val="BodyText"/>
      </w:pPr>
      <w:r>
        <w:rPr>
          <w:b/>
          <w:bCs/>
        </w:rPr>
        <w:t xml:space="preserve">Example:</w:t>
      </w:r>
      <w:r>
        <w:t xml:space="preserve"> </w:t>
      </w:r>
      <w:r>
        <w:t xml:space="preserve">You have leaves collected from a maple tree on your campus. This tree was logged in iNaturalist and given a unique field number MycoED_004 (or whatever format the field numbers are provided in by your instructor/TA) (See the next module 1.2 for details). Let’s assume your initials are ABC. From this collection, you have three leaves that you culture from: leaf 1, leaf 2, and leaf 3. From each of these leaves, you take six segments, so these are letters a-f. So, if you isolate a fungus from the second leaf, third section, and your initials are ABC, the name of the isolate would look like MycoED_004_ABC_2c.</w:t>
      </w:r>
    </w:p>
    <w:p>
      <w:pPr>
        <w:pStyle w:val="BodyText"/>
      </w:pPr>
      <w:r>
        <w:t xml:space="preserve">With this naming scheme, anyone can trace the 1) plant host, 2) the researcher, 3) and the leaf and section the fungal isolate came from. NO other fungus will have this precise labeling unless additional fungi were isolated from this leaf section. After that step you will need to add additional identifiers.</w:t>
      </w:r>
    </w:p>
    <w:bookmarkEnd w:id="44"/>
    <w:bookmarkStart w:id="45" w:name="sample-location"/>
    <w:p>
      <w:pPr>
        <w:pStyle w:val="Heading3"/>
      </w:pPr>
      <w:r>
        <w:t xml:space="preserve">Sample location:</w:t>
      </w:r>
    </w:p>
    <w:p>
      <w:pPr>
        <w:pStyle w:val="FirstParagraph"/>
      </w:pPr>
      <w:r>
        <w:t xml:space="preserve">Record latitude and longitude in decimal format.</w:t>
      </w:r>
      <w:r>
        <w:t xml:space="preserve"> </w:t>
      </w:r>
      <w:r>
        <w:t xml:space="preserve">On a computer, go to iNaturalist observation. On the map, click on details at the bottom.</w:t>
      </w:r>
    </w:p>
    <w:p>
      <w:pPr>
        <w:pStyle w:val="BodyText"/>
      </w:pPr>
      <w:r>
        <w:t xml:space="preserve">From the dropdown menu. The Lat/Long is now shown. Click the copy button and paste it into the Excel Spreadsheet.</w:t>
      </w:r>
    </w:p>
    <w:p>
      <w:pPr>
        <w:pStyle w:val="BodyText"/>
      </w:pPr>
      <w:r>
        <w:t xml:space="preserve">You can also find Lat/Long coordinates on Google Maps.</w:t>
      </w:r>
      <w:r>
        <w:t xml:space="preserve"> </w:t>
      </w:r>
      <w:r>
        <w:t xml:space="preserve">For Android phones: tap location and copy and paste in a text and it’s automatically in decimal degree format.</w:t>
      </w:r>
      <w:r>
        <w:t xml:space="preserve"> </w:t>
      </w:r>
      <w:r>
        <w:t xml:space="preserve">For the iPhones:</w:t>
      </w:r>
      <w:r>
        <w:t xml:space="preserve"> </w:t>
      </w:r>
      <w:r>
        <w:t xml:space="preserve">1. Open the Google maps app. Tap the</w:t>
      </w:r>
      <w:r>
        <w:t xml:space="preserve"> </w:t>
      </w:r>
      <w:r>
        <w:t xml:space="preserve">“black triangle in a circle”</w:t>
      </w:r>
      <w:r>
        <w:t xml:space="preserve"> </w:t>
      </w:r>
      <w:r>
        <w:t xml:space="preserve">icon to zoom to your location.</w:t>
      </w:r>
      <w:r>
        <w:t xml:space="preserve"> </w:t>
      </w:r>
      <w:r>
        <w:t xml:space="preserve">2. Long touch on your location. This should open a tab at the bottom of the screen.</w:t>
      </w:r>
      <w:r>
        <w:t xml:space="preserve"> </w:t>
      </w:r>
      <w:r>
        <w:t xml:space="preserve">3. Scroll up. You should see the latitude and longitude coordinates of that position, looking something like this: (45.1234567, -122.1234567).</w:t>
      </w:r>
      <w:r>
        <w:t xml:space="preserve"> </w:t>
      </w:r>
      <w:r>
        <w:t xml:space="preserve">4. Long touch the coordinates, tap copy and then paste into an email or text.</w:t>
      </w:r>
    </w:p>
    <w:bookmarkEnd w:id="45"/>
    <w:bookmarkStart w:id="46" w:name="elevation"/>
    <w:p>
      <w:pPr>
        <w:pStyle w:val="Heading3"/>
      </w:pPr>
      <w:r>
        <w:t xml:space="preserve">Elevation:</w:t>
      </w:r>
    </w:p>
    <w:p>
      <w:pPr>
        <w:pStyle w:val="FirstParagraph"/>
      </w:pPr>
      <w:r>
        <w:t xml:space="preserve">Record the elevation of the plant in meters.</w:t>
      </w:r>
      <w:r>
        <w:t xml:space="preserve"> </w:t>
      </w:r>
      <w:r>
        <w:t xml:space="preserve">On a computer, go to iNaturalist observation and again, click on details at the bottom.</w:t>
      </w:r>
      <w:r>
        <w:t xml:space="preserve"> </w:t>
      </w:r>
      <w:r>
        <w:t xml:space="preserve">1. On a computer, go to iNaturalist observation and again, click on details at the bottom.</w:t>
      </w:r>
      <w:r>
        <w:t xml:space="preserve"> </w:t>
      </w:r>
      <w:r>
        <w:t xml:space="preserve">2. At the bottom of the details window, click macrostrat.</w:t>
      </w:r>
      <w:r>
        <w:t xml:space="preserve"> </w:t>
      </w:r>
      <w:r>
        <w:t xml:space="preserve">3. The next window will display elevation in meters in the upper right. Record this elevation.</w:t>
      </w:r>
    </w:p>
    <w:bookmarkEnd w:id="46"/>
    <w:bookmarkStart w:id="47" w:name="canopy"/>
    <w:p>
      <w:pPr>
        <w:pStyle w:val="Heading3"/>
      </w:pPr>
      <w:r>
        <w:t xml:space="preserve">Canopy:</w:t>
      </w:r>
    </w:p>
    <w:p>
      <w:pPr>
        <w:pStyle w:val="FirstParagraph"/>
      </w:pPr>
      <w:r>
        <w:t xml:space="preserve">Record the portion of the canopy where the leaf was collected (L-lower 1/3 of plant, M-middle 1/3 of plant, or U-upper 1/3 of plant).</w:t>
      </w:r>
    </w:p>
    <w:bookmarkEnd w:id="47"/>
    <w:bookmarkEnd w:id="48"/>
    <w:bookmarkStart w:id="55" w:name="Xb4fb397bd02a3abfe006792dec75e7bd20d5dfd"/>
    <w:p>
      <w:pPr>
        <w:pStyle w:val="Heading2"/>
      </w:pPr>
      <w:r>
        <w:t xml:space="preserve">Module 1.3 - Fungal Sampling and Culturing</w:t>
      </w:r>
    </w:p>
    <w:bookmarkStart w:id="49" w:name="purpose"/>
    <w:p>
      <w:pPr>
        <w:pStyle w:val="Heading3"/>
      </w:pPr>
      <w:r>
        <w:t xml:space="preserve">Purpose</w:t>
      </w:r>
    </w:p>
    <w:p>
      <w:pPr>
        <w:pStyle w:val="FirstParagraph"/>
      </w:pPr>
      <w:r>
        <w:t xml:space="preserve">This lab will introduce you to sterile/aseptic technique, culturing fungi, isolating cultures, and documenting fungal growth.</w:t>
      </w:r>
    </w:p>
    <w:bookmarkEnd w:id="49"/>
    <w:bookmarkStart w:id="50" w:name="introduction-1"/>
    <w:p>
      <w:pPr>
        <w:pStyle w:val="Heading3"/>
      </w:pPr>
      <w:r>
        <w:t xml:space="preserve">Introduction</w:t>
      </w:r>
    </w:p>
    <w:p>
      <w:pPr>
        <w:pStyle w:val="FirstParagraph"/>
      </w:pPr>
      <w:r>
        <w:t xml:space="preserve">Every species of plant surveyed to date hosts a multitude of fungal</w:t>
      </w:r>
      <w:r>
        <w:t xml:space="preserve"> </w:t>
      </w:r>
      <w:r>
        <w:rPr>
          <w:b/>
          <w:bCs/>
        </w:rPr>
        <w:t xml:space="preserve">endophytes</w:t>
      </w:r>
      <w:r>
        <w:t xml:space="preserve">. These symbiotic fungi exist in all plant tissues, including leaves, bark, roots, and reproductive structures such as flowers and seeds. All lineages of fungi contain endophytic species, however the majority of fungal endophytes described to date are Ascomycetes. Research has shown that fungal endophytes impact both plant species fitness and plant community fitness. Fungal endophytes can confer abiotic and biotic stress tolerance, influence biomass and water consumption, and alter resource allocation. The fungi live either between the plant cells, between the cell wall and the cell membrane, or sometimes even within the cell membrane. This project is part of the MycoEd Fungal Genomics Education Project. The goal of this long-term research project is to produce fungal reference genomes to better understand their biology.</w:t>
      </w:r>
    </w:p>
    <w:bookmarkEnd w:id="50"/>
    <w:bookmarkStart w:id="51" w:name="learning-goals"/>
    <w:p>
      <w:pPr>
        <w:pStyle w:val="Heading3"/>
      </w:pPr>
      <w:r>
        <w:t xml:space="preserve">Learning Goals</w:t>
      </w:r>
    </w:p>
    <w:p>
      <w:pPr>
        <w:pStyle w:val="Compact"/>
        <w:numPr>
          <w:ilvl w:val="0"/>
          <w:numId w:val="1028"/>
        </w:numPr>
      </w:pPr>
      <w:r>
        <w:t xml:space="preserve">Documentation using iNaturalist</w:t>
      </w:r>
    </w:p>
    <w:p>
      <w:pPr>
        <w:pStyle w:val="Compact"/>
        <w:numPr>
          <w:ilvl w:val="0"/>
          <w:numId w:val="1028"/>
        </w:numPr>
      </w:pPr>
      <w:r>
        <w:t xml:space="preserve">Practice sterile technique</w:t>
      </w:r>
    </w:p>
    <w:p>
      <w:pPr>
        <w:pStyle w:val="Compact"/>
        <w:numPr>
          <w:ilvl w:val="0"/>
          <w:numId w:val="1028"/>
        </w:numPr>
      </w:pPr>
      <w:r>
        <w:t xml:space="preserve">Culture and isolate fungi</w:t>
      </w:r>
    </w:p>
    <w:p>
      <w:pPr>
        <w:pStyle w:val="Compact"/>
        <w:numPr>
          <w:ilvl w:val="0"/>
          <w:numId w:val="1028"/>
        </w:numPr>
      </w:pPr>
      <w:r>
        <w:t xml:space="preserve">Investigate fungal endophytes</w:t>
      </w:r>
    </w:p>
    <w:p>
      <w:pPr>
        <w:pStyle w:val="Compact"/>
        <w:numPr>
          <w:ilvl w:val="0"/>
          <w:numId w:val="1028"/>
        </w:numPr>
      </w:pPr>
      <w:r>
        <w:t xml:space="preserve">Characterize morphology of fungal cultures</w:t>
      </w:r>
    </w:p>
    <w:bookmarkEnd w:id="51"/>
    <w:bookmarkStart w:id="52" w:name="lab-supplies"/>
    <w:p>
      <w:pPr>
        <w:pStyle w:val="Heading3"/>
      </w:pPr>
      <w:r>
        <w:t xml:space="preserve">Lab Supplies</w:t>
      </w:r>
    </w:p>
    <w:p>
      <w:pPr>
        <w:pStyle w:val="Compact"/>
        <w:numPr>
          <w:ilvl w:val="0"/>
          <w:numId w:val="1029"/>
        </w:numPr>
      </w:pPr>
      <w:r>
        <w:t xml:space="preserve">3 large water agar Petri plates - these are for initial isolation</w:t>
      </w:r>
    </w:p>
    <w:p>
      <w:pPr>
        <w:pStyle w:val="Compact"/>
        <w:numPr>
          <w:ilvl w:val="0"/>
          <w:numId w:val="1030"/>
        </w:numPr>
      </w:pPr>
      <w:r>
        <w:t xml:space="preserve">Sharpie</w:t>
      </w:r>
    </w:p>
    <w:p>
      <w:pPr>
        <w:pStyle w:val="Compact"/>
        <w:numPr>
          <w:ilvl w:val="0"/>
          <w:numId w:val="1031"/>
        </w:numPr>
      </w:pPr>
      <w:r>
        <w:t xml:space="preserve">Parafilm</w:t>
      </w:r>
    </w:p>
    <w:p>
      <w:pPr>
        <w:pStyle w:val="Compact"/>
        <w:numPr>
          <w:ilvl w:val="0"/>
          <w:numId w:val="1032"/>
        </w:numPr>
      </w:pPr>
      <w:r>
        <w:t xml:space="preserve">Paper towels</w:t>
      </w:r>
    </w:p>
    <w:p>
      <w:pPr>
        <w:pStyle w:val="Compact"/>
        <w:numPr>
          <w:ilvl w:val="0"/>
          <w:numId w:val="1033"/>
        </w:numPr>
      </w:pPr>
      <w:r>
        <w:t xml:space="preserve">Gloves</w:t>
      </w:r>
    </w:p>
    <w:p>
      <w:pPr>
        <w:pStyle w:val="Compact"/>
        <w:numPr>
          <w:ilvl w:val="0"/>
          <w:numId w:val="1034"/>
        </w:numPr>
      </w:pPr>
      <w:r>
        <w:t xml:space="preserve">Bleach</w:t>
      </w:r>
    </w:p>
    <w:p>
      <w:pPr>
        <w:pStyle w:val="Compact"/>
        <w:numPr>
          <w:ilvl w:val="0"/>
          <w:numId w:val="1035"/>
        </w:numPr>
      </w:pPr>
      <w:r>
        <w:t xml:space="preserve">Ethanol</w:t>
      </w:r>
    </w:p>
    <w:p>
      <w:pPr>
        <w:pStyle w:val="Compact"/>
        <w:numPr>
          <w:ilvl w:val="0"/>
          <w:numId w:val="1036"/>
        </w:numPr>
      </w:pPr>
      <w:r>
        <w:t xml:space="preserve">Scalpel</w:t>
      </w:r>
    </w:p>
    <w:p>
      <w:pPr>
        <w:pStyle w:val="Compact"/>
        <w:numPr>
          <w:ilvl w:val="0"/>
          <w:numId w:val="1037"/>
        </w:numPr>
      </w:pPr>
      <w:r>
        <w:t xml:space="preserve">Metal hole punch</w:t>
      </w:r>
    </w:p>
    <w:p>
      <w:pPr>
        <w:pStyle w:val="Compact"/>
        <w:numPr>
          <w:ilvl w:val="0"/>
          <w:numId w:val="1038"/>
        </w:numPr>
      </w:pPr>
      <w:r>
        <w:t xml:space="preserve">Forceps</w:t>
      </w:r>
    </w:p>
    <w:bookmarkEnd w:id="52"/>
    <w:bookmarkStart w:id="54" w:name="instructions"/>
    <w:p>
      <w:pPr>
        <w:pStyle w:val="Heading3"/>
      </w:pPr>
      <w:r>
        <w:t xml:space="preserve">Instructions</w:t>
      </w:r>
    </w:p>
    <w:bookmarkStart w:id="53" w:name="isolation-of-fungi-from-leaves"/>
    <w:p>
      <w:pPr>
        <w:pStyle w:val="Heading4"/>
      </w:pPr>
      <w:r>
        <w:t xml:space="preserve">Isolation of Fungi from Leaves</w:t>
      </w:r>
    </w:p>
    <w:p>
      <w:pPr>
        <w:pStyle w:val="FirstParagraph"/>
      </w:pPr>
      <w:r>
        <w:t xml:space="preserve">Before you begin, read through the entire instructions. Be sure to consult your instructor if you have any questions.</w:t>
      </w:r>
    </w:p>
    <w:p>
      <w:pPr>
        <w:pStyle w:val="BodyText"/>
      </w:pPr>
      <w:r>
        <w:rPr>
          <w:b/>
          <w:bCs/>
        </w:rPr>
        <w:t xml:space="preserve">Formulate your Research Question</w:t>
      </w:r>
      <w:r>
        <w:t xml:space="preserve"> </w:t>
      </w:r>
      <w:r>
        <w:t xml:space="preserve">You will attempt to culture fungi from a total of 18 leaf sections. You may use any combination of plant species, individual plants, leaf portions, or leaf cuttings in your setup. Choose a combination that interests you. Are you interested in capturing the diversity within an individual plant? If so, are you interested in looking at the diversity of endophytes within the canopy of individual plants? For this question, you would plate leaves from lower, middle, and upper canopies. Are you interested in documenting the fungal endophyte diversity within a plant species? For this investigation, collect leaves from multiple individuals of the same species. Perhaps you want to compare species diversity between different plant species. To investigate this question, collect plant leaves from a variety of plant species.</w:t>
      </w:r>
    </w:p>
    <w:p>
      <w:pPr>
        <w:pStyle w:val="BodyText"/>
      </w:pPr>
      <w:r>
        <w:rPr>
          <w:b/>
          <w:bCs/>
        </w:rPr>
        <w:t xml:space="preserve">Design your Experimental Setup</w:t>
      </w:r>
      <w:r>
        <w:t xml:space="preserve"> </w:t>
      </w:r>
      <w:r>
        <w:t xml:space="preserve">Once you have decided what endophyte communities you would like to explore, obtain green leaves from your target host plants. These can be from deciduous or evergreen plants, including needles from conifers. You should plate your leaves within 24 hours of collection. Refrigerate your leaves if you need to store them between collection and plating.</w:t>
      </w:r>
    </w:p>
    <w:p>
      <w:pPr>
        <w:pStyle w:val="BodyText"/>
      </w:pPr>
      <w:r>
        <w:rPr>
          <w:b/>
          <w:bCs/>
        </w:rPr>
        <w:t xml:space="preserve">Metadata</w:t>
      </w:r>
      <w:r>
        <w:t xml:space="preserve"> </w:t>
      </w:r>
      <w:r>
        <w:t xml:space="preserve">Upload an image of the plants you have chosen to your course’s iNaturalist Project page. Follow the instructions in Module 1.1 - Metadata Directions to be sure you have documented all necessary metadata.</w:t>
      </w:r>
    </w:p>
    <w:p>
      <w:pPr>
        <w:pStyle w:val="BodyText"/>
      </w:pPr>
      <w:r>
        <w:rPr>
          <w:b/>
          <w:bCs/>
        </w:rPr>
        <w:t xml:space="preserve">Sampling Endophytes</w:t>
      </w:r>
    </w:p>
    <w:p>
      <w:pPr>
        <w:pStyle w:val="BodyText"/>
      </w:pPr>
      <w:r>
        <w:t xml:space="preserve">Materials needed:</w:t>
      </w:r>
      <w:r>
        <w:t xml:space="preserve"> </w:t>
      </w:r>
      <w:r>
        <w:t xml:space="preserve">- [ ] Your phone with iNaturalist.</w:t>
      </w:r>
      <w:r>
        <w:t xml:space="preserve"> </w:t>
      </w:r>
      <w:r>
        <w:t xml:space="preserve">- [ ] Sample labels with unique ID numbers.</w:t>
      </w:r>
      <w:r>
        <w:t xml:space="preserve"> </w:t>
      </w:r>
      <w:r>
        <w:t xml:space="preserve">- [ ] Paper bags for samples.</w:t>
      </w:r>
      <w:r>
        <w:t xml:space="preserve"> </w:t>
      </w:r>
      <w:r>
        <w:t xml:space="preserve">- [ ] Clippers, scissors, or a knife to sample leaves.</w:t>
      </w:r>
    </w:p>
    <w:p>
      <w:pPr>
        <w:pStyle w:val="BodyText"/>
      </w:pPr>
      <w:r>
        <w:rPr>
          <w:b/>
          <w:bCs/>
        </w:rPr>
        <w:t xml:space="preserve">Protocol:</w:t>
      </w:r>
      <w:r>
        <w:t xml:space="preserve"> </w:t>
      </w:r>
      <w:r>
        <w:t xml:space="preserve">1. Find a tree, or other plant to sample. Ideally, one that has healthy leaves.</w:t>
      </w:r>
      <w:r>
        <w:t xml:space="preserve"> </w:t>
      </w:r>
      <w:r>
        <w:t xml:space="preserve">2. Make an iNaturalist observation of the plant on your phone.</w:t>
      </w:r>
      <w:r>
        <w:t xml:space="preserve"> </w:t>
      </w:r>
      <w:r>
        <w:t xml:space="preserve">a. Take multiple images.</w:t>
      </w:r>
      <w:r>
        <w:t xml:space="preserve"> </w:t>
      </w:r>
      <w:r>
        <w:t xml:space="preserve">i. At least one of the entire plant.</w:t>
      </w:r>
      <w:r>
        <w:t xml:space="preserve"> </w:t>
      </w:r>
      <w:r>
        <w:t xml:space="preserve">ii. Multiple closer pictures of the leaves, bark, any flowers or fruit, etc.</w:t>
      </w:r>
      <w:r>
        <w:t xml:space="preserve"> </w:t>
      </w:r>
      <w:r>
        <w:t xml:space="preserve">iii. At least one observation must include one sample label with an ID number.</w:t>
      </w:r>
      <w:r>
        <w:t xml:space="preserve"> </w:t>
      </w:r>
      <w:r>
        <w:t xml:space="preserve">b. Go to the projects section on iNaturalist.</w:t>
      </w:r>
      <w:r>
        <w:t xml:space="preserve"> </w:t>
      </w:r>
      <w:r>
        <w:t xml:space="preserve">i. Select</w:t>
      </w:r>
      <w:r>
        <w:t xml:space="preserve"> </w:t>
      </w:r>
      <w:r>
        <w:t xml:space="preserve">“Your iNaturalist Project”</w:t>
      </w:r>
      <w:r>
        <w:t xml:space="preserve">.</w:t>
      </w:r>
      <w:r>
        <w:t xml:space="preserve"> </w:t>
      </w:r>
      <w:r>
        <w:t xml:space="preserve">c. Save the observation on iNaturalist.</w:t>
      </w:r>
      <w:r>
        <w:t xml:space="preserve"> </w:t>
      </w:r>
      <w:r>
        <w:t xml:space="preserve">i. Follow instructions in Module 1.2 Using iNaturalist</w:t>
      </w:r>
      <w:r>
        <w:t xml:space="preserve"> </w:t>
      </w:r>
      <w:r>
        <w:t xml:space="preserve">3. Place the label in a paper bag.</w:t>
      </w:r>
      <w:r>
        <w:t xml:space="preserve"> </w:t>
      </w:r>
      <w:r>
        <w:t xml:space="preserve">4. Sample up to three leaves using your cutting instrument.</w:t>
      </w:r>
      <w:r>
        <w:t xml:space="preserve"> </w:t>
      </w:r>
      <w:r>
        <w:t xml:space="preserve">5. Put the leaf samples into the bag.</w:t>
      </w:r>
    </w:p>
    <w:p>
      <w:pPr>
        <w:pStyle w:val="BodyText"/>
      </w:pPr>
      <w:r>
        <w:rPr>
          <w:b/>
          <w:bCs/>
        </w:rPr>
        <w:t xml:space="preserve">Culturing Fungi From Leaves</w:t>
      </w:r>
      <w:r>
        <w:t xml:space="preserve"> </w:t>
      </w:r>
      <w:r>
        <w:t xml:space="preserve">You have 3 larger (100x15mm) Petri dishes that contain water agar. Water agar media is more clear (whitish to translucent) than the smaller Petri dishes which contain Potato Dextrose Agar (PDA). These water agar plates will be used for Part I of this exercise. Section each of these into 6 regions as depicted in Figure 1. This will provide you space to culture 18 leaf sections.</w:t>
      </w:r>
    </w:p>
    <w:p>
      <w:pPr>
        <w:pStyle w:val="BodyText"/>
      </w:pPr>
      <w:r>
        <w:t xml:space="preserve">Gather all supplies including sterilized water, 70% EtOH, and 10% bleach solution. Label the Petri dishes and read through procedures before starting. Place bleach solution and sterile water in a container with enough space to dip leaf tissue. Use the provided scalpel or metal paper hole punch from your lab kit to take leaf subsamples.</w:t>
      </w:r>
    </w:p>
    <w:p>
      <w:pPr>
        <w:pStyle w:val="Compact"/>
        <w:numPr>
          <w:ilvl w:val="0"/>
          <w:numId w:val="1039"/>
        </w:numPr>
      </w:pPr>
      <w:r>
        <w:t xml:space="preserve">Sanitize/sterilize all work surfaces. Wipe surfaces with ethanol. Choose a working location with the least amount of airflow to prevent contamination. If available, set up torches on either side of your work area with the flames aimed toward the middle of your workspace. The heat generated from the torches creates an the potential of airborne contaminants.</w:t>
      </w:r>
    </w:p>
    <w:p>
      <w:pPr>
        <w:pStyle w:val="Compact"/>
        <w:numPr>
          <w:ilvl w:val="0"/>
          <w:numId w:val="1039"/>
        </w:numPr>
      </w:pPr>
      <w:r>
        <w:t xml:space="preserve">Sterilize tools (scalpel or hole punch and forceps)</w:t>
      </w:r>
    </w:p>
    <w:p>
      <w:pPr>
        <w:pStyle w:val="Compact"/>
        <w:numPr>
          <w:ilvl w:val="1"/>
          <w:numId w:val="1040"/>
        </w:numPr>
      </w:pPr>
      <w:r>
        <w:t xml:space="preserve">Heat your tool using a flame (candle, alcohol lamp, torch, or something similar).</w:t>
      </w:r>
    </w:p>
    <w:p>
      <w:pPr>
        <w:pStyle w:val="Compact"/>
        <w:numPr>
          <w:ilvl w:val="1"/>
          <w:numId w:val="1040"/>
        </w:numPr>
      </w:pPr>
      <w:r>
        <w:t xml:space="preserve">Let cool – you can dip the tool (scalpel or hole punch) into the bleach solution to cool.</w:t>
      </w:r>
    </w:p>
    <w:p>
      <w:pPr>
        <w:pStyle w:val="Compact"/>
        <w:numPr>
          <w:ilvl w:val="0"/>
          <w:numId w:val="1039"/>
        </w:numPr>
      </w:pPr>
      <w:r>
        <w:t xml:space="preserve">Cut leaf tissues. You may take as many cuttings from each leaf as desired. Be sure to label cuttings appropriately as described above. Cuttings should be ~1 cm.</w:t>
      </w:r>
    </w:p>
    <w:p>
      <w:pPr>
        <w:pStyle w:val="Compact"/>
        <w:numPr>
          <w:ilvl w:val="0"/>
          <w:numId w:val="1039"/>
        </w:numPr>
      </w:pPr>
      <w:r>
        <w:t xml:space="preserve">Surface sterilize leaf tissue. Using sterilized forceps (heat and cool as above), immerse each cutting in 10% bleach solution for 10 seconds.</w:t>
      </w:r>
    </w:p>
    <w:p>
      <w:pPr>
        <w:pStyle w:val="Compact"/>
        <w:numPr>
          <w:ilvl w:val="1"/>
          <w:numId w:val="1041"/>
        </w:numPr>
      </w:pPr>
      <w:r>
        <w:t xml:space="preserve">To prepare the bleach solution, sterilize water by boiling water for 10 minutes. You will need enough water for the bleach solution and rinse step. Distilled water is preferred. If unavailable, use tap water. Let water cool to room temperature before coming into contact with plant tissue.</w:t>
      </w:r>
    </w:p>
    <w:p>
      <w:pPr>
        <w:pStyle w:val="Compact"/>
        <w:numPr>
          <w:ilvl w:val="1"/>
          <w:numId w:val="1041"/>
        </w:numPr>
      </w:pPr>
      <w:r>
        <w:t xml:space="preserve">Mix 1ml (1/4 teaspoon) household bleach with 500 ml (2 cups) sterilized water.</w:t>
      </w:r>
    </w:p>
    <w:p>
      <w:pPr>
        <w:pStyle w:val="Compact"/>
        <w:numPr>
          <w:ilvl w:val="0"/>
          <w:numId w:val="1039"/>
        </w:numPr>
      </w:pPr>
      <w:r>
        <w:t xml:space="preserve">Rinse leaf tissue. Transfer leaf cutting from bleach solution using forceps and swirl in sterile water or %70 EtOH to rinse. Let excess water drip off leaf cutting or place on clean kimwipes to dry.</w:t>
      </w:r>
    </w:p>
    <w:p>
      <w:pPr>
        <w:pStyle w:val="Compact"/>
        <w:numPr>
          <w:ilvl w:val="0"/>
          <w:numId w:val="1039"/>
        </w:numPr>
      </w:pPr>
      <w:r>
        <w:t xml:space="preserve">Add tissue to water agar. Place up to 6 leaf cuttings per plate of water agar labeled as described above (Figure 1). The water agar plates are the larger plates that contain clear to whitish media. Use sterile technique. Be sure to sterilize forceps (heat with flame and cool) in between each leaf transfer.</w:t>
      </w:r>
    </w:p>
    <w:p>
      <w:pPr>
        <w:pStyle w:val="Compact"/>
        <w:numPr>
          <w:ilvl w:val="0"/>
          <w:numId w:val="1039"/>
        </w:numPr>
      </w:pPr>
      <w:r>
        <w:t xml:space="preserve">Seal Petri dish with Parafilm. This is a stretchy material similar to Saran Wrap. Cut a strip a little wider than the Petri dish. Remove the paper backing. Hold one end of the Parafilm strip on the lip of the Petri dish so that the gap between the lid and base is covered by the Parafilm. Keeping one end fixed with one hand, stretch and wrap the parafilm around the Petri dish, sealing the gap between the lid and base of the Petri dish. The stretching of the Parafilm will facilitate the seal, you will not need any tape to keep the Parafilm in place.</w:t>
      </w:r>
    </w:p>
    <w:p>
      <w:pPr>
        <w:pStyle w:val="Compact"/>
        <w:numPr>
          <w:ilvl w:val="0"/>
          <w:numId w:val="1039"/>
        </w:numPr>
      </w:pPr>
      <w:r>
        <w:t xml:space="preserve">Incubate at room temperature in the dark and examine for growth each day.</w:t>
      </w:r>
    </w:p>
    <w:bookmarkEnd w:id="53"/>
    <w:bookmarkEnd w:id="54"/>
    <w:bookmarkEnd w:id="55"/>
    <w:bookmarkStart w:id="58" w:name="module-1.4-using-inaturalist"/>
    <w:p>
      <w:pPr>
        <w:pStyle w:val="Heading2"/>
      </w:pPr>
      <w:r>
        <w:t xml:space="preserve">Module 1.4 – Using iNaturalist</w:t>
      </w:r>
    </w:p>
    <w:bookmarkStart w:id="56" w:name="using-inaturalist"/>
    <w:p>
      <w:pPr>
        <w:pStyle w:val="Heading3"/>
      </w:pPr>
      <w:r>
        <w:t xml:space="preserve">Using iNaturalist</w:t>
      </w:r>
    </w:p>
    <w:p>
      <w:pPr>
        <w:pStyle w:val="FirstParagraph"/>
      </w:pPr>
      <w:r>
        <w:t xml:space="preserve">For this semester we will be sampling plant tissue and isolating endophytic fungi for an experiment in fungal genomics. Part of this research will include the collection of important meta-data which includes latitude and longitude information, sampled material/host, and taxonomic information. To facilitate this we are using iNaturalist.</w:t>
      </w:r>
    </w:p>
    <w:p>
      <w:pPr>
        <w:pStyle w:val="BodyText"/>
      </w:pPr>
      <w:r>
        <w:rPr>
          <w:b/>
          <w:bCs/>
        </w:rPr>
        <w:t xml:space="preserve">Homework Assignment 1: Get set up to use iNaturalist.</w:t>
      </w:r>
      <w:r>
        <w:t xml:space="preserve"> </w:t>
      </w:r>
      <w:r>
        <w:t xml:space="preserve">- Go to https://www.inaturalist.org/ and make an account if you don’t already have one.</w:t>
      </w:r>
      <w:r>
        <w:t xml:space="preserve"> </w:t>
      </w:r>
      <w:r>
        <w:t xml:space="preserve">- Download the iNaturalist App to your phone.</w:t>
      </w:r>
      <w:r>
        <w:t xml:space="preserve"> </w:t>
      </w:r>
      <w:r>
        <w:t xml:space="preserve">- Give your iNaturalist user ID to your course instructor or TA. They will need this to add you to the course project. Be sure to ask your instructor for the name of the course project.</w:t>
      </w:r>
      <w:r>
        <w:t xml:space="preserve"> </w:t>
      </w:r>
      <w:r>
        <w:t xml:space="preserve">- Join your course project. Within your iNaturalist account, go to: Community&gt;Projects Assuming you’re invited you should see the name of your course project. Join the project. If you don’t see it, send your iNaturalist user ID to your Instructor or TA to receive an invitation.</w:t>
      </w:r>
      <w:r>
        <w:t xml:space="preserve"> </w:t>
      </w:r>
      <w:r>
        <w:t xml:space="preserve">- Add your Real Name to iNaturalist</w:t>
      </w:r>
      <w:r>
        <w:t xml:space="preserve"> </w:t>
      </w:r>
      <w:r>
        <w:t xml:space="preserve">- For your name to display properly you need it spelled out in your profile.</w:t>
      </w:r>
      <w:r>
        <w:t xml:space="preserve"> </w:t>
      </w:r>
      <w:r>
        <w:t xml:space="preserve">- Log into iNat.</w:t>
      </w:r>
      <w:r>
        <w:t xml:space="preserve"> </w:t>
      </w:r>
      <w:r>
        <w:t xml:space="preserve">- Go to your profile icon in the top right.</w:t>
      </w:r>
      <w:r>
        <w:t xml:space="preserve"> </w:t>
      </w:r>
      <w:r>
        <w:t xml:space="preserve">- Select Account Settings.</w:t>
      </w:r>
      <w:r>
        <w:t xml:space="preserve"> </w:t>
      </w:r>
      <w:r>
        <w:t xml:space="preserve">- Type your real name into the space under Display Name.</w:t>
      </w:r>
      <w:r>
        <w:t xml:space="preserve"> </w:t>
      </w:r>
      <w:r>
        <w:t xml:space="preserve">- iNaturalist Application Settings on your phone.</w:t>
      </w:r>
      <w:r>
        <w:t xml:space="preserve"> </w:t>
      </w:r>
      <w:r>
        <w:t xml:space="preserve">- Go to settings on your phone.</w:t>
      </w:r>
      <w:r>
        <w:t xml:space="preserve"> </w:t>
      </w:r>
      <w:r>
        <w:t xml:space="preserve">- Turn off</w:t>
      </w:r>
      <w:r>
        <w:t xml:space="preserve"> </w:t>
      </w:r>
      <w:r>
        <w:t xml:space="preserve">“Automatic Upload”</w:t>
      </w:r>
      <w:r>
        <w:t xml:space="preserve"> </w:t>
      </w:r>
      <w:r>
        <w:t xml:space="preserve">(recommended).</w:t>
      </w:r>
      <w:r>
        <w:t xml:space="preserve"> </w:t>
      </w:r>
      <w:r>
        <w:t xml:space="preserve">- Adjust settings as they suit you.</w:t>
      </w:r>
    </w:p>
    <w:p>
      <w:pPr>
        <w:pStyle w:val="BodyText"/>
      </w:pPr>
      <w:r>
        <w:rPr>
          <w:b/>
          <w:bCs/>
        </w:rPr>
        <w:t xml:space="preserve">Learn how to use iNaturalist to make observations for scientific research.</w:t>
      </w:r>
      <w:r>
        <w:t xml:space="preserve"> </w:t>
      </w:r>
      <w:r>
        <w:t xml:space="preserve">iNaturalist makes documenting samples easy through observations. We will use this to help collect the metadata on our specimens in the upcoming lab. To prepare yourself, please review the following resources.</w:t>
      </w:r>
    </w:p>
    <w:p>
      <w:pPr>
        <w:pStyle w:val="BodyText"/>
      </w:pPr>
      <w:r>
        <w:rPr>
          <w:b/>
          <w:bCs/>
        </w:rPr>
        <w:t xml:space="preserve">Homework Assignment 2: Review videos on how to document fungi.</w:t>
      </w:r>
      <w:r>
        <w:t xml:space="preserve"> </w:t>
      </w:r>
      <w:r>
        <w:t xml:space="preserve">- [ ] [Getting Started] (https://www.inaturalist.org/pages/getting+started)</w:t>
      </w:r>
      <w:r>
        <w:t xml:space="preserve"> </w:t>
      </w:r>
      <w:r>
        <w:t xml:space="preserve">- [ ] [iNaturalist Videos] (https://www.inaturalist.org/pages/video+tutorials)</w:t>
      </w:r>
      <w:r>
        <w:t xml:space="preserve"> </w:t>
      </w:r>
      <w:r>
        <w:t xml:space="preserve">- [ ] [NAMA/FunDiS How To Collect Research Specimens] (https://youtu.be/EgZw37NjxkA)</w:t>
      </w:r>
      <w:r>
        <w:t xml:space="preserve"> </w:t>
      </w:r>
      <w:r>
        <w:t xml:space="preserve">{{ &lt;video https://youtu.be/EgZw37NjxkA &gt;}}</w:t>
      </w:r>
      <w:r>
        <w:t xml:space="preserve"> </w:t>
      </w:r>
      <w:r>
        <w:t xml:space="preserve">- [ ] [FunDiS Photography] (https://fundis.org/get-started/photograph)</w:t>
      </w:r>
    </w:p>
    <w:p>
      <w:pPr>
        <w:pStyle w:val="BodyText"/>
      </w:pPr>
      <w:r>
        <w:t xml:space="preserve">Our protocol will be specific to our project, but will borrow from any/all of the video guides shown above.</w:t>
      </w:r>
    </w:p>
    <w:bookmarkEnd w:id="56"/>
    <w:bookmarkStart w:id="57" w:name="X1455788dff4268325d88f82fa4ef5fe4cdcf16a"/>
    <w:p>
      <w:pPr>
        <w:pStyle w:val="Heading3"/>
      </w:pPr>
      <w:r>
        <w:t xml:space="preserve">Making observations for your mycology course (Myco-Ed)</w:t>
      </w:r>
    </w:p>
    <w:p>
      <w:pPr>
        <w:pStyle w:val="FirstParagraph"/>
      </w:pPr>
      <w:r>
        <w:t xml:space="preserve">To make the best use of iNaturalist as a tool for this course, and the broader MycoEd Project, you need to make quality observations of plant hosts, and the fungal endophyte cultures that come from these plants.</w:t>
      </w:r>
    </w:p>
    <w:p>
      <w:pPr>
        <w:pStyle w:val="BodyText"/>
      </w:pPr>
      <w:r>
        <w:rPr>
          <w:b/>
          <w:bCs/>
        </w:rPr>
        <w:t xml:space="preserve">Required Ingredients</w:t>
      </w:r>
    </w:p>
    <w:p>
      <w:pPr>
        <w:pStyle w:val="BodyText"/>
      </w:pPr>
      <w:r>
        <w:rPr>
          <w:b/>
          <w:bCs/>
        </w:rPr>
        <w:t xml:space="preserve">Observations of Plant Hosts</w:t>
      </w:r>
      <w:r>
        <w:t xml:space="preserve"> </w:t>
      </w:r>
      <w:r>
        <w:t xml:space="preserve">1. Open your iNaturalist Application.</w:t>
      </w:r>
      <w:r>
        <w:t xml:space="preserve"> </w:t>
      </w:r>
      <w:r>
        <w:t xml:space="preserve">2. Make an observation of one host plant by taking a picture of it.</w:t>
      </w:r>
      <w:r>
        <w:t xml:space="preserve"> </w:t>
      </w:r>
      <w:r>
        <w:t xml:space="preserve">a. Find the camera icon in the app and take a picture of your plant.</w:t>
      </w:r>
      <w:r>
        <w:t xml:space="preserve"> </w:t>
      </w:r>
      <w:r>
        <w:t xml:space="preserve">b. Include one field label in an image of the plant. (see examples)</w:t>
      </w:r>
      <w:r>
        <w:t xml:space="preserve"> </w:t>
      </w:r>
      <w:r>
        <w:t xml:space="preserve">c. Take images from multiple perspectives: whole plant, leaves, flowers+fruits, branches, trunk, etc.</w:t>
      </w:r>
      <w:r>
        <w:t xml:space="preserve"> </w:t>
      </w:r>
      <w:r>
        <w:t xml:space="preserve">3. Alternatively, take images on your phone and upload them to iNaturalist. Again, make sure you are including a field label in your images.</w:t>
      </w:r>
      <w:r>
        <w:t xml:space="preserve"> </w:t>
      </w:r>
      <w:r>
        <w:t xml:space="preserve">4. Before saving the observation, add it to your course project using the app.</w:t>
      </w:r>
      <w:r>
        <w:t xml:space="preserve"> </w:t>
      </w:r>
      <w:r>
        <w:t xml:space="preserve">a. Go to</w:t>
      </w:r>
      <w:r>
        <w:t xml:space="preserve"> </w:t>
      </w:r>
      <w:r>
        <w:t xml:space="preserve">“Projects”</w:t>
      </w:r>
      <w:r>
        <w:t xml:space="preserve"> </w:t>
      </w:r>
      <w:r>
        <w:t xml:space="preserve">b. Select the course project.</w:t>
      </w:r>
      <w:r>
        <w:t xml:space="preserve"> </w:t>
      </w:r>
      <w:r>
        <w:t xml:space="preserve">NOTE: You must join the course project before this step. See the third bullet point at the beginning of these instructions.</w:t>
      </w:r>
      <w:r>
        <w:t xml:space="preserve"> </w:t>
      </w:r>
      <w:r>
        <w:t xml:space="preserve">5. Click Done to save your observation.</w:t>
      </w:r>
      <w:r>
        <w:t xml:space="preserve"> </w:t>
      </w:r>
      <w:r>
        <w:t xml:space="preserve">6. Assuming you’ve turned</w:t>
      </w:r>
      <w:r>
        <w:t xml:space="preserve"> </w:t>
      </w:r>
      <w:r>
        <w:t xml:space="preserve">“automatic upload”</w:t>
      </w:r>
      <w:r>
        <w:t xml:space="preserve"> </w:t>
      </w:r>
      <w:r>
        <w:t xml:space="preserve">off, you will need to manually upload your observation. This will appear green on your phone until it is uploaded.</w:t>
      </w:r>
      <w:r>
        <w:t xml:space="preserve"> </w:t>
      </w:r>
      <w:r>
        <w:t xml:space="preserve">7. Double-check your observation online.</w:t>
      </w:r>
      <w:r>
        <w:t xml:space="preserve"> </w:t>
      </w:r>
      <w:r>
        <w:t xml:space="preserve">a. It will appear on your account if it was uploaded correctly.</w:t>
      </w:r>
      <w:r>
        <w:t xml:space="preserve"> </w:t>
      </w:r>
      <w:r>
        <w:t xml:space="preserve">8. Add Myco-Ed ID. This will attach the field label ID number to this host observation.</w:t>
      </w:r>
      <w:r>
        <w:t xml:space="preserve"> </w:t>
      </w:r>
      <w:r>
        <w:t xml:space="preserve">a. Under Observations Fields, on the lower right portion of the page, type</w:t>
      </w:r>
      <w:r>
        <w:t xml:space="preserve"> </w:t>
      </w:r>
      <w:r>
        <w:t xml:space="preserve">“MycoEd”</w:t>
      </w:r>
      <w:r>
        <w:t xml:space="preserve"> </w:t>
      </w:r>
      <w:r>
        <w:t xml:space="preserve">b. Select</w:t>
      </w:r>
      <w:r>
        <w:t xml:space="preserve"> </w:t>
      </w:r>
      <w:r>
        <w:t xml:space="preserve">“MycoEd ID”</w:t>
      </w:r>
      <w:r>
        <w:t xml:space="preserve"> </w:t>
      </w:r>
      <w:r>
        <w:t xml:space="preserve">from the dropdown that appears.</w:t>
      </w:r>
      <w:r>
        <w:t xml:space="preserve"> </w:t>
      </w:r>
      <w:r>
        <w:t xml:space="preserve">c. Add the field label ID number assigned to this host in the blank field under MycoEd ID.</w:t>
      </w:r>
      <w:r>
        <w:t xml:space="preserve"> </w:t>
      </w:r>
      <w:r>
        <w:t xml:space="preserve">d. Click</w:t>
      </w:r>
      <w:r>
        <w:t xml:space="preserve"> </w:t>
      </w:r>
      <w:r>
        <w:t xml:space="preserve">“Add”</w:t>
      </w:r>
      <w:r>
        <w:t xml:space="preserve">.</w:t>
      </w:r>
    </w:p>
    <w:p>
      <w:pPr>
        <w:pStyle w:val="BodyText"/>
      </w:pPr>
      <w:r>
        <w:t xml:space="preserve">Under Project you should see the name for your course project. If not, click on the open field and the course project’s name should appear in the drop-down menu. Select the</w:t>
      </w:r>
    </w:p>
    <w:p>
      <w:pPr>
        <w:pStyle w:val="BodyText"/>
      </w:pPr>
      <w:r>
        <w:rPr>
          <w:b/>
          <w:bCs/>
        </w:rPr>
        <w:t xml:space="preserve">Observations of Fungal Cultures</w:t>
      </w:r>
      <w:r>
        <w:t xml:space="preserve"> </w:t>
      </w:r>
      <w:r>
        <w:t xml:space="preserve">Protocols for making observations of fungal cultures that follow the same steps as above with some added metadata that will go in as</w:t>
      </w:r>
      <w:r>
        <w:t xml:space="preserve"> </w:t>
      </w:r>
      <w:r>
        <w:t xml:space="preserve">“Observation Fields”</w:t>
      </w:r>
      <w:r>
        <w:t xml:space="preserve">.</w:t>
      </w:r>
    </w:p>
    <w:p>
      <w:pPr>
        <w:pStyle w:val="Compact"/>
        <w:numPr>
          <w:ilvl w:val="0"/>
          <w:numId w:val="1042"/>
        </w:numPr>
      </w:pPr>
      <w:r>
        <w:t xml:space="preserve">Open your iNaturalist Application.</w:t>
      </w:r>
    </w:p>
    <w:p>
      <w:pPr>
        <w:pStyle w:val="Compact"/>
        <w:numPr>
          <w:ilvl w:val="1"/>
          <w:numId w:val="1043"/>
        </w:numPr>
      </w:pPr>
      <w:r>
        <w:t xml:space="preserve">Alternatively, take images on your phone and upload them to iNaturalist.</w:t>
      </w:r>
    </w:p>
    <w:p>
      <w:pPr>
        <w:pStyle w:val="Compact"/>
        <w:numPr>
          <w:ilvl w:val="0"/>
          <w:numId w:val="1042"/>
        </w:numPr>
      </w:pPr>
      <w:r>
        <w:t xml:space="preserve">Make an observation of the fungal isolate by taking a picture of it.</w:t>
      </w:r>
    </w:p>
    <w:p>
      <w:pPr>
        <w:pStyle w:val="Compact"/>
        <w:numPr>
          <w:ilvl w:val="1"/>
          <w:numId w:val="1044"/>
        </w:numPr>
      </w:pPr>
      <w:r>
        <w:t xml:space="preserve">Take pictures from the top and bottom, including the label.</w:t>
      </w:r>
    </w:p>
    <w:p>
      <w:pPr>
        <w:pStyle w:val="Compact"/>
        <w:numPr>
          <w:ilvl w:val="0"/>
          <w:numId w:val="1042"/>
        </w:numPr>
      </w:pPr>
      <w:r>
        <w:t xml:space="preserve">Before saving the observation, add it to your course project using the app.</w:t>
      </w:r>
    </w:p>
    <w:p>
      <w:pPr>
        <w:pStyle w:val="Compact"/>
        <w:numPr>
          <w:ilvl w:val="1"/>
          <w:numId w:val="1045"/>
        </w:numPr>
      </w:pPr>
      <w:r>
        <w:t xml:space="preserve">Follow the instructions detailed above.</w:t>
      </w:r>
    </w:p>
    <w:p>
      <w:pPr>
        <w:pStyle w:val="Compact"/>
        <w:numPr>
          <w:ilvl w:val="0"/>
          <w:numId w:val="1042"/>
        </w:numPr>
      </w:pPr>
      <w:r>
        <w:t xml:space="preserve">Click Done to save your observation.</w:t>
      </w:r>
    </w:p>
    <w:p>
      <w:pPr>
        <w:pStyle w:val="Compact"/>
        <w:numPr>
          <w:ilvl w:val="0"/>
          <w:numId w:val="1042"/>
        </w:numPr>
      </w:pPr>
      <w:r>
        <w:t xml:space="preserve">Manually upload your observation. This will appear green on your phone until it is uploaded.</w:t>
      </w:r>
    </w:p>
    <w:p>
      <w:pPr>
        <w:pStyle w:val="Compact"/>
        <w:numPr>
          <w:ilvl w:val="0"/>
          <w:numId w:val="1042"/>
        </w:numPr>
      </w:pPr>
      <w:r>
        <w:t xml:space="preserve">Double-check your observation online.</w:t>
      </w:r>
    </w:p>
    <w:p>
      <w:pPr>
        <w:pStyle w:val="Compact"/>
        <w:numPr>
          <w:ilvl w:val="1"/>
          <w:numId w:val="1046"/>
        </w:numPr>
      </w:pPr>
      <w:r>
        <w:t xml:space="preserve">It will appear on your account if it was uploaded correctly.</w:t>
      </w:r>
    </w:p>
    <w:p>
      <w:pPr>
        <w:pStyle w:val="FirstParagraph"/>
      </w:pPr>
      <w:r>
        <w:rPr>
          <w:b/>
          <w:bCs/>
        </w:rPr>
        <w:t xml:space="preserve">Adding iNaturalist Observation Fields</w:t>
      </w:r>
      <w:r>
        <w:t xml:space="preserve"> </w:t>
      </w:r>
      <w:r>
        <w:t xml:space="preserve">15. Add MycoEd ID. This will attach the field label ID number to this host observation.</w:t>
      </w:r>
      <w:r>
        <w:t xml:space="preserve"> </w:t>
      </w:r>
      <w:r>
        <w:t xml:space="preserve">a. Follow the above directions.</w:t>
      </w:r>
      <w:r>
        <w:t xml:space="preserve"> </w:t>
      </w:r>
      <w:r>
        <w:t xml:space="preserve">b. The format of the MycoEd ID of fungal isolates should be in the form of: MycoEd Host ID_Your Initials_Leaf and Fragment number.</w:t>
      </w:r>
      <w:r>
        <w:t xml:space="preserve"> </w:t>
      </w:r>
      <w:r>
        <w:t xml:space="preserve">Example: MycoEd_004_ABC_2c</w:t>
      </w:r>
      <w:r>
        <w:t xml:space="preserve"> </w:t>
      </w:r>
      <w:r>
        <w:t xml:space="preserve">See: Myco-Ed Module 1.1 - Metadata, under the Sample Naming section</w:t>
      </w:r>
      <w:r>
        <w:t xml:space="preserve"> </w:t>
      </w:r>
      <w:r>
        <w:t xml:space="preserve">16. Add other iNaturalist Observation Fields</w:t>
      </w:r>
      <w:r>
        <w:t xml:space="preserve"> </w:t>
      </w:r>
      <w:r>
        <w:t xml:space="preserve">a. For ITS sequence data from fungal isolates, use DNA Sequence ITS</w:t>
      </w:r>
      <w:r>
        <w:t xml:space="preserve"> </w:t>
      </w:r>
      <w:r>
        <w:t xml:space="preserve">b. To link to the host iNaturalist observation for this fungus, use the Host Observation Observation Field and add the URL to the host observation.</w:t>
      </w:r>
    </w:p>
    <w:bookmarkEnd w:id="57"/>
    <w:bookmarkEnd w:id="58"/>
    <w:bookmarkEnd w:id="59"/>
    <w:bookmarkStart w:id="77" w:name="module-2-fungal-isolation"/>
    <w:p>
      <w:pPr>
        <w:pStyle w:val="Heading1"/>
      </w:pPr>
      <w:r>
        <w:t xml:space="preserve">Module 2: Fungal Isolation</w:t>
      </w:r>
    </w:p>
    <w:bookmarkStart w:id="68" w:name="module-2.1-lab-prep-overview"/>
    <w:p>
      <w:pPr>
        <w:pStyle w:val="Heading2"/>
      </w:pPr>
      <w:r>
        <w:t xml:space="preserve">Module 2.1 – Lab Prep Overview</w:t>
      </w:r>
    </w:p>
    <w:bookmarkStart w:id="67" w:name="X607910f6b5d5ec784b2986740c973a9a0beb010"/>
    <w:p>
      <w:pPr>
        <w:pStyle w:val="Heading3"/>
      </w:pPr>
      <w:r>
        <w:t xml:space="preserve">Instructor Laboratory Preparation Instructions</w:t>
      </w:r>
    </w:p>
    <w:p>
      <w:pPr>
        <w:pStyle w:val="FirstParagraph"/>
      </w:pPr>
      <w:r>
        <w:rPr>
          <w:b/>
          <w:bCs/>
        </w:rPr>
        <w:t xml:space="preserve">Materials:</w:t>
      </w:r>
      <w:r>
        <w:t xml:space="preserve"> </w:t>
      </w:r>
      <w:r>
        <w:t xml:space="preserve">- Cellophane</w:t>
      </w:r>
      <w:r>
        <w:t xml:space="preserve"> </w:t>
      </w:r>
      <w:r>
        <w:t xml:space="preserve">- 100x15mm Petri Dishes</w:t>
      </w:r>
      <w:r>
        <w:t xml:space="preserve"> </w:t>
      </w:r>
      <w:r>
        <w:t xml:space="preserve">- 60x15mm Petri Dishes</w:t>
      </w:r>
      <w:r>
        <w:t xml:space="preserve"> </w:t>
      </w:r>
      <w:r>
        <w:t xml:space="preserve">- Agar, Bacteriological</w:t>
      </w:r>
      <w:r>
        <w:t xml:space="preserve"> </w:t>
      </w:r>
      <w:r>
        <w:t xml:space="preserve">- Potato Dextrose Agar</w:t>
      </w:r>
      <w:r>
        <w:t xml:space="preserve"> </w:t>
      </w:r>
      <w:r>
        <w:t xml:space="preserve">- Alcohol Lamp or Bunsen Burner</w:t>
      </w:r>
      <w:r>
        <w:t xml:space="preserve"> </w:t>
      </w:r>
      <w:r>
        <w:t xml:space="preserve">- Forceps</w:t>
      </w:r>
      <w:r>
        <w:t xml:space="preserve"> </w:t>
      </w:r>
      <w:r>
        <w:t xml:space="preserve">- Scalpel (make sure the handle is metal, this will be flame sterilized, plastic will melt)</w:t>
      </w:r>
    </w:p>
    <w:p>
      <w:pPr>
        <w:pStyle w:val="BodyText"/>
      </w:pPr>
      <w:r>
        <w:rPr>
          <w:b/>
          <w:bCs/>
        </w:rPr>
        <w:t xml:space="preserve">Lab Prep:</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opt/quarto/share/formats/docx/important.png" id="62" name="Picture"/>
                          <pic:cNvPicPr>
                            <a:picLocks noChangeArrowheads="1" noChangeAspect="1"/>
                          </pic:cNvPicPr>
                        </pic:nvPicPr>
                        <pic:blipFill>
                          <a:blip r:embed="rId6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Read all directions and gather all supplies before beginning. Carefully clean your work area with bleach, and/or ethanol.</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opt/quarto/share/formats/docx/warning.png" id="64"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Note that we will be working with fungi, which are generally not harmful to humans, but can cause allergic reactions in some individuals. Always practice good sterile technique and handle all materials with care. If you have any concerns about allergies or sensitivities, please consult with your instructor before beginning the lab.</w:t>
            </w:r>
          </w:p>
          <w:p>
            <w:pPr>
              <w:pStyle w:val="BodyText"/>
            </w:pPr>
            <w:pPr>
              <w:spacing w:after="16"/>
            </w:pPr>
            <w:r>
              <w:t xml:space="preserve">Additionally, we may not be able to work in a laminar flow hood, which increases the risk of contamination. Be extra cautious with sterile technique and be prepared for some contamination in your plates. If you have access to a laminar flow hood, please use it for this lab.</w:t>
            </w:r>
          </w:p>
          <w:p/>
        </w:tc>
      </w:tr>
    </w:tbl>
    <w:p>
      <w:pPr>
        <w:pStyle w:val="BodyText"/>
      </w:pPr>
      <w:r>
        <w:rPr>
          <w:b/>
          <w:bCs/>
        </w:rPr>
        <w:t xml:space="preserve">Potato Dextrose Agar (PDA) Plates:</w:t>
      </w:r>
      <w:r>
        <w:t xml:space="preserve"> </w:t>
      </w:r>
      <w:r>
        <w:t xml:space="preserve">Fungi cultured from leaves on water agar is transferred to nutrient Potato Dextrose Agar (PDA) plates. We use one 60x15 mm Petri dish for each fungal isolate.</w:t>
      </w:r>
    </w:p>
    <w:p>
      <w:pPr>
        <w:pStyle w:val="BodyText"/>
      </w:pPr>
      <w:r>
        <w:rPr>
          <w:b/>
          <w:bCs/>
        </w:rPr>
        <w:t xml:space="preserve">Potato Dextrose Agar Recipe:</w:t>
      </w:r>
      <w:r>
        <w:t xml:space="preserve"> </w:t>
      </w:r>
      <w:r>
        <w:t xml:space="preserve">Suspend 39 grams Agar, Bacteriological in 1000 ml (1 L) distilled water. Heat to boiling to dissolve the medium completely (in most cases, this step can be skipped as autoclaving will dissolve media). Sterilize by autoclaving at 15 lbs pressure (121°C) for 15 minutes.</w:t>
      </w:r>
    </w:p>
    <w:p>
      <w:pPr>
        <w:pStyle w:val="BodyText"/>
      </w:pPr>
      <w:r>
        <w:t xml:space="preserve">When the media is cool enough to handle with autoclave gloves, pour 60x15mm plates in a sterile environment. Do not let it cool too long as the media will solidify. Each 60x15mm plate holds approximately 8 ml media. If plates will be used immediately smaller amounts of media can be poured into plates. If plates will be stored, use larger amounts. Store plates in the original petri dish sleeve in the refrigerator (~4 °C) until use.</w:t>
      </w:r>
    </w:p>
    <w:p>
      <w:pPr>
        <w:pStyle w:val="BodyText"/>
      </w:pPr>
      <w:r>
        <w:rPr>
          <w:b/>
          <w:bCs/>
        </w:rPr>
        <w:t xml:space="preserve">Option: Adding Antibiotics</w:t>
      </w:r>
      <w:r>
        <w:t xml:space="preserve"> </w:t>
      </w:r>
      <w:r>
        <w:t xml:space="preserve">Once your PDA has cooled, you may choose to add antibiotics to the media. Streptomycin (streptomycin sulfate) is commonly used at a concentration of 50mg/L in agar. Add the appropriate amount to your media once cool to the touch and before pouring plates.</w:t>
      </w:r>
    </w:p>
    <w:p>
      <w:pPr>
        <w:pStyle w:val="BodyText"/>
      </w:pPr>
      <w:r>
        <w:rPr>
          <w:b/>
          <w:bCs/>
        </w:rPr>
        <w:t xml:space="preserve">Cellophane Plates:</w:t>
      </w:r>
      <w:r>
        <w:t xml:space="preserve"> </w:t>
      </w:r>
      <w:r>
        <w:t xml:space="preserve">Fungal tissue can be harvested from cellophane plates. Cut cellophane discs slightly smaller than the petri dish so that they lay flat on the PDA media. Using the bottom of the petri dish as a template, draw a circle on the cellophane and cut out discs on the inside of the line.</w:t>
      </w:r>
    </w:p>
    <w:p>
      <w:pPr>
        <w:pStyle w:val="BodyText"/>
      </w:pPr>
      <w:r>
        <w:t xml:space="preserve">Place cellophane discs into an autoclavable container with water. Place each cellophane disc individually into the water and try to stagger them in the water. This staggering step ensures that you can more easily remove the discs from the water. Cover your container with foil and sterilize by autoclaving at 15 lbs. pressure at 121 °C for 15 minutes.</w:t>
      </w:r>
    </w:p>
    <w:p>
      <w:pPr>
        <w:pStyle w:val="BodyText"/>
      </w:pPr>
      <w:r>
        <w:t xml:space="preserve">Working in your sterile environment, place one cellophane disc onto cooled PDA agar in 60x15mm plates. Use sterile forceps to transfer each cellophane disc onto the PDA plate. If you can’t easily remove single discs, try the</w:t>
      </w:r>
      <w:r>
        <w:t xml:space="preserve"> </w:t>
      </w:r>
      <w:r>
        <w:t xml:space="preserve">“slide”</w:t>
      </w:r>
      <w:r>
        <w:t xml:space="preserve"> </w:t>
      </w:r>
      <w:r>
        <w:t xml:space="preserve">technique. Dip your forceps into the container with the discs until you touch a disc. Using the forceps as a probe (not pinched) slide the disc to the side of the container and up the side of the container. Often, you’ll pull out one disc. Sometimes more than one disc will slide up, but it’s usually easy to see the individual discs at this point. You can then use your forceps to pull out one disc. If you grasp one disc with your forceps, you can swirl it in the water in the container to dislodge any other discs that might be attached. Open the lid of the petri dish and lay the cellophane onto the solid agar.</w:t>
      </w:r>
    </w:p>
    <w:p>
      <w:pPr>
        <w:pStyle w:val="BodyText"/>
      </w:pPr>
      <w:r>
        <w:rPr>
          <w:b/>
          <w:bCs/>
        </w:rPr>
        <w:t xml:space="preserve">Disposal:</w:t>
      </w:r>
      <w:r>
        <w:t xml:space="preserve"> </w:t>
      </w:r>
      <w:r>
        <w:t xml:space="preserve">Place all petri dishes in an autoclavable bag and sterilize at 15 lbs pressure (121°C) for 15 minutes. Follow institutional protocol for post-sterilization disposal. Be sure that the disposal of any heavy metals or other chemicals are properly handled.</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opt/quarto/share/formats/docx/important.png" id="66" name="Picture"/>
                          <pic:cNvPicPr>
                            <a:picLocks noChangeArrowheads="1" noChangeAspect="1"/>
                          </pic:cNvPicPr>
                        </pic:nvPicPr>
                        <pic:blipFill>
                          <a:blip r:embed="rId6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Please use the red biohazard bags for disposal of all petri dishes and materials that have come into contact with fungi. This includes gloves, paper towels, kimwipes, and any other materials used during the lab. Do not dispose of these materials in regular trash or recycling bins.</w:t>
            </w:r>
          </w:p>
          <w:p/>
        </w:tc>
      </w:tr>
    </w:tbl>
    <w:bookmarkEnd w:id="67"/>
    <w:bookmarkEnd w:id="68"/>
    <w:bookmarkStart w:id="76" w:name="module-2.2---fungal-isolation"/>
    <w:p>
      <w:pPr>
        <w:pStyle w:val="Heading2"/>
      </w:pPr>
      <w:r>
        <w:t xml:space="preserve">Module 2.2 - Fungal Isolation</w:t>
      </w:r>
    </w:p>
    <w:bookmarkStart w:id="69" w:name="purpose-1"/>
    <w:p>
      <w:pPr>
        <w:pStyle w:val="Heading3"/>
      </w:pPr>
      <w:r>
        <w:t xml:space="preserve">Purpose</w:t>
      </w:r>
    </w:p>
    <w:p>
      <w:pPr>
        <w:pStyle w:val="FirstParagraph"/>
      </w:pPr>
      <w:r>
        <w:t xml:space="preserve">This lab will introduce you to sterile technique, culturing fungi, isolating cultures, and documenting fungal growth.</w:t>
      </w:r>
    </w:p>
    <w:bookmarkEnd w:id="69"/>
    <w:bookmarkStart w:id="70" w:name="introduction-2"/>
    <w:p>
      <w:pPr>
        <w:pStyle w:val="Heading3"/>
      </w:pPr>
      <w:r>
        <w:t xml:space="preserve">Introduction</w:t>
      </w:r>
    </w:p>
    <w:p>
      <w:pPr>
        <w:pStyle w:val="FirstParagraph"/>
      </w:pPr>
      <w:r>
        <w:t xml:space="preserve">In the previous lab, we started the process of sampling fungal endophytes. We documented the host plant using iNaturalist and then sampled foliar tissues from the plants. These foliar tissues were transported to the lab, surface sterilized to remove any external contaminants, and dissected. The dissected tissues were plated onto water agar plates, sealed, and labeled.</w:t>
      </w:r>
    </w:p>
    <w:p>
      <w:pPr>
        <w:pStyle w:val="BodyText"/>
      </w:pPr>
      <w:r>
        <w:t xml:space="preserve">Today, we will isolate, or subculture, these fungi onto PDA agar (Potato Dextrose Agar). This nutrient agar will allow for fungal growth. We will then measure the growth rate of each individual fungal isolate.</w:t>
      </w:r>
    </w:p>
    <w:p>
      <w:pPr>
        <w:pStyle w:val="BodyText"/>
      </w:pPr>
      <w:r>
        <w:t xml:space="preserve">This project is part of the Myco-Ed Fungal Genomics Education Project. The goal of this long-term research project is to develop annotated genomes of fungal endophytes to better understand their ecology and how they impact their host plants.</w:t>
      </w:r>
    </w:p>
    <w:bookmarkEnd w:id="70"/>
    <w:bookmarkStart w:id="71" w:name="learning-goals-1"/>
    <w:p>
      <w:pPr>
        <w:pStyle w:val="Heading3"/>
      </w:pPr>
      <w:r>
        <w:t xml:space="preserve">Learning Goals</w:t>
      </w:r>
    </w:p>
    <w:p>
      <w:pPr>
        <w:pStyle w:val="Compact"/>
        <w:numPr>
          <w:ilvl w:val="0"/>
          <w:numId w:val="1047"/>
        </w:numPr>
      </w:pPr>
      <w:r>
        <w:t xml:space="preserve">Practice sterile technique</w:t>
      </w:r>
    </w:p>
    <w:p>
      <w:pPr>
        <w:pStyle w:val="Compact"/>
        <w:numPr>
          <w:ilvl w:val="0"/>
          <w:numId w:val="1047"/>
        </w:numPr>
      </w:pPr>
      <w:r>
        <w:t xml:space="preserve">Culture and isolate fungi</w:t>
      </w:r>
    </w:p>
    <w:p>
      <w:pPr>
        <w:pStyle w:val="Compact"/>
        <w:numPr>
          <w:ilvl w:val="0"/>
          <w:numId w:val="1047"/>
        </w:numPr>
      </w:pPr>
      <w:r>
        <w:t xml:space="preserve">Investigate fungal endophytes</w:t>
      </w:r>
    </w:p>
    <w:p>
      <w:pPr>
        <w:pStyle w:val="Compact"/>
        <w:numPr>
          <w:ilvl w:val="0"/>
          <w:numId w:val="1047"/>
        </w:numPr>
      </w:pPr>
      <w:r>
        <w:t xml:space="preserve">Characterize morphology of fungal cultures</w:t>
      </w:r>
    </w:p>
    <w:p>
      <w:pPr>
        <w:pStyle w:val="Compact"/>
        <w:numPr>
          <w:ilvl w:val="0"/>
          <w:numId w:val="1047"/>
        </w:numPr>
      </w:pPr>
      <w:r>
        <w:t xml:space="preserve">Create data spreadsheets</w:t>
      </w:r>
    </w:p>
    <w:p>
      <w:pPr>
        <w:pStyle w:val="Compact"/>
        <w:numPr>
          <w:ilvl w:val="0"/>
          <w:numId w:val="1047"/>
        </w:numPr>
      </w:pPr>
      <w:r>
        <w:t xml:space="preserve">Isolate fungi for molecular extraction and analysis</w:t>
      </w:r>
    </w:p>
    <w:p>
      <w:pPr>
        <w:pStyle w:val="Compact"/>
        <w:numPr>
          <w:ilvl w:val="0"/>
          <w:numId w:val="1047"/>
        </w:numPr>
      </w:pPr>
      <w:r>
        <w:t xml:space="preserve">Create Growth Curves</w:t>
      </w:r>
    </w:p>
    <w:bookmarkEnd w:id="71"/>
    <w:bookmarkStart w:id="72" w:name="student-lab-supplies"/>
    <w:p>
      <w:pPr>
        <w:pStyle w:val="Heading3"/>
      </w:pPr>
      <w:r>
        <w:t xml:space="preserve">Student Lab Supplies</w:t>
      </w:r>
    </w:p>
    <w:p>
      <w:pPr>
        <w:pStyle w:val="Compact"/>
        <w:numPr>
          <w:ilvl w:val="0"/>
          <w:numId w:val="1048"/>
        </w:numPr>
      </w:pPr>
      <w:r>
        <w:t xml:space="preserve">Fungal Endophyte Sample Plates</w:t>
      </w:r>
    </w:p>
    <w:p>
      <w:pPr>
        <w:pStyle w:val="Compact"/>
        <w:numPr>
          <w:ilvl w:val="0"/>
          <w:numId w:val="1048"/>
        </w:numPr>
      </w:pPr>
      <w:r>
        <w:t xml:space="preserve">PDA Plates (60x15mm)</w:t>
      </w:r>
    </w:p>
    <w:p>
      <w:pPr>
        <w:pStyle w:val="Compact"/>
        <w:numPr>
          <w:ilvl w:val="0"/>
          <w:numId w:val="1048"/>
        </w:numPr>
      </w:pPr>
      <w:r>
        <w:t xml:space="preserve">70% ethanol</w:t>
      </w:r>
    </w:p>
    <w:p>
      <w:pPr>
        <w:pStyle w:val="Compact"/>
        <w:numPr>
          <w:ilvl w:val="0"/>
          <w:numId w:val="1048"/>
        </w:numPr>
      </w:pPr>
      <w:r>
        <w:t xml:space="preserve">Kimwipes and Paper Towels</w:t>
      </w:r>
    </w:p>
    <w:p>
      <w:pPr>
        <w:pStyle w:val="Compact"/>
        <w:numPr>
          <w:ilvl w:val="0"/>
          <w:numId w:val="1048"/>
        </w:numPr>
      </w:pPr>
      <w:r>
        <w:t xml:space="preserve">Parafilm</w:t>
      </w:r>
    </w:p>
    <w:p>
      <w:pPr>
        <w:pStyle w:val="Compact"/>
        <w:numPr>
          <w:ilvl w:val="0"/>
          <w:numId w:val="1048"/>
        </w:numPr>
      </w:pPr>
      <w:r>
        <w:t xml:space="preserve">Fine Tip Sharpie</w:t>
      </w:r>
    </w:p>
    <w:p>
      <w:pPr>
        <w:pStyle w:val="Compact"/>
        <w:numPr>
          <w:ilvl w:val="0"/>
          <w:numId w:val="1048"/>
        </w:numPr>
      </w:pPr>
      <w:r>
        <w:t xml:space="preserve">Flame Source for Sterilization (alcohol lamp or Bunsen burner)</w:t>
      </w:r>
    </w:p>
    <w:p>
      <w:pPr>
        <w:pStyle w:val="Compact"/>
        <w:numPr>
          <w:ilvl w:val="0"/>
          <w:numId w:val="1048"/>
        </w:numPr>
      </w:pPr>
      <w:r>
        <w:t xml:space="preserve">Scalpel</w:t>
      </w:r>
    </w:p>
    <w:p>
      <w:pPr>
        <w:pStyle w:val="Compact"/>
        <w:numPr>
          <w:ilvl w:val="0"/>
          <w:numId w:val="1048"/>
        </w:numPr>
      </w:pPr>
      <w:r>
        <w:t xml:space="preserve">Ruler</w:t>
      </w:r>
    </w:p>
    <w:p>
      <w:pPr>
        <w:pStyle w:val="Compact"/>
        <w:numPr>
          <w:ilvl w:val="0"/>
          <w:numId w:val="1048"/>
        </w:numPr>
      </w:pPr>
      <w:r>
        <w:t xml:space="preserve">Forceps</w:t>
      </w:r>
    </w:p>
    <w:bookmarkEnd w:id="72"/>
    <w:bookmarkStart w:id="75" w:name="instructions-1"/>
    <w:p>
      <w:pPr>
        <w:pStyle w:val="Heading3"/>
      </w:pPr>
      <w:r>
        <w:t xml:space="preserve">Instructions</w:t>
      </w:r>
    </w:p>
    <w:bookmarkStart w:id="73" w:name="X2a686204ef2636cfa94f5241192951a8a671134"/>
    <w:p>
      <w:pPr>
        <w:pStyle w:val="Heading4"/>
      </w:pPr>
      <w:r>
        <w:t xml:space="preserve">Part I - Subculturing Fungal Endophytes into Fungal Isolates</w:t>
      </w:r>
    </w:p>
    <w:p>
      <w:pPr>
        <w:pStyle w:val="FirstParagraph"/>
      </w:pPr>
      <w:r>
        <w:t xml:space="preserve">Fungal cultures usually emerge as white fuzz from your leaf discs, however, the hyphae might be pigmented, such as a brown or greenish color. Figure 1 depicts the fungal hyphae in brown and blue emerging from the green leaf tissue. The fungi are utilizing the nutrients available in the leaf tissue for growth as water agar does not contain nutrients. To promote the growth necessary for downstream analyses, it is essential to transfer the fungi to a growth medium that contains nutrients. For our exercise we are using Potato Dextrose Agar (PDA) as nutrient media. These are smaller petri dishes and the media has a yellowish tint (compared to the larger petri dishes containing the clear, or whitish, water agar from your initial isolation). This transfer step also allows for the separation of each fungal isolate to ensure pure cultures.</w:t>
      </w:r>
    </w:p>
    <w:p>
      <w:pPr>
        <w:pStyle w:val="BodyText"/>
      </w:pPr>
      <w:r>
        <w:t xml:space="preserve">Fungal growth from the leaf cuttings may occur over the span of a few weeks, so you may have to transfer several times. Your fungal cultures will be most successful if you transfer them within a few days (1-3) from emergence or detection.</w:t>
      </w:r>
    </w:p>
    <w:p>
      <w:pPr>
        <w:pStyle w:val="Compact"/>
        <w:numPr>
          <w:ilvl w:val="0"/>
          <w:numId w:val="1049"/>
        </w:numPr>
      </w:pPr>
      <w:r>
        <w:t xml:space="preserve">Practice Sterile Technique. Wear gloves. Clean work surface with disinfectant. If available, wipe surfaces with 70% ethanol. Choose a working location with the least amount of airflow to prevent contamination. Decrease the potential of airborne contaminants falling onto your workspace or into your petri dishes.</w:t>
      </w:r>
    </w:p>
    <w:p>
      <w:pPr>
        <w:pStyle w:val="Compact"/>
        <w:numPr>
          <w:ilvl w:val="0"/>
          <w:numId w:val="1049"/>
        </w:numPr>
      </w:pPr>
      <w:r>
        <w:t xml:space="preserve">Label a PDA petri dish with the sample number and date for each isolate (described in Module 1.1 - Metadata). Always label along the bottom edge. This ensures the label stays with the fungus, even if the top lid falls off. Label the edge of the plate because you don’t want to obscure light transmission through the plate. Also, mark lines on the bottom of the plate as shown in Figure 2 to record the growth rate. Be sure to transfer only one fungal isolate to each PDA petri dish.</w:t>
      </w:r>
    </w:p>
    <w:p>
      <w:pPr>
        <w:pStyle w:val="Compact"/>
        <w:numPr>
          <w:ilvl w:val="0"/>
          <w:numId w:val="1049"/>
        </w:numPr>
      </w:pPr>
      <w:r>
        <w:t xml:space="preserve">Use a stefilized scalpel.</w:t>
      </w:r>
    </w:p>
    <w:p>
      <w:pPr>
        <w:pStyle w:val="Compact"/>
        <w:numPr>
          <w:ilvl w:val="0"/>
          <w:numId w:val="1049"/>
        </w:numPr>
      </w:pPr>
      <w:r>
        <w:t xml:space="preserve">Make a</w:t>
      </w:r>
      <w:r>
        <w:t xml:space="preserve"> </w:t>
      </w:r>
      <w:r>
        <w:t xml:space="preserve">“plug”</w:t>
      </w:r>
      <w:r>
        <w:t xml:space="preserve">. Cut a small chunk of water agar containing hyphae of target isolate using a sterilized scalpel. Transfer this plug of agar and hyphae to the PDA plate. Ideally, you will have the least amount of agar transferred to the new petri dish.</w:t>
      </w:r>
    </w:p>
    <w:p>
      <w:pPr>
        <w:pStyle w:val="Compact"/>
        <w:numPr>
          <w:ilvl w:val="1"/>
          <w:numId w:val="1050"/>
        </w:numPr>
      </w:pPr>
      <w:r>
        <w:t xml:space="preserve">Work quickly and cleanly and consider your technique to prevent contamination. Remove Parafilm from the water agar plate.</w:t>
      </w:r>
    </w:p>
    <w:p>
      <w:pPr>
        <w:pStyle w:val="Compact"/>
        <w:numPr>
          <w:ilvl w:val="1"/>
          <w:numId w:val="1050"/>
        </w:numPr>
      </w:pPr>
      <w:r>
        <w:t xml:space="preserve">Tilt or lift the lid of the water agar petri dish as little as possible, try to keep the lid covering or hovering over the plate to prevent airborne contaminants.</w:t>
      </w:r>
    </w:p>
    <w:p>
      <w:pPr>
        <w:pStyle w:val="Compact"/>
        <w:numPr>
          <w:ilvl w:val="1"/>
          <w:numId w:val="1050"/>
        </w:numPr>
      </w:pPr>
      <w:r>
        <w:t xml:space="preserve">Using a sterile scalpel remove the chunk of agar from the target fungal isolate.</w:t>
      </w:r>
    </w:p>
    <w:p>
      <w:pPr>
        <w:pStyle w:val="Compact"/>
        <w:numPr>
          <w:ilvl w:val="1"/>
          <w:numId w:val="1050"/>
        </w:numPr>
      </w:pPr>
      <w:r>
        <w:t xml:space="preserve">Replace the lid of the water agar.</w:t>
      </w:r>
    </w:p>
    <w:p>
      <w:pPr>
        <w:pStyle w:val="Compact"/>
        <w:numPr>
          <w:ilvl w:val="1"/>
          <w:numId w:val="1050"/>
        </w:numPr>
      </w:pPr>
      <w:r>
        <w:t xml:space="preserve">Open the PDA petri dish lid by slightly tilting the lid, or lifting the lid straight up. Place the agar chunk into the middle (or as mid-plate as possible) of the PDA petri dish. The agar will likely stick to the scalpel, so do your best to remove the chunk without contamination.</w:t>
      </w:r>
    </w:p>
    <w:p>
      <w:pPr>
        <w:pStyle w:val="Compact"/>
        <w:numPr>
          <w:ilvl w:val="1"/>
          <w:numId w:val="1050"/>
        </w:numPr>
      </w:pPr>
      <w:r>
        <w:t xml:space="preserve">Close the lid of the PDA petri dish lid as quickly as possible. Seal with parafilm.</w:t>
      </w:r>
    </w:p>
    <w:bookmarkEnd w:id="73"/>
    <w:bookmarkStart w:id="74" w:name="part-ii-measuring-growth-rates"/>
    <w:p>
      <w:pPr>
        <w:pStyle w:val="Heading4"/>
      </w:pPr>
      <w:r>
        <w:t xml:space="preserve">Part II – Measuring Growth Rates</w:t>
      </w:r>
    </w:p>
    <w:p>
      <w:pPr>
        <w:pStyle w:val="Compact"/>
        <w:numPr>
          <w:ilvl w:val="0"/>
          <w:numId w:val="1051"/>
        </w:numPr>
      </w:pPr>
      <w:r>
        <w:t xml:space="preserve">Design a data sheet to record growth.</w:t>
      </w:r>
    </w:p>
    <w:p>
      <w:pPr>
        <w:pStyle w:val="Compact"/>
        <w:numPr>
          <w:ilvl w:val="0"/>
          <w:numId w:val="1051"/>
        </w:numPr>
      </w:pPr>
      <w:r>
        <w:t xml:space="preserve">On the bottom of the plate, trace the edge of your fungal culture using a fine-tip sharpie (Figures 3 and 4).</w:t>
      </w:r>
    </w:p>
    <w:p>
      <w:pPr>
        <w:pStyle w:val="Compact"/>
        <w:numPr>
          <w:ilvl w:val="0"/>
          <w:numId w:val="1051"/>
        </w:numPr>
      </w:pPr>
      <w:r>
        <w:t xml:space="preserve">Measure, in mm, new growth at each of the eight edges along the lines (Figures 3 and 4)</w:t>
      </w:r>
    </w:p>
    <w:p>
      <w:pPr>
        <w:pStyle w:val="Compact"/>
        <w:numPr>
          <w:ilvl w:val="0"/>
          <w:numId w:val="1051"/>
        </w:numPr>
      </w:pPr>
      <w:r>
        <w:t xml:space="preserve">Average the eight measurements to get the average growth (Table 1).</w:t>
      </w:r>
    </w:p>
    <w:p>
      <w:pPr>
        <w:pStyle w:val="FirstParagraph"/>
      </w:pPr>
      <w:r>
        <w:rPr>
          <w:b/>
          <w:bCs/>
        </w:rPr>
        <w:t xml:space="preserve">Table 1: Daily Growth Average</w:t>
      </w:r>
    </w:p>
    <w:p>
      <w:pPr>
        <w:pStyle w:val="TableCaption"/>
      </w:pPr>
      <w:r>
        <w:t xml:space="preserve">Table 1. Daily Growth Average</w:t>
      </w:r>
    </w:p>
    <w:tbl>
      <w:tblPr>
        <w:tblStyle w:val="Table"/>
        <w:tblW w:type="auto" w:w="0"/>
        <w:tblLook w:firstRow="1" w:lastRow="0" w:firstColumn="0" w:lastColumn="0" w:noHBand="0" w:noVBand="0" w:val="0020"/>
        <w:tblCaption w:val="Table 1. Daily Growth Average"/>
      </w:tblPr>
      <w:tblGrid>
        <w:gridCol w:w="3960"/>
        <w:gridCol w:w="3960"/>
      </w:tblGrid>
      <w:tr>
        <w:trPr>
          <w:tblHeader w:val="on"/>
        </w:trPr>
        <w:tc>
          <w:tcPr/>
          <w:p>
            <w:pPr>
              <w:pStyle w:val="Compact"/>
            </w:pPr>
            <w:r>
              <w:t xml:space="preserve">Measurement</w:t>
            </w:r>
          </w:p>
        </w:tc>
        <w:tc>
          <w:tcPr/>
          <w:p>
            <w:pPr>
              <w:pStyle w:val="Compact"/>
            </w:pPr>
            <w:r>
              <w:t xml:space="preserve">Value</w:t>
            </w:r>
          </w:p>
        </w:tc>
      </w:tr>
      <w:tr>
        <w:tc>
          <w:tcPr/>
          <w:p>
            <w:pPr>
              <w:pStyle w:val="Compact"/>
            </w:pPr>
            <w:r>
              <w:t xml:space="preserve">1</w:t>
            </w:r>
          </w:p>
        </w:tc>
        <w:tc>
          <w:tcPr/>
          <w:p>
            <w:pPr>
              <w:pStyle w:val="Compact"/>
            </w:pPr>
            <w:r>
              <w:t xml:space="preserve">3 mm</w:t>
            </w:r>
          </w:p>
        </w:tc>
      </w:tr>
      <w:tr>
        <w:tc>
          <w:tcPr/>
          <w:p>
            <w:pPr>
              <w:pStyle w:val="Compact"/>
            </w:pPr>
            <w:r>
              <w:t xml:space="preserve">2</w:t>
            </w:r>
          </w:p>
        </w:tc>
        <w:tc>
          <w:tcPr/>
          <w:p>
            <w:pPr>
              <w:pStyle w:val="Compact"/>
            </w:pPr>
            <w:r>
              <w:t xml:space="preserve">2.5 mm</w:t>
            </w:r>
          </w:p>
        </w:tc>
      </w:tr>
      <w:tr>
        <w:tc>
          <w:tcPr/>
          <w:p>
            <w:pPr>
              <w:pStyle w:val="Compact"/>
            </w:pPr>
            <w:r>
              <w:t xml:space="preserve">3</w:t>
            </w:r>
          </w:p>
        </w:tc>
        <w:tc>
          <w:tcPr/>
          <w:p>
            <w:pPr>
              <w:pStyle w:val="Compact"/>
            </w:pPr>
            <w:r>
              <w:t xml:space="preserve">2.7 mm</w:t>
            </w:r>
          </w:p>
        </w:tc>
      </w:tr>
      <w:tr>
        <w:tc>
          <w:tcPr/>
          <w:p>
            <w:pPr>
              <w:pStyle w:val="Compact"/>
            </w:pPr>
            <w:r>
              <w:t xml:space="preserve">4</w:t>
            </w:r>
          </w:p>
        </w:tc>
        <w:tc>
          <w:tcPr/>
          <w:p>
            <w:pPr>
              <w:pStyle w:val="Compact"/>
            </w:pPr>
            <w:r>
              <w:t xml:space="preserve">1.8 mm</w:t>
            </w:r>
          </w:p>
        </w:tc>
      </w:tr>
      <w:tr>
        <w:tc>
          <w:tcPr/>
          <w:p>
            <w:pPr>
              <w:pStyle w:val="Compact"/>
            </w:pPr>
            <w:r>
              <w:t xml:space="preserve">5</w:t>
            </w:r>
          </w:p>
        </w:tc>
        <w:tc>
          <w:tcPr/>
          <w:p>
            <w:pPr>
              <w:pStyle w:val="Compact"/>
            </w:pPr>
            <w:r>
              <w:t xml:space="preserve">3.1 mm</w:t>
            </w:r>
          </w:p>
        </w:tc>
      </w:tr>
      <w:tr>
        <w:tc>
          <w:tcPr/>
          <w:p>
            <w:pPr>
              <w:pStyle w:val="Compact"/>
            </w:pPr>
            <w:r>
              <w:t xml:space="preserve">6</w:t>
            </w:r>
          </w:p>
        </w:tc>
        <w:tc>
          <w:tcPr/>
          <w:p>
            <w:pPr>
              <w:pStyle w:val="Compact"/>
            </w:pPr>
            <w:r>
              <w:t xml:space="preserve">2.2 mm</w:t>
            </w:r>
          </w:p>
        </w:tc>
      </w:tr>
      <w:tr>
        <w:tc>
          <w:tcPr/>
          <w:p>
            <w:pPr>
              <w:pStyle w:val="Compact"/>
            </w:pPr>
            <w:r>
              <w:t xml:space="preserve">7</w:t>
            </w:r>
          </w:p>
        </w:tc>
        <w:tc>
          <w:tcPr/>
          <w:p>
            <w:pPr>
              <w:pStyle w:val="Compact"/>
            </w:pPr>
            <w:r>
              <w:t xml:space="preserve">2.6 mm</w:t>
            </w:r>
          </w:p>
        </w:tc>
      </w:tr>
      <w:tr>
        <w:tc>
          <w:tcPr/>
          <w:p>
            <w:pPr>
              <w:pStyle w:val="Compact"/>
            </w:pPr>
            <w:r>
              <w:t xml:space="preserve">8</w:t>
            </w:r>
          </w:p>
        </w:tc>
        <w:tc>
          <w:tcPr/>
          <w:p>
            <w:pPr>
              <w:pStyle w:val="Compact"/>
            </w:pPr>
            <w:r>
              <w:t xml:space="preserve">2.1 mm</w:t>
            </w:r>
          </w:p>
        </w:tc>
      </w:tr>
      <w:tr>
        <w:tc>
          <w:tcPr/>
          <w:p>
            <w:pPr>
              <w:pStyle w:val="Compact"/>
            </w:pPr>
            <w:r>
              <w:t xml:space="preserve">Average</w:t>
            </w:r>
          </w:p>
        </w:tc>
        <w:tc>
          <w:tcPr/>
          <w:p>
            <w:pPr>
              <w:pStyle w:val="Compact"/>
            </w:pPr>
            <w:r>
              <w:t xml:space="preserve">2.5 mm</w:t>
            </w:r>
          </w:p>
        </w:tc>
      </w:tr>
    </w:tbl>
    <w:p>
      <w:pPr>
        <w:pStyle w:val="Compact"/>
        <w:numPr>
          <w:ilvl w:val="0"/>
          <w:numId w:val="1052"/>
        </w:numPr>
      </w:pPr>
      <w:r>
        <w:t xml:space="preserve">Continue to measure average growth in mm 7 days from plating (Figure 4).</w:t>
      </w:r>
    </w:p>
    <w:p>
      <w:pPr>
        <w:pStyle w:val="Compact"/>
        <w:numPr>
          <w:ilvl w:val="0"/>
          <w:numId w:val="1052"/>
        </w:numPr>
      </w:pPr>
      <w:r>
        <w:t xml:space="preserve">Calculate the average growth rate (distance/time).</w:t>
      </w:r>
    </w:p>
    <w:p>
      <w:pPr>
        <w:pStyle w:val="Compact"/>
        <w:numPr>
          <w:ilvl w:val="0"/>
          <w:numId w:val="1052"/>
        </w:numPr>
      </w:pPr>
      <w:r>
        <w:t xml:space="preserve">Plot a graph of your fungal isolate(s) growth rate.</w:t>
      </w:r>
    </w:p>
    <w:p>
      <w:pPr>
        <w:pStyle w:val="Compact"/>
        <w:numPr>
          <w:ilvl w:val="0"/>
          <w:numId w:val="1052"/>
        </w:numPr>
      </w:pPr>
      <w:r>
        <w:t xml:space="preserve">Submit images and your data sheet and a graph of growth rates in your lab blog post for this project. Please take images to add to your blog post.</w:t>
      </w:r>
    </w:p>
    <w:bookmarkEnd w:id="74"/>
    <w:bookmarkEnd w:id="75"/>
    <w:bookmarkEnd w:id="76"/>
    <w:bookmarkEnd w:id="77"/>
    <w:bookmarkStart w:id="85" w:name="module-3-phenotypic-assays"/>
    <w:p>
      <w:pPr>
        <w:pStyle w:val="Heading1"/>
      </w:pPr>
      <w:r>
        <w:t xml:space="preserve">Module 3: Phenotypic Assays</w:t>
      </w:r>
    </w:p>
    <w:bookmarkStart w:id="79" w:name="module-3.1-phenotypic-assays"/>
    <w:p>
      <w:pPr>
        <w:pStyle w:val="Heading2"/>
      </w:pPr>
      <w:r>
        <w:t xml:space="preserve">Module 3.1 – Phenotypic Assays</w:t>
      </w:r>
    </w:p>
    <w:bookmarkStart w:id="78" w:name="X7ceddf16062824a3bde6cd0475f549d1fd9a5ed"/>
    <w:p>
      <w:pPr>
        <w:pStyle w:val="Heading3"/>
      </w:pPr>
      <w:r>
        <w:t xml:space="preserve">Instructor Laboratory Preparation Instructions</w:t>
      </w:r>
    </w:p>
    <w:p>
      <w:pPr>
        <w:pStyle w:val="FirstParagraph"/>
      </w:pPr>
      <w:r>
        <w:rPr>
          <w:b/>
          <w:bCs/>
        </w:rPr>
        <w:t xml:space="preserve">Materials and Equipment:</w:t>
      </w:r>
      <w:r>
        <w:t xml:space="preserve"> </w:t>
      </w:r>
      <w:r>
        <w:t xml:space="preserve">- Autoclave</w:t>
      </w:r>
      <w:r>
        <w:t xml:space="preserve"> </w:t>
      </w:r>
      <w:r>
        <w:t xml:space="preserve">- Laminar Flow Hood (if available)</w:t>
      </w:r>
      <w:r>
        <w:t xml:space="preserve"> </w:t>
      </w:r>
      <w:r>
        <w:t xml:space="preserve">- 60x15mm Petri Dishes</w:t>
      </w:r>
      <w:r>
        <w:t xml:space="preserve"> </w:t>
      </w:r>
      <w:r>
        <w:t xml:space="preserve">- Agar, Bacteriological</w:t>
      </w:r>
      <w:r>
        <w:t xml:space="preserve"> </w:t>
      </w:r>
      <w:r>
        <w:t xml:space="preserve">- Potato Dextrose Agar</w:t>
      </w:r>
      <w:r>
        <w:t xml:space="preserve"> </w:t>
      </w:r>
      <w:r>
        <w:t xml:space="preserve">- Zinc Sulfate</w:t>
      </w:r>
      <w:r>
        <w:t xml:space="preserve"> </w:t>
      </w:r>
      <w:r>
        <w:t xml:space="preserve">- Forceps</w:t>
      </w:r>
      <w:r>
        <w:t xml:space="preserve"> </w:t>
      </w:r>
      <w:r>
        <w:t xml:space="preserve">- Scalpel (sterilized)</w:t>
      </w:r>
    </w:p>
    <w:p>
      <w:pPr>
        <w:pStyle w:val="BodyText"/>
      </w:pPr>
      <w:r>
        <w:rPr>
          <w:b/>
          <w:bCs/>
        </w:rPr>
        <w:t xml:space="preserve">Potato Dextrose Agar (PDA) with Zn Plates for Zn Stress Assay:</w:t>
      </w:r>
      <w:r>
        <w:t xml:space="preserve"> </w:t>
      </w:r>
      <w:r>
        <w:t xml:space="preserve">Suspend 39 grams Potato Dextrose Agar in 1000 ml (1 L) distilled water (or follow the directions on the bottle label). Add the appropriate amount of Zn sulfate to obtain concentrations of 1 mM Zn and 10 mM Zn in the media bottle. Heat to boiling to dissolve the medium completely (in most cases, this step can be skipped as autoclaving will dissolve media). Sterilize by autoclaving at 15 lbs pressure (121°C) for 15 minutes.</w:t>
      </w:r>
    </w:p>
    <w:p>
      <w:pPr>
        <w:pStyle w:val="BodyText"/>
      </w:pPr>
      <w:r>
        <w:rPr>
          <w:b/>
          <w:bCs/>
        </w:rPr>
        <w:t xml:space="preserve">(PDA) Plates for Temperature Assay:</w:t>
      </w:r>
      <w:r>
        <w:t xml:space="preserve"> </w:t>
      </w:r>
      <w:r>
        <w:t xml:space="preserve">Suspend 39 grams Potato Dextrose Agar in 1000 ml (1 L) distilled water (or follow the directions on bottle label). Heat to boiling to dissolve the medium completely (in most cases, this step can be skipped as autoclaving will dissolve media). Sterilize by autoclaving at 15 lbs pressure (121°C) for 15 minutes.</w:t>
      </w:r>
    </w:p>
    <w:p>
      <w:pPr>
        <w:pStyle w:val="BodyText"/>
      </w:pPr>
      <w:r>
        <w:t xml:space="preserve">When the media is cool enough to handle with autoclave gloves, pour 60x15 mm plates in a sterile environment. Do not let it cool too long before pouring as the media will solidify. Each 60x15 mm plate holds approximately 8 mL of media. If plates will be used immediately smaller amounts of media can be poured into plates. If plates will be stored, use larger amounts. Store plates in original Petri dish sleeve in refrigerator (~4 °C) until use.</w:t>
      </w:r>
    </w:p>
    <w:p>
      <w:pPr>
        <w:pStyle w:val="BodyText"/>
      </w:pPr>
      <w:r>
        <w:t xml:space="preserve">Working in your sterile environment, place one cellophane disc onto cooled PDA agar in 60x15mm plates. Use sterile forceps to transfer each cellophane disc onto the PDA plate. If you can’t easily remove single discs, try the</w:t>
      </w:r>
      <w:r>
        <w:t xml:space="preserve"> </w:t>
      </w:r>
      <w:r>
        <w:t xml:space="preserve">“slide”</w:t>
      </w:r>
      <w:r>
        <w:t xml:space="preserve"> </w:t>
      </w:r>
      <w:r>
        <w:t xml:space="preserve">technique. Dip your forceps into the container with the discs until you touch a disc. Using the forceps as a probe (not pinched) slide the disc to the side of the container and up the side of the container. Often, you’ll pull out one disc. Sometimes more than one disc will slide up, but it’s usually easy to see the individual discs at this point. You can then use your forceps to pull out one disc. If you grasp one disc with your forceps, you can swirl it in the water in the container to dislodge any other discs that might be attached. Open the lid of the Petri dish and lay the cellophane onto the solid agar.</w:t>
      </w:r>
    </w:p>
    <w:bookmarkEnd w:id="78"/>
    <w:bookmarkEnd w:id="79"/>
    <w:bookmarkStart w:id="84" w:name="module-3.2-phenotypic-assays"/>
    <w:p>
      <w:pPr>
        <w:pStyle w:val="Heading2"/>
      </w:pPr>
      <w:r>
        <w:t xml:space="preserve">Module 3.2 – Phenotypic Assays</w:t>
      </w:r>
    </w:p>
    <w:bookmarkStart w:id="80" w:name="phenotypic-assays"/>
    <w:p>
      <w:pPr>
        <w:pStyle w:val="Heading3"/>
      </w:pPr>
      <w:r>
        <w:t xml:space="preserve">Phenotypic Assays</w:t>
      </w:r>
    </w:p>
    <w:p>
      <w:pPr>
        <w:pStyle w:val="FirstParagraph"/>
      </w:pPr>
      <w:r>
        <w:rPr>
          <w:b/>
          <w:bCs/>
        </w:rPr>
        <w:t xml:space="preserve">Objectives:</w:t>
      </w:r>
      <w:r>
        <w:t xml:space="preserve"> </w:t>
      </w:r>
      <w:r>
        <w:t xml:space="preserve">1. Determine how fungal isolates react to environmental stressors</w:t>
      </w:r>
    </w:p>
    <w:p>
      <w:pPr>
        <w:pStyle w:val="BodyText"/>
      </w:pPr>
      <w:r>
        <w:rPr>
          <w:b/>
          <w:bCs/>
        </w:rPr>
        <w:t xml:space="preserve">Materials:</w:t>
      </w:r>
      <w:r>
        <w:t xml:space="preserve"> </w:t>
      </w:r>
      <w:r>
        <w:t xml:space="preserve">- Student fungal isolates</w:t>
      </w:r>
    </w:p>
    <w:p>
      <w:pPr>
        <w:pStyle w:val="BodyText"/>
      </w:pPr>
      <w:r>
        <w:rPr>
          <w:b/>
          <w:bCs/>
        </w:rPr>
        <w:t xml:space="preserve">Procedures:</w:t>
      </w:r>
      <w:r>
        <w:t xml:space="preserve"> </w:t>
      </w:r>
      <w:r>
        <w:t xml:space="preserve">- Observe your fungal cultures and determine if they are pure cultures</w:t>
      </w:r>
      <w:r>
        <w:t xml:space="preserve"> </w:t>
      </w:r>
      <w:r>
        <w:t xml:space="preserve">- We will use these cultures to set up stress tests (Zn assay and temperature assay) and for molecular identification.</w:t>
      </w:r>
    </w:p>
    <w:bookmarkEnd w:id="80"/>
    <w:bookmarkStart w:id="81" w:name="zn-stress-assay"/>
    <w:p>
      <w:pPr>
        <w:pStyle w:val="Heading3"/>
      </w:pPr>
      <w:r>
        <w:t xml:space="preserve">Zn Stress Assay</w:t>
      </w:r>
    </w:p>
    <w:p>
      <w:pPr>
        <w:pStyle w:val="FirstParagraph"/>
      </w:pPr>
      <w:r>
        <w:t xml:space="preserve">In this lab, we will be investigating the tolerance and growth response of foliar fungal endophytes to varying concentrations of zinc (Zn). Zinc is an essential trace element for many biological processes, but in elevated concentrations, it can become toxic to fungi and other microorganisms. To understand how these fungi cope with different levels of Zn, we will isolate fungal endophytes from plant leaves and subject them to media containing 0 mM, 1 mM, and 10 mM of Zn. By measuring their growth rates over several weeks, we aim to determine the impact of Zn on their growth and survival.</w:t>
      </w:r>
    </w:p>
    <w:p>
      <w:pPr>
        <w:pStyle w:val="BodyText"/>
      </w:pPr>
      <w:r>
        <w:t xml:space="preserve">Testing foliar fungal endophytes for Zn tolerance is particularly relevant as these fungi play crucial roles in plant health and ecosystem functioning. Endophytes can enhance plant growth, provide resistance to pathogens, and contribute to nutrient cycling. Understanding their tolerance to heavy metals like Zn is important for ecological studies, especially in areas affected by pollution or where plants are used in phytoremediation efforts. By assessing their ability to thrive in environments with varying Zn concentrations, we can gain insights into their resilience and potential applications in sustainable agriculture and environmental management.</w:t>
      </w:r>
    </w:p>
    <w:p>
      <w:pPr>
        <w:pStyle w:val="BodyText"/>
      </w:pPr>
      <w:r>
        <w:rPr>
          <w:b/>
          <w:bCs/>
        </w:rPr>
        <w:t xml:space="preserve">Objectives:</w:t>
      </w:r>
      <w:r>
        <w:t xml:space="preserve"> </w:t>
      </w:r>
      <w:r>
        <w:t xml:space="preserve">1. Determine if the fungal isolates are tolerant of Zn.</w:t>
      </w:r>
      <w:r>
        <w:t xml:space="preserve"> </w:t>
      </w:r>
      <w:r>
        <w:t xml:space="preserve">2. Measure how different concentrations of Zn influence fungal growth rates.</w:t>
      </w:r>
    </w:p>
    <w:p>
      <w:pPr>
        <w:pStyle w:val="BodyText"/>
      </w:pPr>
      <w:r>
        <w:rPr>
          <w:b/>
          <w:bCs/>
        </w:rPr>
        <w:t xml:space="preserve">Materials:</w:t>
      </w:r>
      <w:r>
        <w:t xml:space="preserve"> </w:t>
      </w:r>
      <w:r>
        <w:t xml:space="preserve">- Pure fungal cultures</w:t>
      </w:r>
      <w:r>
        <w:t xml:space="preserve"> </w:t>
      </w:r>
      <w:r>
        <w:t xml:space="preserve">- PDA 0 mM Zn + antibiotics</w:t>
      </w:r>
      <w:r>
        <w:t xml:space="preserve"> </w:t>
      </w:r>
      <w:r>
        <w:t xml:space="preserve">- PDA 1 mM Zn + antibiotics</w:t>
      </w:r>
      <w:r>
        <w:t xml:space="preserve"> </w:t>
      </w:r>
      <w:r>
        <w:t xml:space="preserve">- PDA 10 mM Zn + antibiotics</w:t>
      </w:r>
      <w:r>
        <w:t xml:space="preserve"> </w:t>
      </w:r>
      <w:r>
        <w:t xml:space="preserve">- Fine tip Sharpie or marker</w:t>
      </w:r>
      <w:r>
        <w:t xml:space="preserve"> </w:t>
      </w:r>
      <w:r>
        <w:t xml:space="preserve">- Agar cutting tool</w:t>
      </w:r>
      <w:r>
        <w:t xml:space="preserve"> </w:t>
      </w:r>
      <w:r>
        <w:t xml:space="preserve">- Ethanol jar</w:t>
      </w:r>
    </w:p>
    <w:p>
      <w:pPr>
        <w:pStyle w:val="BodyText"/>
      </w:pPr>
      <w:r>
        <w:rPr>
          <w:b/>
          <w:bCs/>
        </w:rPr>
        <w:t xml:space="preserve">Procedures:</w:t>
      </w:r>
      <w:r>
        <w:t xml:space="preserve"> </w:t>
      </w:r>
      <w:r>
        <w:t xml:space="preserve">- Label your plates with identifying information</w:t>
      </w:r>
      <w:r>
        <w:t xml:space="preserve"> </w:t>
      </w:r>
      <w:r>
        <w:t xml:space="preserve">- On the bottom of each plate, draw four lines that intersect in the center of the plate (Figure 1)</w:t>
      </w:r>
      <w:r>
        <w:t xml:space="preserve"> </w:t>
      </w:r>
      <w:r>
        <w:t xml:space="preserve">- Cut out three 0.5 cm² chunks from the edge of your pure culture and place one in the center of each of the Zn plates</w:t>
      </w:r>
      <w:r>
        <w:t xml:space="preserve"> </w:t>
      </w:r>
      <w:r>
        <w:t xml:space="preserve">- Close and parafilm your plates</w:t>
      </w:r>
      <w:r>
        <w:t xml:space="preserve"> </w:t>
      </w:r>
      <w:r>
        <w:t xml:space="preserve">- Carefully, flip the plates over and trace the cube using a fine tip Sharpie</w:t>
      </w:r>
      <w:r>
        <w:t xml:space="preserve"> </w:t>
      </w:r>
      <w:r>
        <w:t xml:space="preserve">- Place the plate (unflipped) at room temperature in the dark and observe growth over the next few weeks</w:t>
      </w:r>
    </w:p>
    <w:bookmarkEnd w:id="81"/>
    <w:bookmarkStart w:id="82" w:name="temperature-assays"/>
    <w:p>
      <w:pPr>
        <w:pStyle w:val="Heading3"/>
      </w:pPr>
      <w:r>
        <w:t xml:space="preserve">Temperature Assays</w:t>
      </w:r>
    </w:p>
    <w:p>
      <w:pPr>
        <w:pStyle w:val="FirstParagraph"/>
      </w:pPr>
      <w:r>
        <w:t xml:space="preserve">In this lab, we will explore the effects of temperature on the growth and survival of foliar fungal endophytes. Temperature is a critical environmental factor that influences fungal physiology and ecological dynamics. To investigate how these fungi respond to different thermal conditions, we will isolate fungal endophytes from plant leaves and cultivate them at three distinct temperatures: 4°C, room temperature (approximately 20°C), and 28°C. By measuring their growth rates over several weeks, we will better understand their tolerance to different temperatures.</w:t>
      </w:r>
    </w:p>
    <w:p>
      <w:pPr>
        <w:pStyle w:val="BodyText"/>
      </w:pPr>
      <w:r>
        <w:rPr>
          <w:b/>
          <w:bCs/>
        </w:rPr>
        <w:t xml:space="preserve">Objectives:</w:t>
      </w:r>
      <w:r>
        <w:t xml:space="preserve"> </w:t>
      </w:r>
      <w:r>
        <w:t xml:space="preserve">1. Determine optimal growth temperature.</w:t>
      </w:r>
      <w:r>
        <w:t xml:space="preserve"> </w:t>
      </w:r>
      <w:r>
        <w:t xml:space="preserve">2. Measure how different temperatures influence fungal growth rates.</w:t>
      </w:r>
    </w:p>
    <w:p>
      <w:pPr>
        <w:pStyle w:val="BodyText"/>
      </w:pPr>
      <w:r>
        <w:rPr>
          <w:b/>
          <w:bCs/>
        </w:rPr>
        <w:t xml:space="preserve">Materials:</w:t>
      </w:r>
      <w:r>
        <w:t xml:space="preserve"> </w:t>
      </w:r>
      <w:r>
        <w:t xml:space="preserve">- Pure cultures (2 per student)</w:t>
      </w:r>
      <w:r>
        <w:t xml:space="preserve"> </w:t>
      </w:r>
      <w:r>
        <w:t xml:space="preserve">- PDA with antibiotics (6 per student)</w:t>
      </w:r>
      <w:r>
        <w:t xml:space="preserve"> </w:t>
      </w:r>
      <w:r>
        <w:t xml:space="preserve">- Fine tip Sharpie or marker</w:t>
      </w:r>
      <w:r>
        <w:t xml:space="preserve"> </w:t>
      </w:r>
      <w:r>
        <w:t xml:space="preserve">- Culture cutting tool</w:t>
      </w:r>
      <w:r>
        <w:t xml:space="preserve"> </w:t>
      </w:r>
      <w:r>
        <w:t xml:space="preserve">- Ethanol jar</w:t>
      </w:r>
    </w:p>
    <w:p>
      <w:pPr>
        <w:pStyle w:val="BodyText"/>
      </w:pPr>
      <w:r>
        <w:rPr>
          <w:b/>
          <w:bCs/>
        </w:rPr>
        <w:t xml:space="preserve">Procedures:</w:t>
      </w:r>
      <w:r>
        <w:t xml:space="preserve"> </w:t>
      </w:r>
      <w:r>
        <w:t xml:space="preserve">- Label your plates with identifying information and growth temperatures (2 per temp.)</w:t>
      </w:r>
      <w:r>
        <w:t xml:space="preserve"> </w:t>
      </w:r>
      <w:r>
        <w:t xml:space="preserve">- On the bottom of each plate, draw four lines that intersect in the center of the plate (Figure 6.1)</w:t>
      </w:r>
      <w:r>
        <w:t xml:space="preserve"> </w:t>
      </w:r>
      <w:r>
        <w:t xml:space="preserve">- Cut out three 0.5 cm chunks from the edge of your pure culture and place one in the center of each of the temperature plates</w:t>
      </w:r>
      <w:r>
        <w:t xml:space="preserve"> </w:t>
      </w:r>
      <w:r>
        <w:t xml:space="preserve">- Close and parafilm your plates</w:t>
      </w:r>
      <w:r>
        <w:t xml:space="preserve"> </w:t>
      </w:r>
      <w:r>
        <w:t xml:space="preserve">- Carefully, flip the plates over and trace the cube using a fine-tip Sharpie</w:t>
      </w:r>
      <w:r>
        <w:t xml:space="preserve"> </w:t>
      </w:r>
      <w:r>
        <w:t xml:space="preserve">- Bring your plates to the front of the class and place them (unflipped) in the correct box for incubation</w:t>
      </w:r>
    </w:p>
    <w:bookmarkEnd w:id="82"/>
    <w:bookmarkStart w:id="83" w:name="measuring-fungal-growth"/>
    <w:p>
      <w:pPr>
        <w:pStyle w:val="Heading3"/>
      </w:pPr>
      <w:r>
        <w:t xml:space="preserve">Measuring Fungal Growth</w:t>
      </w:r>
    </w:p>
    <w:p>
      <w:pPr>
        <w:pStyle w:val="FirstParagraph"/>
      </w:pPr>
      <w:r>
        <w:rPr>
          <w:b/>
          <w:bCs/>
        </w:rPr>
        <w:t xml:space="preserve">Objectives:</w:t>
      </w:r>
      <w:r>
        <w:t xml:space="preserve"> </w:t>
      </w:r>
      <w:r>
        <w:t xml:space="preserve">1. Measure growth for Zn stress assay</w:t>
      </w:r>
      <w:r>
        <w:t xml:space="preserve"> </w:t>
      </w:r>
      <w:r>
        <w:t xml:space="preserve">2. Measure growth for temperature assay</w:t>
      </w:r>
    </w:p>
    <w:p>
      <w:pPr>
        <w:pStyle w:val="BodyText"/>
      </w:pPr>
      <w:r>
        <w:rPr>
          <w:b/>
          <w:bCs/>
        </w:rPr>
        <w:t xml:space="preserve">Materials:</w:t>
      </w:r>
      <w:r>
        <w:t xml:space="preserve"> </w:t>
      </w:r>
      <w:r>
        <w:t xml:space="preserve">- Fine tip Sharpie</w:t>
      </w:r>
      <w:r>
        <w:t xml:space="preserve"> </w:t>
      </w:r>
      <w:r>
        <w:t xml:space="preserve">- Three Zn culture plates</w:t>
      </w:r>
      <w:r>
        <w:t xml:space="preserve"> </w:t>
      </w:r>
      <w:r>
        <w:t xml:space="preserve">- Three temperature culture plates</w:t>
      </w:r>
      <w:r>
        <w:t xml:space="preserve"> </w:t>
      </w:r>
      <w:r>
        <w:t xml:space="preserve">- Ruler to measure growth in mm (mm ruler)</w:t>
      </w:r>
    </w:p>
    <w:p>
      <w:pPr>
        <w:pStyle w:val="BodyText"/>
      </w:pPr>
      <w:r>
        <w:rPr>
          <w:b/>
          <w:bCs/>
        </w:rPr>
        <w:t xml:space="preserve">Procedures:</w:t>
      </w:r>
      <w:r>
        <w:t xml:space="preserve"> </w:t>
      </w:r>
      <w:r>
        <w:t xml:space="preserve">- On the bottom of the plate, trace the edge of your fungal culture</w:t>
      </w:r>
      <w:r>
        <w:t xml:space="preserve"> </w:t>
      </w:r>
      <w:r>
        <w:t xml:space="preserve">- Measure, in mm, new growth at each of the four edges along the lines</w:t>
      </w:r>
      <w:r>
        <w:t xml:space="preserve"> </w:t>
      </w:r>
      <w:r>
        <w:t xml:space="preserve">- Average the eight measurements to get the average growth and determine the average growth rate (distance/time)</w:t>
      </w:r>
    </w:p>
    <w:bookmarkEnd w:id="83"/>
    <w:bookmarkEnd w:id="84"/>
    <w:bookmarkEnd w:id="85"/>
    <w:bookmarkStart w:id="110" w:name="module-4-dna-sequencing"/>
    <w:p>
      <w:pPr>
        <w:pStyle w:val="Heading1"/>
      </w:pPr>
      <w:r>
        <w:t xml:space="preserve">Module 4: DNA Sequencing</w:t>
      </w:r>
    </w:p>
    <w:bookmarkStart w:id="87" w:name="X1f9141d941555e98bd81ab73b3543cfd3247ac1"/>
    <w:p>
      <w:pPr>
        <w:pStyle w:val="Heading2"/>
      </w:pPr>
      <w:r>
        <w:t xml:space="preserve">Module 4.1 – DNA Sequencing and Species Identification Instructor Resources</w:t>
      </w:r>
    </w:p>
    <w:bookmarkStart w:id="86" w:name="Xf2d43db359788ca93a2d8fe43440f1f2685953f"/>
    <w:p>
      <w:pPr>
        <w:pStyle w:val="Heading3"/>
      </w:pPr>
      <w:r>
        <w:t xml:space="preserve">Instructor Laboratory Preparation Instructions</w:t>
      </w:r>
    </w:p>
    <w:p>
      <w:pPr>
        <w:pStyle w:val="FirstParagraph"/>
      </w:pPr>
      <w:r>
        <w:rPr>
          <w:b/>
          <w:bCs/>
        </w:rPr>
        <w:t xml:space="preserve">Materials needed:</w:t>
      </w:r>
      <w:r>
        <w:t xml:space="preserve"> </w:t>
      </w:r>
      <w:r>
        <w:t xml:space="preserve">This list may vary depending on your preferred extraction, amplification, and sequencing protocols.</w:t>
      </w:r>
      <w:r>
        <w:t xml:space="preserve"> </w:t>
      </w:r>
      <w:r>
        <w:t xml:space="preserve">* Gloves</w:t>
      </w:r>
      <w:r>
        <w:t xml:space="preserve"> </w:t>
      </w:r>
      <w:r>
        <w:t xml:space="preserve">* Sharpie</w:t>
      </w:r>
      <w:r>
        <w:t xml:space="preserve"> </w:t>
      </w:r>
      <w:r>
        <w:t xml:space="preserve">* Thermal cycler</w:t>
      </w:r>
      <w:r>
        <w:t xml:space="preserve"> </w:t>
      </w:r>
      <w:r>
        <w:t xml:space="preserve">* Vortex</w:t>
      </w:r>
      <w:r>
        <w:t xml:space="preserve"> </w:t>
      </w:r>
      <w:r>
        <w:t xml:space="preserve">* Centrifuge for PCR and microfuge tubes</w:t>
      </w:r>
      <w:r>
        <w:t xml:space="preserve"> </w:t>
      </w:r>
      <w:r>
        <w:t xml:space="preserve">* Heat block/thermomixer for 1.5-2.0 ml microfuge tubes</w:t>
      </w:r>
      <w:r>
        <w:t xml:space="preserve"> </w:t>
      </w:r>
      <w:r>
        <w:t xml:space="preserve">* 1.5mL microcentrifuge tubes (Eppendorf DNA LoBind)</w:t>
      </w:r>
      <w:r>
        <w:t xml:space="preserve"> </w:t>
      </w:r>
      <w:r>
        <w:t xml:space="preserve">* 0.2 mL PCR tubes</w:t>
      </w:r>
      <w:r>
        <w:t xml:space="preserve"> </w:t>
      </w:r>
      <w:r>
        <w:t xml:space="preserve">* Microfuge and PCR tube racks</w:t>
      </w:r>
      <w:r>
        <w:t xml:space="preserve"> </w:t>
      </w:r>
      <w:r>
        <w:t xml:space="preserve">* Labeling tape</w:t>
      </w:r>
      <w:r>
        <w:t xml:space="preserve"> </w:t>
      </w:r>
      <w:r>
        <w:t xml:space="preserve">* Monarch® Spin gDNA Extraction Kit (New England BioLabs,T3010S)</w:t>
      </w:r>
      <w:r>
        <w:t xml:space="preserve"> </w:t>
      </w:r>
      <w:r>
        <w:t xml:space="preserve">* MetaPolyzyme, DNA free (Millipore Sigma, MAC4LDF-5X1VL)</w:t>
      </w:r>
      <w:r>
        <w:t xml:space="preserve"> </w:t>
      </w:r>
      <w:r>
        <w:t xml:space="preserve">* TE Buffer</w:t>
      </w:r>
      <w:r>
        <w:t xml:space="preserve"> </w:t>
      </w:r>
      <w:r>
        <w:t xml:space="preserve">* CTAB solution (100 ml, Promega, MC1411)</w:t>
      </w:r>
      <w:r>
        <w:t xml:space="preserve"> </w:t>
      </w:r>
      <w:r>
        <w:t xml:space="preserve">* Parafilm</w:t>
      </w:r>
      <w:r>
        <w:t xml:space="preserve"> </w:t>
      </w:r>
      <w:r>
        <w:t xml:space="preserve">* 70% ETOH</w:t>
      </w:r>
      <w:r>
        <w:t xml:space="preserve"> </w:t>
      </w:r>
      <w:r>
        <w:t xml:space="preserve">* 1-10, 20-200, and 100-1000 µL micropipettors</w:t>
      </w:r>
      <w:r>
        <w:t xml:space="preserve"> </w:t>
      </w:r>
      <w:r>
        <w:t xml:space="preserve">* 1-10, 20-200, and 100-1000 µL micropipette tips (preferably filtered)</w:t>
      </w:r>
      <w:r>
        <w:t xml:space="preserve"> </w:t>
      </w:r>
      <w:r>
        <w:t xml:space="preserve">* Kimwipes</w:t>
      </w:r>
      <w:r>
        <w:t xml:space="preserve"> </w:t>
      </w:r>
      <w:r>
        <w:t xml:space="preserve">* PCR primers (ITS1f, ITS4, 5.8SR, fITS7) ordered from Integrated DNA Technologies (IDT) or similar supplier normalized to 100 µM in TE buffer. The following primers are commonly used for fungal DNA barcoding:</w:t>
      </w:r>
      <w:r>
        <w:t xml:space="preserve"> </w:t>
      </w:r>
      <w:r>
        <w:t xml:space="preserve">+ ITS1f: 5’-CTTGGTCATTTAGAGGAAGTAA-3’</w:t>
      </w:r>
      <w:r>
        <w:t xml:space="preserve"> </w:t>
      </w:r>
      <w:r>
        <w:t xml:space="preserve">+ ITS4: 5’-TCCTCCGCTTATTGATATGC</w:t>
      </w:r>
      <w:r>
        <w:t xml:space="preserve"> </w:t>
      </w:r>
      <w:r>
        <w:t xml:space="preserve">+ 5.8SR: 5’-CGCTGCGTTCTTCATCG-3’</w:t>
      </w:r>
      <w:r>
        <w:t xml:space="preserve"> </w:t>
      </w:r>
      <w:r>
        <w:t xml:space="preserve">+ fITS7: 5’-GTGARTCATCGAATCTTTG-3’</w:t>
      </w:r>
      <w:r>
        <w:t xml:space="preserve"> </w:t>
      </w:r>
      <w:r>
        <w:t xml:space="preserve">* Q5® Hot Start High-Fidelity 2X Master Mix - 100 reactions(New England BioLabs, M0494S)</w:t>
      </w:r>
      <w:r>
        <w:t xml:space="preserve"> </w:t>
      </w:r>
      <w:r>
        <w:t xml:space="preserve">* PCR water (New England BioLabs, B1500S)</w:t>
      </w:r>
      <w:r>
        <w:t xml:space="preserve"> </w:t>
      </w:r>
      <w:r>
        <w:t xml:space="preserve">* Exo-CIP Rapid PCR Cleanup Kit - 100 reactions (New England BioLabs, E1050S)</w:t>
      </w:r>
      <w:r>
        <w:t xml:space="preserve"> </w:t>
      </w:r>
      <w:r>
        <w:t xml:space="preserve">* E-Gel system with 1.2% agarose gels (ThermoFisher, G4010010) or similar gel electrophoresis system</w:t>
      </w:r>
      <w:r>
        <w:t xml:space="preserve"> </w:t>
      </w:r>
      <w:r>
        <w:t xml:space="preserve">* E-Gel™ Sizing DNA Ladder (ThermoFisher, 10488100)</w:t>
      </w:r>
      <w:r>
        <w:t xml:space="preserve"> </w:t>
      </w:r>
      <w:r>
        <w:t xml:space="preserve">* DNA quantification system (for example, Qubit Fluorometer with dsDNA HS Assay Kit, ThermoFisher, Q32851)</w:t>
      </w:r>
      <w:r>
        <w:t xml:space="preserve"> </w:t>
      </w:r>
      <w:r>
        <w:t xml:space="preserve">* Access to Sanger sequencing services (for example, Genewiz, Eurofins, Eton, or similar provider).</w:t>
      </w:r>
      <w:r>
        <w:t xml:space="preserve"> </w:t>
      </w:r>
      <w:r>
        <w:t xml:space="preserve">* Rapid Barcoding Kit v14 (Oxford Nanopore Technologies), SQK-RBK114.24 or similar kit for long-read sequencing (optional)</w:t>
      </w:r>
      <w:r>
        <w:t xml:space="preserve"> </w:t>
      </w:r>
      <w:r>
        <w:t xml:space="preserve">* MinION sequencing device</w:t>
      </w:r>
      <w:r>
        <w:t xml:space="preserve"> </w:t>
      </w:r>
      <w:r>
        <w:t xml:space="preserve">* MinION flow cells (R10.4.1 or similar, Oxford Nanopore Technologies, FLO-MIN114)</w:t>
      </w:r>
      <w:r>
        <w:t xml:space="preserve"> </w:t>
      </w:r>
      <w:r>
        <w:t xml:space="preserve">* Ultrapure BSA 50mg/ml (ThermoFisher, AM2616) for long-read sequencing</w:t>
      </w:r>
      <w:r>
        <w:t xml:space="preserve"> </w:t>
      </w:r>
      <w:r>
        <w:t xml:space="preserve">* 1.5mL microcentrifuge tubes (Eppendorf DNA LoBind) for long-read sequencing</w:t>
      </w:r>
      <w:r>
        <w:t xml:space="preserve"> </w:t>
      </w:r>
      <w:r>
        <w:t xml:space="preserve">* 0.2 mL PCR tubes for long-read sequencing</w:t>
      </w:r>
      <w:r>
        <w:t xml:space="preserve"> </w:t>
      </w:r>
      <w:r>
        <w:t xml:space="preserve">* Magnetic rack for 1.5ml microcentrifuge tubes (for example, ThermoFisher DynaMag-2, 12321D) for long-read sequencing</w:t>
      </w:r>
      <w:r>
        <w:t xml:space="preserve"> </w:t>
      </w:r>
      <w:r>
        <w:t xml:space="preserve">* Nuclease-free water and 100% ethanol to prepare 80&amp; ethanol for long-read sequencing</w:t>
      </w:r>
    </w:p>
    <w:p>
      <w:pPr>
        <w:pStyle w:val="BodyText"/>
      </w:pPr>
      <w:r>
        <w:rPr>
          <w:b/>
          <w:bCs/>
        </w:rPr>
        <w:t xml:space="preserve">DNA Extraction Buffer (ES)</w:t>
      </w:r>
    </w:p>
    <w:p>
      <w:pPr>
        <w:pStyle w:val="BodyText"/>
      </w:pPr>
      <w:r>
        <w:rPr>
          <w:b/>
          <w:bCs/>
        </w:rPr>
        <w:t xml:space="preserve">1M Tris Stock Solution (1 mole (M) of Tris = 121.14 grams)</w:t>
      </w:r>
      <w:r>
        <w:t xml:space="preserve"> </w:t>
      </w:r>
      <w:r>
        <w:t xml:space="preserve">1. Add 121.14 grams of Tris to 1000 mL of water (adjust quantity to lab needs)</w:t>
      </w:r>
      <w:r>
        <w:t xml:space="preserve"> </w:t>
      </w:r>
      <w:r>
        <w:t xml:space="preserve">2. Add a magnetic stir bar to the beaker and put the beaker on a hot plate/stir plate and set the heat and stirring to medium-low to facilitate the dissolving of the Tris.</w:t>
      </w:r>
    </w:p>
    <w:p>
      <w:pPr>
        <w:pStyle w:val="BodyText"/>
      </w:pPr>
      <w:r>
        <w:rPr>
          <w:b/>
          <w:bCs/>
        </w:rPr>
        <w:t xml:space="preserve">Prepare Extraction Buffer (ES)</w:t>
      </w:r>
      <w:r>
        <w:t xml:space="preserve"> </w:t>
      </w:r>
      <w:r>
        <w:t xml:space="preserve">1. Add 10 mL of Tris stock solution to a 250 mL beaker.</w:t>
      </w:r>
      <w:r>
        <w:t xml:space="preserve"> </w:t>
      </w:r>
      <w:r>
        <w:t xml:space="preserve">2. Weigh and add 1.86 g KCl to the beaker.</w:t>
      </w:r>
      <w:r>
        <w:t xml:space="preserve"> </w:t>
      </w:r>
      <w:r>
        <w:t xml:space="preserve">3. Weigh and add 0.37 g EDTA.</w:t>
      </w:r>
      <w:r>
        <w:t xml:space="preserve"> </w:t>
      </w:r>
      <w:r>
        <w:t xml:space="preserve">4. Top up with 80 mL of distilled water.</w:t>
      </w:r>
      <w:r>
        <w:t xml:space="preserve"> </w:t>
      </w:r>
      <w:r>
        <w:t xml:space="preserve">5. Place on a hot/stir plate with a magnetic stir bar over medium-low heat and speed. Wait until dissolved.</w:t>
      </w:r>
      <w:r>
        <w:t xml:space="preserve"> </w:t>
      </w:r>
      <w:r>
        <w:t xml:space="preserve">6. Top up to 100mL total with distilled water and stir briefly.</w:t>
      </w:r>
      <w:r>
        <w:t xml:space="preserve"> </w:t>
      </w:r>
      <w:r>
        <w:t xml:space="preserve">7. Dispense 1000 µL into 1.5 mL microcentrifuge tubes and label the tubes</w:t>
      </w:r>
      <w:r>
        <w:t xml:space="preserve"> </w:t>
      </w:r>
      <w:r>
        <w:t xml:space="preserve">“ES”</w:t>
      </w:r>
      <w:r>
        <w:t xml:space="preserve"> </w:t>
      </w:r>
      <w:r>
        <w:t xml:space="preserve">for Extraction Solution.</w:t>
      </w:r>
      <w:r>
        <w:t xml:space="preserve"> </w:t>
      </w:r>
      <w:r>
        <w:t xml:space="preserve">8. Place tubes in a rack labeled</w:t>
      </w:r>
      <w:r>
        <w:t xml:space="preserve"> </w:t>
      </w:r>
      <w:r>
        <w:t xml:space="preserve">“Mycology DNA Extraction Reagents”</w:t>
      </w:r>
      <w:r>
        <w:t xml:space="preserve"> </w:t>
      </w:r>
      <w:r>
        <w:t xml:space="preserve">and store in the Freezer.</w:t>
      </w:r>
    </w:p>
    <w:p>
      <w:pPr>
        <w:pStyle w:val="BodyText"/>
      </w:pPr>
      <w:r>
        <w:rPr>
          <w:b/>
          <w:bCs/>
        </w:rPr>
        <w:t xml:space="preserve">Dilution Solution (DS) (3% BSA) Prep</w:t>
      </w:r>
      <w:r>
        <w:t xml:space="preserve"> </w:t>
      </w:r>
      <w:r>
        <w:t xml:space="preserve">1. Add 3 g BSA (Bovine Serum Albumin) to 250 mL beaker.</w:t>
      </w:r>
      <w:r>
        <w:t xml:space="preserve"> </w:t>
      </w:r>
      <w:r>
        <w:t xml:space="preserve">2. Add 100 mL of distilled water.</w:t>
      </w:r>
      <w:r>
        <w:t xml:space="preserve"> </w:t>
      </w:r>
      <w:r>
        <w:t xml:space="preserve">3. Shake/stir to dissolve the BSA into solution. DO NOT HEAT!</w:t>
      </w:r>
      <w:r>
        <w:t xml:space="preserve"> </w:t>
      </w:r>
      <w:r>
        <w:t xml:space="preserve">4. Dispense 1000 µL into 1.5 mL microcentrifuge tubes and label the tubes</w:t>
      </w:r>
      <w:r>
        <w:t xml:space="preserve"> </w:t>
      </w:r>
      <w:r>
        <w:t xml:space="preserve">“DS”</w:t>
      </w:r>
      <w:r>
        <w:t xml:space="preserve">.</w:t>
      </w:r>
      <w:r>
        <w:t xml:space="preserve"> </w:t>
      </w:r>
      <w:r>
        <w:t xml:space="preserve">5. Place tubes in a rack labeled</w:t>
      </w:r>
      <w:r>
        <w:t xml:space="preserve"> </w:t>
      </w:r>
      <w:r>
        <w:t xml:space="preserve">“Mycology DNA Extraction Reagents”</w:t>
      </w:r>
      <w:r>
        <w:t xml:space="preserve"> </w:t>
      </w:r>
      <w:r>
        <w:t xml:space="preserve">and store them in the Freezer.</w:t>
      </w:r>
    </w:p>
    <w:p>
      <w:pPr>
        <w:pStyle w:val="BodyText"/>
      </w:pPr>
      <w:r>
        <w:rPr>
          <w:b/>
          <w:bCs/>
        </w:rPr>
        <w:t xml:space="preserve">Diluting and prepping PCR primers</w:t>
      </w:r>
      <w:r>
        <w:t xml:space="preserve"> </w:t>
      </w:r>
      <w:r>
        <w:t xml:space="preserve">1. To dilute the vial to a stock concentration of 100 picomols/microliter first read the number of µmols present in the tube.</w:t>
      </w:r>
      <w:r>
        <w:t xml:space="preserve"> </w:t>
      </w:r>
      <w:r>
        <w:t xml:space="preserve">a. Using this number, divide by 10, and add that many µL of PCR pure water to the tubes. This will give you a concentration of 100 pmol/µL</w:t>
      </w:r>
      <w:r>
        <w:t xml:space="preserve"> </w:t>
      </w:r>
      <w:r>
        <w:t xml:space="preserve">2. To make PCR ready primers we need to dilute the concentration to 10 pmol/µL.</w:t>
      </w:r>
      <w:r>
        <w:t xml:space="preserve"> </w:t>
      </w:r>
      <w:r>
        <w:t xml:space="preserve">a. Add 180 µL PCR pure water to a 1.5 mL microcentrifuge tube.</w:t>
      </w:r>
      <w:r>
        <w:t xml:space="preserve"> </w:t>
      </w:r>
      <w:r>
        <w:t xml:space="preserve">b. Label the tube according to the primer being added.</w:t>
      </w:r>
      <w:r>
        <w:t xml:space="preserve"> </w:t>
      </w:r>
      <w:r>
        <w:t xml:space="preserve">c. Add 20 µL of the 100 pmol/µL concentration primer.</w:t>
      </w:r>
    </w:p>
    <w:bookmarkEnd w:id="86"/>
    <w:bookmarkEnd w:id="87"/>
    <w:bookmarkStart w:id="109" w:name="X84ab9f30f319591ed283388a48344a8ca0af377"/>
    <w:p>
      <w:pPr>
        <w:pStyle w:val="Heading2"/>
      </w:pPr>
      <w:r>
        <w:t xml:space="preserve">Module 4.2 – DNA Sequencing and Species Identification</w:t>
      </w:r>
    </w:p>
    <w:bookmarkStart w:id="88" w:name="purpose-2"/>
    <w:p>
      <w:pPr>
        <w:pStyle w:val="Heading3"/>
      </w:pPr>
      <w:r>
        <w:t xml:space="preserve">Purpose</w:t>
      </w:r>
    </w:p>
    <w:p>
      <w:pPr>
        <w:pStyle w:val="FirstParagraph"/>
      </w:pPr>
      <w:r>
        <w:t xml:space="preserve">The purpose of this module is to molecularly identify fungal isolates using the Internal Transcribed Spacer (ITS) rDNA region, also known as the fungal barcode. You will extract genomic DNA (gDNA) from your isolates, amplify the ITS rDNA using polymerase chain reaction (PCR), clean PCR product, Sanger sequence PCR product, and use DNA sequence to obtain a name for your isolate.</w:t>
      </w:r>
    </w:p>
    <w:bookmarkEnd w:id="88"/>
    <w:bookmarkStart w:id="89" w:name="learning-goals-2"/>
    <w:p>
      <w:pPr>
        <w:pStyle w:val="Heading3"/>
      </w:pPr>
      <w:r>
        <w:t xml:space="preserve">Learning Goals</w:t>
      </w:r>
    </w:p>
    <w:p>
      <w:pPr>
        <w:pStyle w:val="Compact"/>
        <w:numPr>
          <w:ilvl w:val="0"/>
          <w:numId w:val="1053"/>
        </w:numPr>
      </w:pPr>
      <w:r>
        <w:t xml:space="preserve">Practice extracting fungal DNA</w:t>
      </w:r>
    </w:p>
    <w:p>
      <w:pPr>
        <w:pStyle w:val="Compact"/>
        <w:numPr>
          <w:ilvl w:val="0"/>
          <w:numId w:val="1053"/>
        </w:numPr>
      </w:pPr>
      <w:r>
        <w:t xml:space="preserve">Successfully PCR amplify fungal ITS</w:t>
      </w:r>
    </w:p>
    <w:p>
      <w:pPr>
        <w:pStyle w:val="Compact"/>
        <w:numPr>
          <w:ilvl w:val="0"/>
          <w:numId w:val="1053"/>
        </w:numPr>
      </w:pPr>
      <w:r>
        <w:t xml:space="preserve">Learn to BLAST ITS sequence to identify fungal isolates</w:t>
      </w:r>
    </w:p>
    <w:bookmarkEnd w:id="89"/>
    <w:bookmarkStart w:id="93" w:name="part-i-dna-extraction"/>
    <w:p>
      <w:pPr>
        <w:pStyle w:val="Heading3"/>
      </w:pPr>
      <w:r>
        <w:t xml:space="preserve">Part I: DNA Extraction</w:t>
      </w:r>
    </w:p>
    <w:bookmarkStart w:id="90" w:name="introduction-3"/>
    <w:p>
      <w:pPr>
        <w:pStyle w:val="Heading4"/>
      </w:pPr>
      <w:r>
        <w:t xml:space="preserve">Introduction</w:t>
      </w:r>
    </w:p>
    <w:p>
      <w:pPr>
        <w:pStyle w:val="FirstParagraph"/>
      </w:pPr>
      <w:r>
        <w:t xml:space="preserve">Identification of fungal cultures requires knowledge and techniques beyond the scope of this course. Luckily, we can use DNA sequencing of the fungal barcode region (ITS rDNA region) to obtain an identification for our isolates. To do this, you must (1) extract gDNA from a pure culture of your fungal isolate; (2) specifically amplify (make millions of copies) a portion of the ITS rDNA region using polymerase chain reaction (PCR); (3) sequence the PCR product using Sanger sequencing; and (4) submit your sequences for comparison against an online gene database (NCBI’s GenBank).</w:t>
      </w:r>
    </w:p>
    <w:p>
      <w:pPr>
        <w:pStyle w:val="BodyText"/>
      </w:pPr>
      <w:r>
        <w:t xml:space="preserve">In this part of the module, you will extract DNA from your fungal isolates. There are many ways to isolate DNA from fungi. Here we will use a very simple kit that uses an alkaline (pH 9.5-10) extraction solution at high heat to disrupt cells and release gDNA.</w:t>
      </w:r>
    </w:p>
    <w:bookmarkEnd w:id="90"/>
    <w:bookmarkStart w:id="91" w:name="materials"/>
    <w:p>
      <w:pPr>
        <w:pStyle w:val="Heading4"/>
      </w:pPr>
      <w:r>
        <w:t xml:space="preserve">Materials:</w:t>
      </w:r>
    </w:p>
    <w:p>
      <w:pPr>
        <w:pStyle w:val="Compact"/>
        <w:numPr>
          <w:ilvl w:val="0"/>
          <w:numId w:val="1054"/>
        </w:numPr>
      </w:pPr>
      <w:r>
        <w:t xml:space="preserve">Fungal isolates</w:t>
      </w:r>
    </w:p>
    <w:p>
      <w:pPr>
        <w:pStyle w:val="Compact"/>
        <w:numPr>
          <w:ilvl w:val="0"/>
          <w:numId w:val="1054"/>
        </w:numPr>
      </w:pPr>
      <w:r>
        <w:t xml:space="preserve">0.2 mL PCR tubes</w:t>
      </w:r>
    </w:p>
    <w:p>
      <w:pPr>
        <w:pStyle w:val="Compact"/>
        <w:numPr>
          <w:ilvl w:val="0"/>
          <w:numId w:val="1054"/>
        </w:numPr>
      </w:pPr>
      <w:r>
        <w:t xml:space="preserve">P20 micropipette with tips</w:t>
      </w:r>
    </w:p>
    <w:p>
      <w:pPr>
        <w:pStyle w:val="Compact"/>
        <w:numPr>
          <w:ilvl w:val="0"/>
          <w:numId w:val="1054"/>
        </w:numPr>
      </w:pPr>
      <w:r>
        <w:t xml:space="preserve">DNA extraction solution (ES)</w:t>
      </w:r>
    </w:p>
    <w:p>
      <w:pPr>
        <w:pStyle w:val="Compact"/>
        <w:numPr>
          <w:ilvl w:val="0"/>
          <w:numId w:val="1054"/>
        </w:numPr>
      </w:pPr>
      <w:r>
        <w:t xml:space="preserve">DNA dilution solution (DS)</w:t>
      </w:r>
    </w:p>
    <w:p>
      <w:pPr>
        <w:pStyle w:val="Compact"/>
        <w:numPr>
          <w:ilvl w:val="0"/>
          <w:numId w:val="1054"/>
        </w:numPr>
      </w:pPr>
      <w:r>
        <w:t xml:space="preserve">Ethanol jar</w:t>
      </w:r>
    </w:p>
    <w:p>
      <w:pPr>
        <w:pStyle w:val="Compact"/>
        <w:numPr>
          <w:ilvl w:val="0"/>
          <w:numId w:val="1054"/>
        </w:numPr>
      </w:pPr>
      <w:r>
        <w:t xml:space="preserve">Loop, pick, and forceps</w:t>
      </w:r>
    </w:p>
    <w:bookmarkEnd w:id="91"/>
    <w:bookmarkStart w:id="92" w:name="procedures"/>
    <w:p>
      <w:pPr>
        <w:pStyle w:val="Heading4"/>
      </w:pPr>
      <w:r>
        <w:t xml:space="preserve">Procedures:</w:t>
      </w:r>
    </w:p>
    <w:p>
      <w:pPr>
        <w:pStyle w:val="Compact"/>
        <w:numPr>
          <w:ilvl w:val="0"/>
          <w:numId w:val="1055"/>
        </w:numPr>
      </w:pPr>
      <w:r>
        <w:t xml:space="preserve">Using the micropipette, aliquot 20 µL of ES into 0.2 mL snap-cap PCR tubes. We will run DNA extraction in duplicates, so fill two PCR tubes per culture.</w:t>
      </w:r>
      <w:r>
        <w:t xml:space="preserve"> </w:t>
      </w:r>
      <w:r>
        <w:t xml:space="preserve">NOTE: Label your tubes before adding ES. Label on both the cap and side of the tubes, so you can identify the samples as yours and can differentiate to which culture they belong.</w:t>
      </w:r>
    </w:p>
    <w:p>
      <w:pPr>
        <w:pStyle w:val="Compact"/>
        <w:numPr>
          <w:ilvl w:val="0"/>
          <w:numId w:val="1055"/>
        </w:numPr>
      </w:pPr>
      <w:r>
        <w:t xml:space="preserve">Place the tissue sample into the ES. Submerge and smash the sample against the tube wall if possible.</w:t>
      </w:r>
      <w:r>
        <w:t xml:space="preserve"> </w:t>
      </w:r>
      <w:r>
        <w:t xml:space="preserve">NOTE: be careful not to add any agar to the ES as this will impact the pH of the solution and the extraction of gDNA.</w:t>
      </w:r>
    </w:p>
    <w:p>
      <w:pPr>
        <w:pStyle w:val="Compact"/>
        <w:numPr>
          <w:ilvl w:val="0"/>
          <w:numId w:val="1055"/>
        </w:numPr>
      </w:pPr>
      <w:r>
        <w:t xml:space="preserve">Close the snap-caps and incubate at 65 °C for 10 minutes followed by 95 °C for 10 minutes.</w:t>
      </w:r>
    </w:p>
    <w:p>
      <w:pPr>
        <w:pStyle w:val="Compact"/>
        <w:numPr>
          <w:ilvl w:val="0"/>
          <w:numId w:val="1055"/>
        </w:numPr>
      </w:pPr>
      <w:r>
        <w:t xml:space="preserve">Using the micropipette, aliquot an equal volume of DS (20 µL) to your extracts. Ensure that you can still read the labels and store in the freezer until next week. We will use these extractions to amplify the fungal ITS rDNA region using PCR.</w:t>
      </w:r>
    </w:p>
    <w:bookmarkEnd w:id="92"/>
    <w:bookmarkEnd w:id="93"/>
    <w:bookmarkStart w:id="98" w:name="part-ii-polymerase-chain-reaction-pcr"/>
    <w:p>
      <w:pPr>
        <w:pStyle w:val="Heading3"/>
      </w:pPr>
      <w:r>
        <w:t xml:space="preserve">Part II: Polymerase Chain Reaction (PCR)</w:t>
      </w:r>
    </w:p>
    <w:bookmarkStart w:id="94" w:name="introduction-to-pcr"/>
    <w:p>
      <w:pPr>
        <w:pStyle w:val="Heading4"/>
      </w:pPr>
      <w:r>
        <w:t xml:space="preserve">Introduction to PCR</w:t>
      </w:r>
    </w:p>
    <w:p>
      <w:pPr>
        <w:pStyle w:val="FirstParagraph"/>
      </w:pPr>
      <w:r>
        <w:t xml:space="preserve">The polymerase chain reaction (PCR), developed in the mid-1980s, amplifies a specific DNA region by creating millions or billions of copies by</w:t>
      </w:r>
      <w:r>
        <w:t xml:space="preserve"> </w:t>
      </w:r>
      <w:r>
        <w:t xml:space="preserve">‘in vitro DNA replication’</w:t>
      </w:r>
      <w:r>
        <w:t xml:space="preserve">. It uses a thermostable form of bacterial DNA polymerase, the enzyme that copies DNA, isolated from Thermus aquaticum, a thermophilic bacterium isolated from a Yellowstone hot spring. This enzyme,</w:t>
      </w:r>
      <w:r>
        <w:t xml:space="preserve"> </w:t>
      </w:r>
      <w:r>
        <w:t xml:space="preserve">‘Taq polymerase’</w:t>
      </w:r>
      <w:r>
        <w:t xml:space="preserve">, is active at 72 °C and can withstand brief heating to 95 °C. Thus, the PCR reaction is an example of how environmental microbes have benefited biotechnology and revolutionized biology.</w:t>
      </w:r>
    </w:p>
    <w:p>
      <w:pPr>
        <w:pStyle w:val="BodyText"/>
      </w:pPr>
      <w:r>
        <w:t xml:space="preserve">The PCR reaction consists of mixing your template DNA with two primers: short sequences of DNA that are complementary to the ends of the region you want to amplify. The forward primer binds to one strand at the beginning of the region, and the reverse primer binds to the complementary strand at the end of the region. Primers are designed using computer databases of gene sequences, and synthesized chemically. In addition to the primers, Taq polymerase (or a synthetic polymerase enzyme), and your DNA, the PCR reaction also needs a buffer containing MgCl2 and dNTPs (the four bases of DNA). The reaction is run on a machine called a thermal cycler, which automatically heats the reaction first to 95 °C to melt the double-stranded DNA (break H-bonds between strands), then to about 53 °C to allow the primers to anneal to the template DNA, and finally to 72 °C to allow the polymerase to add dNTPs and extend the product. Typically, scientists run 25-35 cycles of this reaction, producing 225 - 235 copies of the target region.</w:t>
      </w:r>
    </w:p>
    <w:p>
      <w:pPr>
        <w:pStyle w:val="BodyText"/>
      </w:pPr>
      <w:r>
        <w:t xml:space="preserve">Figure 1: rDNA region containing the variable regions ITS-1 and ITS-2. Our forward primer (ITS-1F) will target a portion of the SSU and our reverse primer (ITS4) will target a portion of the LSU. Thereby, amplifying both variable regions and the 5.8S subunit.</w:t>
      </w:r>
    </w:p>
    <w:bookmarkEnd w:id="94"/>
    <w:bookmarkStart w:id="95" w:name="materials-1"/>
    <w:p>
      <w:pPr>
        <w:pStyle w:val="Heading4"/>
      </w:pPr>
      <w:r>
        <w:t xml:space="preserve">Materials:</w:t>
      </w:r>
    </w:p>
    <w:p>
      <w:pPr>
        <w:pStyle w:val="Compact"/>
        <w:numPr>
          <w:ilvl w:val="0"/>
          <w:numId w:val="1056"/>
        </w:numPr>
      </w:pPr>
      <w:r>
        <w:t xml:space="preserve">DNA extractions with DS</w:t>
      </w:r>
    </w:p>
    <w:p>
      <w:pPr>
        <w:pStyle w:val="Compact"/>
        <w:numPr>
          <w:ilvl w:val="0"/>
          <w:numId w:val="1056"/>
        </w:numPr>
      </w:pPr>
      <w:r>
        <w:t xml:space="preserve">Control DNA sample</w:t>
      </w:r>
    </w:p>
    <w:p>
      <w:pPr>
        <w:pStyle w:val="Compact"/>
        <w:numPr>
          <w:ilvl w:val="0"/>
          <w:numId w:val="1056"/>
        </w:numPr>
      </w:pPr>
      <w:r>
        <w:t xml:space="preserve">0.2 mL PCR tubes</w:t>
      </w:r>
    </w:p>
    <w:p>
      <w:pPr>
        <w:pStyle w:val="Compact"/>
        <w:numPr>
          <w:ilvl w:val="0"/>
          <w:numId w:val="1056"/>
        </w:numPr>
      </w:pPr>
      <w:r>
        <w:t xml:space="preserve">P10 micropipette with tips</w:t>
      </w:r>
    </w:p>
    <w:p>
      <w:pPr>
        <w:pStyle w:val="Compact"/>
        <w:numPr>
          <w:ilvl w:val="0"/>
          <w:numId w:val="1056"/>
        </w:numPr>
      </w:pPr>
      <w:r>
        <w:t xml:space="preserve">P20 micropipette with tips</w:t>
      </w:r>
    </w:p>
    <w:p>
      <w:pPr>
        <w:pStyle w:val="Compact"/>
        <w:numPr>
          <w:ilvl w:val="0"/>
          <w:numId w:val="1056"/>
        </w:numPr>
      </w:pPr>
      <w:r>
        <w:t xml:space="preserve">P200 micropipette with tips</w:t>
      </w:r>
    </w:p>
    <w:p>
      <w:pPr>
        <w:pStyle w:val="Compact"/>
        <w:numPr>
          <w:ilvl w:val="0"/>
          <w:numId w:val="1056"/>
        </w:numPr>
      </w:pPr>
      <w:r>
        <w:t xml:space="preserve">P1000 micropipette with tips</w:t>
      </w:r>
    </w:p>
    <w:p>
      <w:pPr>
        <w:pStyle w:val="Compact"/>
        <w:numPr>
          <w:ilvl w:val="0"/>
          <w:numId w:val="1056"/>
        </w:numPr>
      </w:pPr>
      <w:r>
        <w:t xml:space="preserve">Master mix containing buffer (MgCl2, dNTPs, primers, polymerase enzyme)</w:t>
      </w:r>
    </w:p>
    <w:p>
      <w:pPr>
        <w:pStyle w:val="Compact"/>
        <w:numPr>
          <w:ilvl w:val="0"/>
          <w:numId w:val="1056"/>
        </w:numPr>
      </w:pPr>
      <w:r>
        <w:t xml:space="preserve">PCR tube centrifuge</w:t>
      </w:r>
    </w:p>
    <w:p>
      <w:pPr>
        <w:pStyle w:val="Compact"/>
        <w:numPr>
          <w:ilvl w:val="0"/>
          <w:numId w:val="1056"/>
        </w:numPr>
      </w:pPr>
      <w:r>
        <w:t xml:space="preserve">Thermal cycler</w:t>
      </w:r>
    </w:p>
    <w:bookmarkEnd w:id="95"/>
    <w:bookmarkStart w:id="96" w:name="procedures-1"/>
    <w:p>
      <w:pPr>
        <w:pStyle w:val="Heading4"/>
      </w:pPr>
      <w:r>
        <w:t xml:space="preserve">Procedures:</w:t>
      </w:r>
    </w:p>
    <w:p>
      <w:pPr>
        <w:pStyle w:val="FirstParagraph"/>
      </w:pPr>
      <w:r>
        <w:t xml:space="preserve">We will run 20 µL PCR reactions</w:t>
      </w:r>
      <w:r>
        <w:t xml:space="preserve"> </w:t>
      </w:r>
      <w:r>
        <w:t xml:space="preserve">1. Add 18 µL of PCR master mix (contains PCR buffer, polymerase enzyme, dNTPs, and primers) to one PCR tube per sample. You can use the same pipette tip to aliquot master mix to PCR tubes.</w:t>
      </w:r>
      <w:r>
        <w:t xml:space="preserve"> </w:t>
      </w:r>
      <w:r>
        <w:t xml:space="preserve">NOTE: Cap all PCR tubes when not in use to avoid cross-contamination.</w:t>
      </w:r>
      <w:r>
        <w:t xml:space="preserve"> </w:t>
      </w:r>
      <w:r>
        <w:t xml:space="preserve">2. Dilute DNA 1:10 (2 µl of DNA + 18 µL of DS)</w:t>
      </w:r>
      <w:r>
        <w:t xml:space="preserve"> </w:t>
      </w:r>
      <w:r>
        <w:t xml:space="preserve">3. Transfer 2 µL of your 1:10 diluted DNA to one PCR tube containing master mix.</w:t>
      </w:r>
      <w:r>
        <w:t xml:space="preserve"> </w:t>
      </w:r>
      <w:r>
        <w:t xml:space="preserve">NOTE: Only one sample per tube and make sure to use a fresh tip for each sample to avoid cross-contamination.</w:t>
      </w:r>
      <w:r>
        <w:t xml:space="preserve"> </w:t>
      </w:r>
      <w:r>
        <w:t xml:space="preserve">4. Spin down your tubes before placing them in the thermal cycler. Run the reaction and observe the temperature cycles. After the reactions are finished, we will store your PCR products at -20 °C.</w:t>
      </w:r>
    </w:p>
    <w:bookmarkEnd w:id="96"/>
    <w:bookmarkStart w:id="97" w:name="X7a9437114b66a535474c7c1f8d36e2e2fb635f1"/>
    <w:p>
      <w:pPr>
        <w:pStyle w:val="Heading4"/>
      </w:pPr>
      <w:r>
        <w:t xml:space="preserve">PCR Troubleshooting after Gel Electrophoresis</w:t>
      </w:r>
    </w:p>
    <w:p>
      <w:pPr>
        <w:pStyle w:val="Compact"/>
        <w:numPr>
          <w:ilvl w:val="0"/>
          <w:numId w:val="1057"/>
        </w:numPr>
      </w:pPr>
      <w:r>
        <w:t xml:space="preserve">No amplification on any samples: check primers, polymerase, and other reagents.</w:t>
      </w:r>
    </w:p>
    <w:p>
      <w:pPr>
        <w:pStyle w:val="Compact"/>
        <w:numPr>
          <w:ilvl w:val="0"/>
          <w:numId w:val="1057"/>
        </w:numPr>
      </w:pPr>
      <w:r>
        <w:t xml:space="preserve">Positive control OK, but samples show no amplification: Try dilutions of samples to check for inhibitors. Try a control with a primer set for common organisms to check that you can PCR something. Check the DNA amount.</w:t>
      </w:r>
    </w:p>
    <w:p>
      <w:pPr>
        <w:pStyle w:val="Compact"/>
        <w:numPr>
          <w:ilvl w:val="0"/>
          <w:numId w:val="1057"/>
        </w:numPr>
      </w:pPr>
      <w:r>
        <w:t xml:space="preserve">Weak or multiple bands, smear: Mispriming from the incorrect program. Check primer concentration: an imbalance of primers can lead to multiple bands.</w:t>
      </w:r>
    </w:p>
    <w:bookmarkEnd w:id="97"/>
    <w:bookmarkEnd w:id="98"/>
    <w:bookmarkStart w:id="103" w:name="Xa56d1bcb59fce4b4b930a83e03267d90d70e02d"/>
    <w:p>
      <w:pPr>
        <w:pStyle w:val="Heading3"/>
      </w:pPr>
      <w:r>
        <w:t xml:space="preserve">Part III: Gel Electrophoresis Introduction</w:t>
      </w:r>
    </w:p>
    <w:p>
      <w:pPr>
        <w:pStyle w:val="FirstParagraph"/>
      </w:pPr>
      <w:r>
        <w:t xml:space="preserve">Gel electrophoresis is a technique used to separate and analyze DNA based on fragment sizes and to verify the success of PCR. Gel electrophoresis separates DNA molecules based on size by applying an electrical current to either side of the gel. Since DNA is negatively charged, we load our DNA on the positive side of the gel to allow it to run toward the positive side of the gel when power is applied. The agarose gel allows the separation of DNA fragments based on size as the polysaccharide matrix acts as a sieve allowing small fragments to migrate faster and larger fragments slower.</w:t>
      </w:r>
    </w:p>
    <w:p>
      <w:pPr>
        <w:pStyle w:val="BodyText"/>
      </w:pPr>
      <w:r>
        <w:t xml:space="preserve">Today, we will use gel electrophoresis to verify the success of our PCR reaction. We are looking for PCR product bands between</w:t>
      </w:r>
    </w:p>
    <w:bookmarkStart w:id="99" w:name="X1d0f71b5e6ce6f8901c0f085ed862647f0d1b0d"/>
    <w:p>
      <w:pPr>
        <w:pStyle w:val="Heading4"/>
      </w:pPr>
      <w:r>
        <w:t xml:space="preserve">Prep 1% agarose gels for gel electrophoresis</w:t>
      </w:r>
    </w:p>
    <w:p>
      <w:pPr>
        <w:pStyle w:val="FirstParagraph"/>
      </w:pPr>
      <w:r>
        <w:t xml:space="preserve">To give enough time for the gel to cool and solidify, this task should be done in the first hour of the lab.</w:t>
      </w:r>
    </w:p>
    <w:bookmarkEnd w:id="99"/>
    <w:bookmarkStart w:id="100" w:name="materials-needed"/>
    <w:p>
      <w:pPr>
        <w:pStyle w:val="Heading4"/>
      </w:pPr>
      <w:r>
        <w:t xml:space="preserve">Materials needed:</w:t>
      </w:r>
    </w:p>
    <w:p>
      <w:pPr>
        <w:pStyle w:val="Compact"/>
        <w:numPr>
          <w:ilvl w:val="0"/>
          <w:numId w:val="1058"/>
        </w:numPr>
      </w:pPr>
      <w:r>
        <w:t xml:space="preserve">Agarose</w:t>
      </w:r>
    </w:p>
    <w:p>
      <w:pPr>
        <w:pStyle w:val="Compact"/>
        <w:numPr>
          <w:ilvl w:val="0"/>
          <w:numId w:val="1058"/>
        </w:numPr>
      </w:pPr>
      <w:r>
        <w:t xml:space="preserve">1X TAE (or TE, TBE, or SB) buffer to make gels and running buffer</w:t>
      </w:r>
      <w:r>
        <w:t xml:space="preserve"> </w:t>
      </w:r>
      <w:r>
        <w:t xml:space="preserve">Note: Use the same buffer for making and running the gel</w:t>
      </w:r>
    </w:p>
    <w:p>
      <w:pPr>
        <w:pStyle w:val="Compact"/>
        <w:numPr>
          <w:ilvl w:val="0"/>
          <w:numId w:val="1058"/>
        </w:numPr>
      </w:pPr>
      <w:r>
        <w:t xml:space="preserve">SYBR Safe to visualize DNA</w:t>
      </w:r>
    </w:p>
    <w:p>
      <w:pPr>
        <w:pStyle w:val="Compact"/>
        <w:numPr>
          <w:ilvl w:val="0"/>
          <w:numId w:val="1058"/>
        </w:numPr>
      </w:pPr>
      <w:r>
        <w:t xml:space="preserve">250 mL Erlenmeyer Flask</w:t>
      </w:r>
    </w:p>
    <w:p>
      <w:pPr>
        <w:pStyle w:val="Compact"/>
        <w:numPr>
          <w:ilvl w:val="0"/>
          <w:numId w:val="1058"/>
        </w:numPr>
      </w:pPr>
      <w:r>
        <w:t xml:space="preserve">P20 micropipette with tips</w:t>
      </w:r>
    </w:p>
    <w:p>
      <w:pPr>
        <w:pStyle w:val="Compact"/>
        <w:numPr>
          <w:ilvl w:val="0"/>
          <w:numId w:val="1058"/>
        </w:numPr>
      </w:pPr>
      <w:r>
        <w:t xml:space="preserve">PCR products</w:t>
      </w:r>
    </w:p>
    <w:p>
      <w:pPr>
        <w:pStyle w:val="Compact"/>
        <w:numPr>
          <w:ilvl w:val="0"/>
          <w:numId w:val="1058"/>
        </w:numPr>
      </w:pPr>
      <w:r>
        <w:t xml:space="preserve">100 bp Ladder</w:t>
      </w:r>
    </w:p>
    <w:p>
      <w:pPr>
        <w:pStyle w:val="Compact"/>
        <w:numPr>
          <w:ilvl w:val="0"/>
          <w:numId w:val="1058"/>
        </w:numPr>
      </w:pPr>
      <w:r>
        <w:t xml:space="preserve">Digital Balance</w:t>
      </w:r>
    </w:p>
    <w:p>
      <w:pPr>
        <w:pStyle w:val="Compact"/>
        <w:numPr>
          <w:ilvl w:val="0"/>
          <w:numId w:val="1058"/>
        </w:numPr>
      </w:pPr>
      <w:r>
        <w:t xml:space="preserve">Weigh Boats</w:t>
      </w:r>
    </w:p>
    <w:p>
      <w:pPr>
        <w:pStyle w:val="Compact"/>
        <w:numPr>
          <w:ilvl w:val="0"/>
          <w:numId w:val="1058"/>
        </w:numPr>
      </w:pPr>
      <w:r>
        <w:t xml:space="preserve">Gel rigs</w:t>
      </w:r>
    </w:p>
    <w:p>
      <w:pPr>
        <w:pStyle w:val="Compact"/>
        <w:numPr>
          <w:ilvl w:val="0"/>
          <w:numId w:val="1058"/>
        </w:numPr>
      </w:pPr>
      <w:r>
        <w:t xml:space="preserve">Gel comb</w:t>
      </w:r>
    </w:p>
    <w:p>
      <w:pPr>
        <w:pStyle w:val="Compact"/>
        <w:numPr>
          <w:ilvl w:val="0"/>
          <w:numId w:val="1058"/>
        </w:numPr>
      </w:pPr>
      <w:r>
        <w:t xml:space="preserve">Power source</w:t>
      </w:r>
    </w:p>
    <w:bookmarkEnd w:id="100"/>
    <w:bookmarkStart w:id="101" w:name="X27e3611931edb00682f71c58d3e85dfeecf25c4"/>
    <w:p>
      <w:pPr>
        <w:pStyle w:val="Heading4"/>
      </w:pPr>
      <w:r>
        <w:t xml:space="preserve">Gel Preparation Protocol (Prep gel at least 20 minutes prior to use)</w:t>
      </w:r>
    </w:p>
    <w:p>
      <w:pPr>
        <w:pStyle w:val="Compact"/>
        <w:numPr>
          <w:ilvl w:val="0"/>
          <w:numId w:val="1059"/>
        </w:numPr>
      </w:pPr>
      <w:r>
        <w:t xml:space="preserve">Measure 100 mL of 1x TE buffer in an Erlenmeyer flask.</w:t>
      </w:r>
    </w:p>
    <w:p>
      <w:pPr>
        <w:pStyle w:val="Compact"/>
        <w:numPr>
          <w:ilvl w:val="0"/>
          <w:numId w:val="1059"/>
        </w:numPr>
      </w:pPr>
      <w:r>
        <w:t xml:space="preserve">Add 1 gram of agarose to the buffer.</w:t>
      </w:r>
    </w:p>
    <w:p>
      <w:pPr>
        <w:pStyle w:val="Compact"/>
        <w:numPr>
          <w:ilvl w:val="0"/>
          <w:numId w:val="1059"/>
        </w:numPr>
      </w:pPr>
      <w:r>
        <w:t xml:space="preserve">Microwave for 30-second intervals.</w:t>
      </w:r>
    </w:p>
    <w:p>
      <w:pPr>
        <w:pStyle w:val="Compact"/>
        <w:numPr>
          <w:ilvl w:val="0"/>
          <w:numId w:val="1059"/>
        </w:numPr>
      </w:pPr>
      <w:r>
        <w:t xml:space="preserve">Remove and swirl after each interval. If you still see un-melted agarose, continue in 30-second intervals until completely melted. If the agarose starts to boil, stop the microwave immediately to prevent it from boiling over.</w:t>
      </w:r>
    </w:p>
    <w:p>
      <w:pPr>
        <w:pStyle w:val="Compact"/>
        <w:numPr>
          <w:ilvl w:val="0"/>
          <w:numId w:val="1059"/>
        </w:numPr>
      </w:pPr>
      <w:r>
        <w:t xml:space="preserve">Once all the agarose is melted, let sit on the counter until it cools enough to handle. Don’t let it cool too long as it will solidify.</w:t>
      </w:r>
    </w:p>
    <w:p>
      <w:pPr>
        <w:pStyle w:val="Compact"/>
        <w:numPr>
          <w:ilvl w:val="0"/>
          <w:numId w:val="1059"/>
        </w:numPr>
      </w:pPr>
      <w:r>
        <w:t xml:space="preserve">Set up the agarose mold and add a comb.</w:t>
      </w:r>
    </w:p>
    <w:p>
      <w:pPr>
        <w:pStyle w:val="Compact"/>
        <w:numPr>
          <w:ilvl w:val="0"/>
          <w:numId w:val="1059"/>
        </w:numPr>
      </w:pPr>
      <w:r>
        <w:t xml:space="preserve">Once the agarose has cooled to the touch. Pour into the mold. Make sure the agarose is approximately 1/3 to 1/2 way up the combs.</w:t>
      </w:r>
    </w:p>
    <w:p>
      <w:pPr>
        <w:pStyle w:val="Compact"/>
        <w:numPr>
          <w:ilvl w:val="0"/>
          <w:numId w:val="1059"/>
        </w:numPr>
      </w:pPr>
      <w:r>
        <w:t xml:space="preserve">If bubbles are present, use a micropipette tip to draw them to the sides of the gel.</w:t>
      </w:r>
    </w:p>
    <w:p>
      <w:pPr>
        <w:pStyle w:val="Compact"/>
        <w:numPr>
          <w:ilvl w:val="0"/>
          <w:numId w:val="1059"/>
        </w:numPr>
      </w:pPr>
      <w:r>
        <w:t xml:space="preserve">Allow approximately 20 minutes for the gel to solidify and become somewhat translucent.</w:t>
      </w:r>
    </w:p>
    <w:p>
      <w:pPr>
        <w:pStyle w:val="Compact"/>
        <w:numPr>
          <w:ilvl w:val="0"/>
          <w:numId w:val="1059"/>
        </w:numPr>
      </w:pPr>
      <w:r>
        <w:t xml:space="preserve">Gently remove the comb.</w:t>
      </w:r>
    </w:p>
    <w:p>
      <w:pPr>
        <w:pStyle w:val="Compact"/>
        <w:numPr>
          <w:ilvl w:val="0"/>
          <w:numId w:val="1059"/>
        </w:numPr>
      </w:pPr>
      <w:r>
        <w:t xml:space="preserve">Remove gel from casting mold and place in gel rig. The gel rig is oriented to</w:t>
      </w:r>
      <w:r>
        <w:t xml:space="preserve"> </w:t>
      </w:r>
      <w:r>
        <w:t xml:space="preserve">“run to red.”</w:t>
      </w:r>
      <w:r>
        <w:t xml:space="preserve"> </w:t>
      </w:r>
      <w:r>
        <w:t xml:space="preserve">Place the wells created from the comb towards the black electrode, opposite the red electrode.</w:t>
      </w:r>
    </w:p>
    <w:p>
      <w:pPr>
        <w:pStyle w:val="Compact"/>
        <w:numPr>
          <w:ilvl w:val="0"/>
          <w:numId w:val="1059"/>
        </w:numPr>
      </w:pPr>
      <w:r>
        <w:t xml:space="preserve">Gels can be wrapped in saran wrap and stored for approximately 1 week.</w:t>
      </w:r>
    </w:p>
    <w:bookmarkEnd w:id="101"/>
    <w:bookmarkStart w:id="102" w:name="gel-loading"/>
    <w:p>
      <w:pPr>
        <w:pStyle w:val="Heading4"/>
      </w:pPr>
      <w:r>
        <w:t xml:space="preserve">Gel Loading:</w:t>
      </w:r>
    </w:p>
    <w:p>
      <w:pPr>
        <w:pStyle w:val="Compact"/>
        <w:numPr>
          <w:ilvl w:val="0"/>
          <w:numId w:val="1060"/>
        </w:numPr>
      </w:pPr>
      <w:r>
        <w:t xml:space="preserve">Fill the gel rig with 1X TAE (or equivalent) buffer until it covers the surface of the gel.</w:t>
      </w:r>
    </w:p>
    <w:p>
      <w:pPr>
        <w:pStyle w:val="Compact"/>
        <w:numPr>
          <w:ilvl w:val="0"/>
          <w:numId w:val="1060"/>
        </w:numPr>
      </w:pPr>
      <w:r>
        <w:t xml:space="preserve">Make a map of your samples in your gel.</w:t>
      </w:r>
    </w:p>
    <w:p>
      <w:pPr>
        <w:pStyle w:val="Compact"/>
        <w:numPr>
          <w:ilvl w:val="0"/>
          <w:numId w:val="1060"/>
        </w:numPr>
      </w:pPr>
      <w:r>
        <w:t xml:space="preserve">Load Gel</w:t>
      </w:r>
    </w:p>
    <w:p>
      <w:pPr>
        <w:pStyle w:val="Compact"/>
        <w:numPr>
          <w:ilvl w:val="1"/>
          <w:numId w:val="1061"/>
        </w:numPr>
      </w:pPr>
      <w:r>
        <w:t xml:space="preserve">PCR product without loading dye: Using a micropipettor add drops (less than 1 μL) of loading dye to the plastic side of parafilm. Add 5 μL PCR product to loading dye. Swirl with pipette tip. Draw up the product and proceed to step 4.</w:t>
      </w:r>
    </w:p>
    <w:p>
      <w:pPr>
        <w:pStyle w:val="Compact"/>
        <w:numPr>
          <w:ilvl w:val="1"/>
          <w:numId w:val="1061"/>
        </w:numPr>
      </w:pPr>
      <w:r>
        <w:t xml:space="preserve">PCR product with loading dye: Draw up 5 μL of PCR product using micropipette.</w:t>
      </w:r>
    </w:p>
    <w:p>
      <w:pPr>
        <w:pStyle w:val="Compact"/>
        <w:numPr>
          <w:ilvl w:val="0"/>
          <w:numId w:val="1060"/>
        </w:numPr>
      </w:pPr>
      <w:r>
        <w:t xml:space="preserve">Dip pipette tip into the submerged well very carefully, without piercing through the gel. Depress the pipette slowly. Too much pressure or speed will force the sample out of the well. Without releasing the plunger, draw out the pipette. If you release the plunger, you will draw your sample back into the pipette.</w:t>
      </w:r>
    </w:p>
    <w:p>
      <w:pPr>
        <w:pStyle w:val="Compact"/>
        <w:numPr>
          <w:ilvl w:val="0"/>
          <w:numId w:val="1060"/>
        </w:numPr>
      </w:pPr>
      <w:r>
        <w:t xml:space="preserve">Be sure to reserve one well per row for a standardized DNA ladder.</w:t>
      </w:r>
    </w:p>
    <w:p>
      <w:pPr>
        <w:pStyle w:val="Compact"/>
        <w:numPr>
          <w:ilvl w:val="0"/>
          <w:numId w:val="1060"/>
        </w:numPr>
      </w:pPr>
      <w:r>
        <w:t xml:space="preserve">Run at 300 volts for about 15 minutes</w:t>
      </w:r>
    </w:p>
    <w:p>
      <w:pPr>
        <w:pStyle w:val="Compact"/>
        <w:numPr>
          <w:ilvl w:val="1"/>
          <w:numId w:val="1062"/>
        </w:numPr>
      </w:pPr>
      <w:r>
        <w:t xml:space="preserve">Keep an eye on the migration of your PCR product across the gel to ensure it doesn’t run off the other end of the gel.</w:t>
      </w:r>
    </w:p>
    <w:p>
      <w:pPr>
        <w:pStyle w:val="Compact"/>
        <w:numPr>
          <w:ilvl w:val="0"/>
          <w:numId w:val="1060"/>
        </w:numPr>
      </w:pPr>
      <w:r>
        <w:t xml:space="preserve">Visualize with UV light.</w:t>
      </w:r>
    </w:p>
    <w:bookmarkEnd w:id="102"/>
    <w:bookmarkEnd w:id="103"/>
    <w:bookmarkStart w:id="104" w:name="part-iv-pcr-cleanup"/>
    <w:p>
      <w:pPr>
        <w:pStyle w:val="Heading3"/>
      </w:pPr>
      <w:r>
        <w:t xml:space="preserve">Part IV: PCR Cleanup</w:t>
      </w:r>
    </w:p>
    <w:p>
      <w:pPr>
        <w:pStyle w:val="FirstParagraph"/>
      </w:pPr>
      <w:r>
        <w:t xml:space="preserve">In order to sequence PCR products, the primers and other contaminants must be removed.</w:t>
      </w:r>
      <w:r>
        <w:t xml:space="preserve"> </w:t>
      </w:r>
      <w:r>
        <w:t xml:space="preserve">1. Remove ExoSAP-IT™ reagent from –20 °C freezer and keep on ice throughout this procedure.</w:t>
      </w:r>
      <w:r>
        <w:t xml:space="preserve"> </w:t>
      </w:r>
      <w:r>
        <w:t xml:space="preserve">2. Mix 5 µL of a post-PCR reaction product with 2 µL of ExoSAPIT™ reagent for a combined 7 µL reaction volume. When treating PCR product volumes greater than 5 µL, simply increase the amount of ExoSAP-IT™ reagent proportionally.</w:t>
      </w:r>
      <w:r>
        <w:t xml:space="preserve"> </w:t>
      </w:r>
      <w:r>
        <w:t xml:space="preserve">3. Incubate at 37 °C for 15 minutes to degrade remaining primers and nucleotides.</w:t>
      </w:r>
      <w:r>
        <w:t xml:space="preserve"> </w:t>
      </w:r>
      <w:r>
        <w:t xml:space="preserve">4. Incubate at 80 °C for 15 minutes to inactivate ExoSAP-IT™ reagent.</w:t>
      </w:r>
      <w:r>
        <w:t xml:space="preserve"> </w:t>
      </w:r>
      <w:r>
        <w:t xml:space="preserve">5. The PCR product is now ready for use in DNA sequencing. Treated PCR products may be stored at –20°C until required</w:t>
      </w:r>
    </w:p>
    <w:bookmarkEnd w:id="104"/>
    <w:bookmarkStart w:id="105" w:name="part-v-sanger-sequencing"/>
    <w:p>
      <w:pPr>
        <w:pStyle w:val="Heading3"/>
      </w:pPr>
      <w:r>
        <w:t xml:space="preserve">Part V: Sanger Sequencing</w:t>
      </w:r>
    </w:p>
    <w:p>
      <w:pPr>
        <w:pStyle w:val="FirstParagraph"/>
      </w:pPr>
      <w:r>
        <w:t xml:space="preserve">Your cleaned PCR product will be sent to an external facility for Sanger sequencing.</w:t>
      </w:r>
    </w:p>
    <w:bookmarkEnd w:id="105"/>
    <w:bookmarkStart w:id="107" w:name="X119230681215c553508703bd9b858aabc863314"/>
    <w:p>
      <w:pPr>
        <w:pStyle w:val="Heading3"/>
      </w:pPr>
      <w:r>
        <w:t xml:space="preserve">Part VI: Identifying Species using DNA Barcode</w:t>
      </w:r>
    </w:p>
    <w:bookmarkStart w:id="106" w:name="identify-your-sequence-data-using-blast"/>
    <w:p>
      <w:pPr>
        <w:pStyle w:val="Heading4"/>
      </w:pPr>
      <w:r>
        <w:t xml:space="preserve">Identify your sequence data using BLAST</w:t>
      </w:r>
    </w:p>
    <w:p>
      <w:pPr>
        <w:pStyle w:val="FirstParagraph"/>
      </w:pPr>
      <w:r>
        <w:t xml:space="preserve">To identify the sequence you’ve produced and determine if it represents the specimen you’ve sequenced and not some other contaminant, you can compare the sequence to a database of reference sequences. This is from the National Center for Biotechnology Information’s (NCBI) Genbank database.</w:t>
      </w:r>
    </w:p>
    <w:p>
      <w:pPr>
        <w:pStyle w:val="Compact"/>
        <w:numPr>
          <w:ilvl w:val="0"/>
          <w:numId w:val="1063"/>
        </w:numPr>
      </w:pPr>
      <w:r>
        <w:t xml:space="preserve">Go to NCBI: https://www.ncbi.nlm.nih.gov/.</w:t>
      </w:r>
    </w:p>
    <w:p>
      <w:pPr>
        <w:pStyle w:val="Compact"/>
        <w:numPr>
          <w:ilvl w:val="0"/>
          <w:numId w:val="1063"/>
        </w:numPr>
      </w:pPr>
      <w:r>
        <w:t xml:space="preserve">Click on</w:t>
      </w:r>
      <w:r>
        <w:t xml:space="preserve"> </w:t>
      </w:r>
      <w:r>
        <w:t xml:space="preserve">“BLAST”</w:t>
      </w:r>
      <w:r>
        <w:t xml:space="preserve"> </w:t>
      </w:r>
      <w:r>
        <w:t xml:space="preserve">in the right-hand column under</w:t>
      </w:r>
      <w:r>
        <w:t xml:space="preserve"> </w:t>
      </w:r>
      <w:r>
        <w:t xml:space="preserve">“Popular Resources”</w:t>
      </w:r>
    </w:p>
    <w:p>
      <w:pPr>
        <w:pStyle w:val="Compact"/>
        <w:numPr>
          <w:ilvl w:val="1"/>
          <w:numId w:val="1064"/>
        </w:numPr>
      </w:pPr>
      <w:r>
        <w:t xml:space="preserve">BLAST = Basic Local Alignment Search Tool</w:t>
      </w:r>
    </w:p>
    <w:p>
      <w:pPr>
        <w:pStyle w:val="Compact"/>
        <w:numPr>
          <w:ilvl w:val="0"/>
          <w:numId w:val="1063"/>
        </w:numPr>
      </w:pPr>
      <w:r>
        <w:t xml:space="preserve">Click on the Nucleotide BLAST image.</w:t>
      </w:r>
    </w:p>
    <w:p>
      <w:pPr>
        <w:pStyle w:val="Compact"/>
        <w:numPr>
          <w:ilvl w:val="1"/>
          <w:numId w:val="1065"/>
        </w:numPr>
      </w:pPr>
      <w:r>
        <w:t xml:space="preserve">There are numerous BLAST options depending on the data you are working with. The two basics are nucleotides and amino acid (=Protein) sequence BLASTS. The blastx and blastn options allow you to convert these sequences into the complementary format.</w:t>
      </w:r>
    </w:p>
    <w:p>
      <w:pPr>
        <w:pStyle w:val="Compact"/>
        <w:numPr>
          <w:ilvl w:val="0"/>
          <w:numId w:val="1063"/>
        </w:numPr>
      </w:pPr>
      <w:r>
        <w:t xml:space="preserve">Paste your sequence data into the big space under</w:t>
      </w:r>
      <w:r>
        <w:t xml:space="preserve"> </w:t>
      </w:r>
      <w:r>
        <w:t xml:space="preserve">“Enter Query Sequence”</w:t>
      </w:r>
      <w:r>
        <w:t xml:space="preserve">.</w:t>
      </w:r>
    </w:p>
    <w:p>
      <w:pPr>
        <w:pStyle w:val="Compact"/>
        <w:numPr>
          <w:ilvl w:val="1"/>
          <w:numId w:val="1066"/>
        </w:numPr>
      </w:pPr>
      <w:r>
        <w:t xml:space="preserve">Open your FASTA file and select your sequences. This is the DNA sequence from the beginning of the</w:t>
      </w:r>
      <w:r>
        <w:t xml:space="preserve"> </w:t>
      </w:r>
      <w:r>
        <w:t xml:space="preserve">“&gt;”</w:t>
      </w:r>
      <w:r>
        <w:t xml:space="preserve"> </w:t>
      </w:r>
      <w:r>
        <w:t xml:space="preserve">symbol, all the way to the end (e.g., the beginning of the next</w:t>
      </w:r>
      <w:r>
        <w:t xml:space="preserve"> </w:t>
      </w:r>
      <w:r>
        <w:t xml:space="preserve">“&gt;”</w:t>
      </w:r>
      <w:r>
        <w:t xml:space="preserve"> </w:t>
      </w:r>
      <w:r>
        <w:t xml:space="preserve">symbol).</w:t>
      </w:r>
    </w:p>
    <w:p>
      <w:pPr>
        <w:pStyle w:val="Compact"/>
        <w:numPr>
          <w:ilvl w:val="0"/>
          <w:numId w:val="1063"/>
        </w:numPr>
      </w:pPr>
      <w:r>
        <w:t xml:space="preserve">Under Choose Search Set you can keep it under</w:t>
      </w:r>
      <w:r>
        <w:t xml:space="preserve"> </w:t>
      </w:r>
      <w:r>
        <w:t xml:space="preserve">“Standard databases (nr etc.)”</w:t>
      </w:r>
      <w:r>
        <w:t xml:space="preserve">.</w:t>
      </w:r>
    </w:p>
    <w:p>
      <w:pPr>
        <w:pStyle w:val="Compact"/>
        <w:numPr>
          <w:ilvl w:val="1"/>
          <w:numId w:val="1067"/>
        </w:numPr>
      </w:pPr>
      <w:r>
        <w:t xml:space="preserve">You can come back and re-perform the BLAST using the</w:t>
      </w:r>
      <w:r>
        <w:t xml:space="preserve"> </w:t>
      </w:r>
      <w:r>
        <w:t xml:space="preserve">“rRNA/ITS databases”</w:t>
      </w:r>
      <w:r>
        <w:t xml:space="preserve">. After selecting this, choose</w:t>
      </w:r>
      <w:r>
        <w:t xml:space="preserve"> </w:t>
      </w:r>
      <w:r>
        <w:t xml:space="preserve">“Internal transcribed spacer region (ITS) from Fungi type and reference material”</w:t>
      </w:r>
      <w:r>
        <w:t xml:space="preserve">. This will be a much narrower database and set of comparisons, but the confidence in the results providing a correct ID will be</w:t>
      </w:r>
      <w:r>
        <w:t xml:space="preserve"> </w:t>
      </w:r>
      <w:r>
        <w:rPr>
          <w:i/>
          <w:iCs/>
        </w:rPr>
        <w:t xml:space="preserve">MUCH</w:t>
      </w:r>
      <w:r>
        <w:t xml:space="preserve"> </w:t>
      </w:r>
      <w:r>
        <w:t xml:space="preserve">higher.</w:t>
      </w:r>
    </w:p>
    <w:p>
      <w:pPr>
        <w:pStyle w:val="Compact"/>
        <w:numPr>
          <w:ilvl w:val="0"/>
          <w:numId w:val="1063"/>
        </w:numPr>
      </w:pPr>
      <w:r>
        <w:t xml:space="preserve">Select the</w:t>
      </w:r>
      <w:r>
        <w:t xml:space="preserve"> </w:t>
      </w:r>
      <w:r>
        <w:t xml:space="preserve">“BLAST”</w:t>
      </w:r>
      <w:r>
        <w:t xml:space="preserve"> </w:t>
      </w:r>
      <w:r>
        <w:t xml:space="preserve">button at the end.</w:t>
      </w:r>
    </w:p>
    <w:p>
      <w:pPr>
        <w:pStyle w:val="Compact"/>
        <w:numPr>
          <w:ilvl w:val="1"/>
          <w:numId w:val="1068"/>
        </w:numPr>
      </w:pPr>
      <w:r>
        <w:t xml:space="preserve">Genbank will then begin to query your sequence against sequences in the database. The top hit that comes back will be the sequence that is most like your sequence based on several stats.</w:t>
      </w:r>
    </w:p>
    <w:p>
      <w:pPr>
        <w:pStyle w:val="Compact"/>
        <w:numPr>
          <w:ilvl w:val="1"/>
          <w:numId w:val="1068"/>
        </w:numPr>
      </w:pPr>
      <w:r>
        <w:t xml:space="preserve">Percent Identity = What percent of your sequence (query sequence) is identical to the matched sequence.</w:t>
      </w:r>
    </w:p>
    <w:p>
      <w:pPr>
        <w:pStyle w:val="Compact"/>
        <w:numPr>
          <w:ilvl w:val="1"/>
          <w:numId w:val="1068"/>
        </w:numPr>
      </w:pPr>
      <w:r>
        <w:t xml:space="preserve">Query Cover = How much of the query sequence covers the matched sequence.</w:t>
      </w:r>
    </w:p>
    <w:p>
      <w:pPr>
        <w:pStyle w:val="Compact"/>
        <w:numPr>
          <w:ilvl w:val="1"/>
          <w:numId w:val="1068"/>
        </w:numPr>
      </w:pPr>
      <w:r>
        <w:t xml:space="preserve">E value = The probability that this match occurred by chance in the provided database.</w:t>
      </w:r>
    </w:p>
    <w:p>
      <w:pPr>
        <w:pStyle w:val="Compact"/>
        <w:numPr>
          <w:ilvl w:val="0"/>
          <w:numId w:val="1063"/>
        </w:numPr>
      </w:pPr>
      <w:r>
        <w:t xml:space="preserve">Review the results.</w:t>
      </w:r>
    </w:p>
    <w:p>
      <w:pPr>
        <w:pStyle w:val="Compact"/>
        <w:numPr>
          <w:ilvl w:val="1"/>
          <w:numId w:val="1069"/>
        </w:numPr>
      </w:pPr>
      <w:r>
        <w:t xml:space="preserve">What is the</w:t>
      </w:r>
      <w:r>
        <w:t xml:space="preserve"> </w:t>
      </w:r>
      <w:r>
        <w:t xml:space="preserve">“top hit”</w:t>
      </w:r>
      <w:r>
        <w:t xml:space="preserve">?</w:t>
      </w:r>
    </w:p>
    <w:p>
      <w:pPr>
        <w:pStyle w:val="Compact"/>
        <w:numPr>
          <w:ilvl w:val="1"/>
          <w:numId w:val="1069"/>
        </w:numPr>
      </w:pPr>
      <w:r>
        <w:t xml:space="preserve">How much support is provided for this hit given the current database used?</w:t>
      </w:r>
    </w:p>
    <w:p>
      <w:pPr>
        <w:pStyle w:val="Compact"/>
        <w:numPr>
          <w:ilvl w:val="1"/>
          <w:numId w:val="1069"/>
        </w:numPr>
      </w:pPr>
      <w:r>
        <w:t xml:space="preserve">What is the taxonomic ID of this result? What kind of fungi are these?</w:t>
      </w:r>
    </w:p>
    <w:p>
      <w:pPr>
        <w:pStyle w:val="Compact"/>
        <w:numPr>
          <w:ilvl w:val="1"/>
          <w:numId w:val="1069"/>
        </w:numPr>
      </w:pPr>
      <w:r>
        <w:t xml:space="preserve">You may google the names and search under Wikipedia to get a better understanding of these organisms and what is known.</w:t>
      </w:r>
    </w:p>
    <w:bookmarkEnd w:id="106"/>
    <w:bookmarkEnd w:id="107"/>
    <w:bookmarkStart w:id="108" w:name="Xcb8d6e6bb4bb243cf7eddf79d1da1ef522e8a0a"/>
    <w:p>
      <w:pPr>
        <w:pStyle w:val="Heading3"/>
      </w:pPr>
      <w:r>
        <w:t xml:space="preserve">Part VII: Data Management - Spreadsheets and iNaturalist</w:t>
      </w:r>
    </w:p>
    <w:p>
      <w:pPr>
        <w:pStyle w:val="FirstParagraph"/>
      </w:pPr>
      <w:r>
        <w:t xml:space="preserve">[Content for this part would continue from the protocols, but it’s cut off in the text]</w:t>
      </w:r>
    </w:p>
    <w:bookmarkEnd w:id="108"/>
    <w:bookmarkEnd w:id="109"/>
    <w:bookmarkEnd w:id="110"/>
    <w:bookmarkStart w:id="121" w:name="module-5-tissue-preparation"/>
    <w:p>
      <w:pPr>
        <w:pStyle w:val="Heading1"/>
      </w:pPr>
      <w:r>
        <w:t xml:space="preserve">Module 5: Tissue Preparation</w:t>
      </w:r>
    </w:p>
    <w:bookmarkStart w:id="112" w:name="X0d17ba572a281133a22d073b368b9fbe73454ca"/>
    <w:p>
      <w:pPr>
        <w:pStyle w:val="Heading2"/>
      </w:pPr>
      <w:r>
        <w:t xml:space="preserve">Module 5.1 – Tissue Preparation for Genome Sequencing</w:t>
      </w:r>
    </w:p>
    <w:bookmarkStart w:id="111" w:name="Xaadd1af7be5342dd14d66f9d9ba06249647885a"/>
    <w:p>
      <w:pPr>
        <w:pStyle w:val="Heading3"/>
      </w:pPr>
      <w:r>
        <w:t xml:space="preserve">Instructor Laboratory Preparation Instructions</w:t>
      </w:r>
    </w:p>
    <w:p>
      <w:pPr>
        <w:pStyle w:val="FirstParagraph"/>
      </w:pPr>
      <w:r>
        <w:rPr>
          <w:b/>
          <w:bCs/>
        </w:rPr>
        <w:t xml:space="preserve">Materials and Equipment:</w:t>
      </w:r>
      <w:r>
        <w:t xml:space="preserve"> </w:t>
      </w:r>
      <w:r>
        <w:t xml:space="preserve">- Autoclave</w:t>
      </w:r>
      <w:r>
        <w:t xml:space="preserve"> </w:t>
      </w:r>
      <w:r>
        <w:t xml:space="preserve">- Laminar Flow Hood (if available)</w:t>
      </w:r>
      <w:r>
        <w:t xml:space="preserve"> </w:t>
      </w:r>
      <w:r>
        <w:t xml:space="preserve">- Cellophane</w:t>
      </w:r>
      <w:r>
        <w:t xml:space="preserve"> </w:t>
      </w:r>
      <w:r>
        <w:t xml:space="preserve">- 100x15mm Petri Dishes</w:t>
      </w:r>
      <w:r>
        <w:t xml:space="preserve"> </w:t>
      </w:r>
      <w:r>
        <w:t xml:space="preserve">- 60x15mm Petri Dishes</w:t>
      </w:r>
      <w:r>
        <w:t xml:space="preserve"> </w:t>
      </w:r>
      <w:r>
        <w:t xml:space="preserve">- Agar, Bacteriological</w:t>
      </w:r>
      <w:r>
        <w:t xml:space="preserve"> </w:t>
      </w:r>
      <w:r>
        <w:t xml:space="preserve">- Potato Dextrose Agar</w:t>
      </w:r>
      <w:r>
        <w:t xml:space="preserve"> </w:t>
      </w:r>
      <w:r>
        <w:t xml:space="preserve">- Alcohol Lamp or Bunsen Burner</w:t>
      </w:r>
      <w:r>
        <w:t xml:space="preserve"> </w:t>
      </w:r>
      <w:r>
        <w:t xml:space="preserve">- Forceps</w:t>
      </w:r>
      <w:r>
        <w:t xml:space="preserve"> </w:t>
      </w:r>
      <w:r>
        <w:t xml:space="preserve">- Scalpel (make sure the handle is metal, as it will be flame sterilized and plastic will melt)</w:t>
      </w:r>
    </w:p>
    <w:p>
      <w:pPr>
        <w:pStyle w:val="BodyText"/>
      </w:pPr>
      <w:r>
        <w:rPr>
          <w:b/>
          <w:bCs/>
        </w:rPr>
        <w:t xml:space="preserve">Sterility:</w:t>
      </w:r>
      <w:r>
        <w:t xml:space="preserve"> </w:t>
      </w:r>
      <w:r>
        <w:t xml:space="preserve">If you don’t have a laminar flow hood, you may create a similar environment by setting up 2 torches over your work space. First, clean your work area with bleach, and/or ethanol. Set the torches facing each other with enough space to work underneath. Light the torches and pour media into plates under the flames.</w:t>
      </w:r>
    </w:p>
    <w:p>
      <w:pPr>
        <w:pStyle w:val="BodyText"/>
      </w:pPr>
      <w:r>
        <w:rPr>
          <w:b/>
          <w:bCs/>
        </w:rPr>
        <w:t xml:space="preserve">Potato Dextrose Agar (PDA) Plates:</w:t>
      </w:r>
      <w:r>
        <w:t xml:space="preserve"> </w:t>
      </w:r>
      <w:r>
        <w:t xml:space="preserve">Fungi cultured from leaves on water agar are transferred to nutrient Potato Dextrose Agar (PDA) plates. We use one 60x15 mm Petri dish for each fungal isolate.</w:t>
      </w:r>
    </w:p>
    <w:p>
      <w:pPr>
        <w:pStyle w:val="BodyText"/>
      </w:pPr>
      <w:r>
        <w:rPr>
          <w:b/>
          <w:bCs/>
        </w:rPr>
        <w:t xml:space="preserve">Potato Dextrose Agar Recipe:</w:t>
      </w:r>
      <w:r>
        <w:t xml:space="preserve"> </w:t>
      </w:r>
      <w:r>
        <w:t xml:space="preserve">Suspend 39 grams Agar, Bacteriological in 1000 ml (1 L) distilled water. Heat to boiling to dissolve the medium completely (in most cases, this step can be skipped as autoclaving will dissolve media). Sterilize by autoclaving at 15 lbs pressure (121°C) for 15 minutes.</w:t>
      </w:r>
    </w:p>
    <w:p>
      <w:pPr>
        <w:pStyle w:val="BodyText"/>
      </w:pPr>
      <w:r>
        <w:t xml:space="preserve">When the media is cool enough to handle with autoclave gloves, pour 60x15mm plates in a sterile environment. Do not let it cool too long as the media will solidify. Each 60x15mm plate holds approximately 8 ml media. If plates will be used immediately smaller amounts of media can be poured into plates. If plates will be stored, use larger amounts. Store plates in the original Petri dish sleeve in the refrigerator (~4 °C) until use.</w:t>
      </w:r>
    </w:p>
    <w:p>
      <w:pPr>
        <w:pStyle w:val="BodyText"/>
      </w:pPr>
      <w:r>
        <w:rPr>
          <w:b/>
          <w:bCs/>
        </w:rPr>
        <w:t xml:space="preserve">Cellophane Plates:</w:t>
      </w:r>
      <w:r>
        <w:t xml:space="preserve"> </w:t>
      </w:r>
      <w:r>
        <w:t xml:space="preserve">Fungal tissue can be harvested from cellophane plates. Cut cellophane discs slightly smaller than the Petri dish so that they lay flat on the PDA media. Using the bottom of the Petri dish as a template, draw a circle on the cellophane and the cut out discs on the inside of the line.</w:t>
      </w:r>
    </w:p>
    <w:p>
      <w:pPr>
        <w:pStyle w:val="BodyText"/>
      </w:pPr>
      <w:r>
        <w:t xml:space="preserve">Place cellophane discs into an autoclavable container with water. Place each cellophane disc individually into the water and try to stagger them in the water. This staggering step ensures that you can more easily remove the discs from the water. Cover your container with foil and sterilize by autoclaving at 15 lbs pressure (121°C) for 15 minutes.</w:t>
      </w:r>
    </w:p>
    <w:p>
      <w:pPr>
        <w:pStyle w:val="BodyText"/>
      </w:pPr>
      <w:r>
        <w:t xml:space="preserve">Working in your sterile environment, place one cellophane disc onto cooled PDA agar in 60x15mm plates. Use sterile forceps to transfer each cellophane disc onto the PDA plate. If you can’t easily remove single discs, try the</w:t>
      </w:r>
      <w:r>
        <w:t xml:space="preserve"> </w:t>
      </w:r>
      <w:r>
        <w:t xml:space="preserve">“slide”</w:t>
      </w:r>
      <w:r>
        <w:t xml:space="preserve"> </w:t>
      </w:r>
      <w:r>
        <w:t xml:space="preserve">technique. Dip your forceps into the container with the discs until you touch a disc. Using the forceps as a probe (not pinched) slide the disc to the side of the container and up the side of the container. Often, you’ll pull out one disc. Sometimes more than one disc will slide up, but it’s usually easy to see the individual discs at this point. You can then use your forceps to pull out one disc. If you grasp one disc with your forceps, you can swirl it in the water in the container to dislodge any other discs that might be attached. Open the lid of the Petri dish and lay the cellophane onto the solid agar.</w:t>
      </w:r>
    </w:p>
    <w:bookmarkEnd w:id="111"/>
    <w:bookmarkEnd w:id="112"/>
    <w:bookmarkStart w:id="120" w:name="Xc8205bcafd44c2f0f2777871d0b670e5430cb18"/>
    <w:p>
      <w:pPr>
        <w:pStyle w:val="Heading2"/>
      </w:pPr>
      <w:r>
        <w:t xml:space="preserve">Module 5.2 – Tissue Preparation for Genome Sequencing</w:t>
      </w:r>
    </w:p>
    <w:bookmarkStart w:id="113" w:name="purpose-3"/>
    <w:p>
      <w:pPr>
        <w:pStyle w:val="Heading3"/>
      </w:pPr>
      <w:r>
        <w:t xml:space="preserve">Purpose</w:t>
      </w:r>
    </w:p>
    <w:p>
      <w:pPr>
        <w:pStyle w:val="FirstParagraph"/>
      </w:pPr>
      <w:r>
        <w:t xml:space="preserve">This protocol guides you through the culturing and harvesting of fungal tissue for molecular applications.</w:t>
      </w:r>
    </w:p>
    <w:bookmarkEnd w:id="113"/>
    <w:bookmarkStart w:id="114" w:name="introduction-4"/>
    <w:p>
      <w:pPr>
        <w:pStyle w:val="Heading3"/>
      </w:pPr>
      <w:r>
        <w:t xml:space="preserve">Introduction</w:t>
      </w:r>
    </w:p>
    <w:p>
      <w:pPr>
        <w:pStyle w:val="FirstParagraph"/>
      </w:pPr>
      <w:r>
        <w:t xml:space="preserve">The long-term goal of this endophyte isolation project is to develop a robust dataset of fungal genomes. We are piloting this project in our course to determine if whole genome extractions are possible using home laboratory techniques. If successful, the project will be expanded in several directions. Any data generated from this project will be made available on the Mycocosm Web Portal. These data can then be used by students and researchers to analyze fungal genomes. Beyond phylogenetic inferences and evolutionary reconstructions, a variety of research questions can be addressed using fungal genomic data. Genomic data can elucidate the functions of these fungi and contribute to an understanding of their biology. In addition, if this pilot project is successful, future studies will incorporate stress factors, such as salts, metals, or temperatures, to understand the morphological, physiological and genetic responses of fungi to environmental stressors.</w:t>
      </w:r>
    </w:p>
    <w:p>
      <w:pPr>
        <w:pStyle w:val="BodyText"/>
      </w:pPr>
      <w:r>
        <w:t xml:space="preserve">This pilot project is being conducted in collaboration with mycologists and mycology students across North America. In addition to Oregon State University, students from the University of Colorado, both Denver and Boulder, Denver Botanic Gardens, Colorado State University, and Duke University, are collecting tissue and isolating fungal endophytes from plant hosts. Genomic data will be generated by the Joint Genome Institute. This is the first project of its kind and the most comprehensive project investigating endophytes on a large geographic and taxonomic scale.</w:t>
      </w:r>
    </w:p>
    <w:p>
      <w:pPr>
        <w:pStyle w:val="BodyText"/>
      </w:pPr>
      <w:r>
        <w:t xml:space="preserve">To prepare your fungal tissue for full genome sequencing, you will transfer some mycelia to a Petri dish with cellophane.</w:t>
      </w:r>
    </w:p>
    <w:p>
      <w:pPr>
        <w:pStyle w:val="BodyText"/>
      </w:pPr>
      <w:r>
        <w:t xml:space="preserve">Once fungal endophytes have been cultured from host plants, these fungal cultures will be identified using ITS (the fungal barcode region) sequencing. The ITS sequence will provide some level of taxonomic placement of your isolate, perhaps even to species. This ITS identification step also allows the determination of which fungal cultures to submit for full genome sequencing.</w:t>
      </w:r>
    </w:p>
    <w:bookmarkEnd w:id="114"/>
    <w:bookmarkStart w:id="115" w:name="sub-culturing-on-cellophane"/>
    <w:p>
      <w:pPr>
        <w:pStyle w:val="Heading3"/>
      </w:pPr>
      <w:r>
        <w:t xml:space="preserve">Sub-Culturing on Cellophane</w:t>
      </w:r>
    </w:p>
    <w:p>
      <w:pPr>
        <w:pStyle w:val="Compact"/>
        <w:numPr>
          <w:ilvl w:val="0"/>
          <w:numId w:val="1070"/>
        </w:numPr>
      </w:pPr>
      <w:r>
        <w:t xml:space="preserve">Clean your workspace as described previously. Work under flames or in a laminar flow hood if available.</w:t>
      </w:r>
    </w:p>
    <w:p>
      <w:pPr>
        <w:pStyle w:val="Compact"/>
        <w:numPr>
          <w:ilvl w:val="0"/>
          <w:numId w:val="1070"/>
        </w:numPr>
      </w:pPr>
      <w:r>
        <w:t xml:space="preserve">Label your Cellophane lined Petri Dish appropriately.</w:t>
      </w:r>
    </w:p>
    <w:p>
      <w:pPr>
        <w:pStyle w:val="Compact"/>
        <w:numPr>
          <w:ilvl w:val="0"/>
          <w:numId w:val="1070"/>
        </w:numPr>
      </w:pPr>
      <w:r>
        <w:t xml:space="preserve">Sterilize implements (forceps and scalpel).</w:t>
      </w:r>
    </w:p>
    <w:p>
      <w:pPr>
        <w:pStyle w:val="Compact"/>
        <w:numPr>
          <w:ilvl w:val="0"/>
          <w:numId w:val="1070"/>
        </w:numPr>
      </w:pPr>
      <w:r>
        <w:t xml:space="preserve">Scrape mycelia from PDA plates that you have been growing. Be sure to avoid transferring any media as much as possible.</w:t>
      </w:r>
    </w:p>
    <w:p>
      <w:pPr>
        <w:pStyle w:val="Compact"/>
        <w:numPr>
          <w:ilvl w:val="1"/>
          <w:numId w:val="1071"/>
        </w:numPr>
      </w:pPr>
      <w:r>
        <w:t xml:space="preserve">Leaving the assay plate on the bench space, remove the parafilm of the inoculation plate and slightly crack open the lid using your non-dominant hand.</w:t>
      </w:r>
    </w:p>
    <w:p>
      <w:pPr>
        <w:pStyle w:val="Compact"/>
        <w:numPr>
          <w:ilvl w:val="1"/>
          <w:numId w:val="1071"/>
        </w:numPr>
      </w:pPr>
      <w:r>
        <w:t xml:space="preserve">Insert your forceps into the crack of the Petri dish and attempt to sample some mycelium.</w:t>
      </w:r>
    </w:p>
    <w:p>
      <w:pPr>
        <w:pStyle w:val="Compact"/>
        <w:numPr>
          <w:ilvl w:val="2"/>
          <w:numId w:val="1072"/>
        </w:numPr>
      </w:pPr>
      <w:r>
        <w:t xml:space="preserve">If you are unable to remove mycelia with your forceps, use your scalpel to remove mycelia with the least amount of agar possible.</w:t>
      </w:r>
    </w:p>
    <w:p>
      <w:pPr>
        <w:pStyle w:val="Compact"/>
        <w:numPr>
          <w:ilvl w:val="0"/>
          <w:numId w:val="1070"/>
        </w:numPr>
      </w:pPr>
      <w:r>
        <w:t xml:space="preserve">Transfer the mycelia to a Petri dish with cellophane.</w:t>
      </w:r>
    </w:p>
    <w:p>
      <w:pPr>
        <w:pStyle w:val="Compact"/>
        <w:numPr>
          <w:ilvl w:val="1"/>
          <w:numId w:val="1073"/>
        </w:numPr>
      </w:pPr>
      <w:r>
        <w:t xml:space="preserve">Carefully remove the chunk of agar. Replace the lid. Slide the sample plate away. Slide a cellophane plate towards you.</w:t>
      </w:r>
    </w:p>
    <w:p>
      <w:pPr>
        <w:pStyle w:val="Compact"/>
        <w:numPr>
          <w:ilvl w:val="1"/>
          <w:numId w:val="1073"/>
        </w:numPr>
      </w:pPr>
      <w:r>
        <w:t xml:space="preserve">Crack open the cellophane plate using your non-dominant hand, and carefully insert the forceps with the agar and mycelium.</w:t>
      </w:r>
    </w:p>
    <w:p>
      <w:pPr>
        <w:pStyle w:val="Compact"/>
        <w:numPr>
          <w:ilvl w:val="1"/>
          <w:numId w:val="1073"/>
        </w:numPr>
      </w:pPr>
      <w:r>
        <w:t xml:space="preserve">To deposit the agar onto the PDA agar, submerge the forceps into the agar on the plate. This should force the agar and mycelium from your forceps, onto the PDA agar.</w:t>
      </w:r>
    </w:p>
    <w:p>
      <w:pPr>
        <w:pStyle w:val="Compact"/>
        <w:numPr>
          <w:ilvl w:val="1"/>
          <w:numId w:val="1073"/>
        </w:numPr>
      </w:pPr>
      <w:r>
        <w:t xml:space="preserve">Pull your forceps straight out to leave the agar and mycelium on the plate.</w:t>
      </w:r>
    </w:p>
    <w:p>
      <w:pPr>
        <w:pStyle w:val="Compact"/>
        <w:numPr>
          <w:ilvl w:val="1"/>
          <w:numId w:val="1073"/>
        </w:numPr>
      </w:pPr>
      <w:r>
        <w:t xml:space="preserve">The mycelia will be sticky, so you might need to scrape it off using sterile implements. If you’re using forceps to transfer, use the sterilized scalpel to scrape mycelia off the forceps onto cellophane in the Petri dish.</w:t>
      </w:r>
    </w:p>
    <w:p>
      <w:pPr>
        <w:pStyle w:val="Compact"/>
        <w:numPr>
          <w:ilvl w:val="0"/>
          <w:numId w:val="1070"/>
        </w:numPr>
      </w:pPr>
      <w:r>
        <w:t xml:space="preserve">Seal Petri dish with parafilm.</w:t>
      </w:r>
    </w:p>
    <w:p>
      <w:pPr>
        <w:pStyle w:val="Compact"/>
        <w:numPr>
          <w:ilvl w:val="0"/>
          <w:numId w:val="1070"/>
        </w:numPr>
      </w:pPr>
      <w:r>
        <w:t xml:space="preserve">Allow fungi to fill the cellophane.</w:t>
      </w:r>
    </w:p>
    <w:p>
      <w:pPr>
        <w:pStyle w:val="Compact"/>
        <w:numPr>
          <w:ilvl w:val="0"/>
          <w:numId w:val="1070"/>
        </w:numPr>
      </w:pPr>
      <w:r>
        <w:t xml:space="preserve">Repeat this process with all fungal isolates that will be sent for genome sequencing.</w:t>
      </w:r>
    </w:p>
    <w:bookmarkEnd w:id="115"/>
    <w:bookmarkStart w:id="116" w:name="X10145d54968745cf30d23b42f07bebdb1cea736"/>
    <w:p>
      <w:pPr>
        <w:pStyle w:val="Heading3"/>
      </w:pPr>
      <w:r>
        <w:t xml:space="preserve">Harvesting Mycelia for Genome Sequencing Instructions</w:t>
      </w:r>
    </w:p>
    <w:p>
      <w:pPr>
        <w:pStyle w:val="FirstParagraph"/>
      </w:pPr>
      <w:r>
        <w:t xml:space="preserve">Full genome sequencing requires large amounts of tissue to be successful. The tissue grown on the cellophane plates will be harvested, dried, and sent for genome sequencing.</w:t>
      </w:r>
    </w:p>
    <w:bookmarkEnd w:id="116"/>
    <w:bookmarkStart w:id="117" w:name="student-lab-supplies-1"/>
    <w:p>
      <w:pPr>
        <w:pStyle w:val="Heading3"/>
      </w:pPr>
      <w:r>
        <w:t xml:space="preserve">Student Lab Supplies</w:t>
      </w:r>
    </w:p>
    <w:p>
      <w:pPr>
        <w:pStyle w:val="Compact"/>
        <w:numPr>
          <w:ilvl w:val="0"/>
          <w:numId w:val="1074"/>
        </w:numPr>
      </w:pPr>
      <w:r>
        <w:t xml:space="preserve">1.5 ml Eppendorf tubes</w:t>
      </w:r>
    </w:p>
    <w:p>
      <w:pPr>
        <w:pStyle w:val="Compact"/>
        <w:numPr>
          <w:ilvl w:val="0"/>
          <w:numId w:val="1074"/>
        </w:numPr>
      </w:pPr>
      <w:r>
        <w:t xml:space="preserve">Sharpie</w:t>
      </w:r>
    </w:p>
    <w:p>
      <w:pPr>
        <w:pStyle w:val="Compact"/>
        <w:numPr>
          <w:ilvl w:val="0"/>
          <w:numId w:val="1074"/>
        </w:numPr>
      </w:pPr>
      <w:r>
        <w:t xml:space="preserve">Scalpel</w:t>
      </w:r>
    </w:p>
    <w:p>
      <w:pPr>
        <w:pStyle w:val="Compact"/>
        <w:numPr>
          <w:ilvl w:val="0"/>
          <w:numId w:val="1074"/>
        </w:numPr>
      </w:pPr>
      <w:r>
        <w:t xml:space="preserve">Forceps</w:t>
      </w:r>
    </w:p>
    <w:p>
      <w:pPr>
        <w:pStyle w:val="Compact"/>
        <w:numPr>
          <w:ilvl w:val="0"/>
          <w:numId w:val="1074"/>
        </w:numPr>
      </w:pPr>
      <w:r>
        <w:t xml:space="preserve">Silica</w:t>
      </w:r>
    </w:p>
    <w:p>
      <w:pPr>
        <w:pStyle w:val="Compact"/>
        <w:numPr>
          <w:ilvl w:val="0"/>
          <w:numId w:val="1074"/>
        </w:numPr>
      </w:pPr>
      <w:r>
        <w:t xml:space="preserve">Probe</w:t>
      </w:r>
    </w:p>
    <w:bookmarkEnd w:id="117"/>
    <w:bookmarkStart w:id="118" w:name="overview-1"/>
    <w:p>
      <w:pPr>
        <w:pStyle w:val="Heading3"/>
      </w:pPr>
      <w:r>
        <w:t xml:space="preserve">Overview</w:t>
      </w:r>
    </w:p>
    <w:p>
      <w:pPr>
        <w:pStyle w:val="FirstParagraph"/>
      </w:pPr>
      <w:r>
        <w:t xml:space="preserve">The goal of this supplement is to prepare fungal tissue for DNA extraction and sequencing. The cellophane overlay method was implemented to obtain pure tissue conducive to clean DNA extractions (Fig. 1).</w:t>
      </w:r>
    </w:p>
    <w:p>
      <w:pPr>
        <w:pStyle w:val="BodyText"/>
      </w:pPr>
      <w:r>
        <w:t xml:space="preserve">Figure 1 - Using aseptic techniques (step 1), prepare agar plates and arrange a sterile location for transfer. Add one disk of sterile cellophane to each plate (step 2) and inoculate with the fungal isolate, avoiding the transfer of residual agar, in the center of the disk (step 3). Allow the fungus to grow on top of the cellophane in a dark incubator at 26°C(step 4). Take the initial weight of the empty Eppendorf tube. After the cellophane disk is covered, peel the tissue to remove it and place it in the empty Eppendorf tube. Place the open tube in a jar with silica gel in the bottom. Cover the jar. Allow the tissue to dry for 4-7 days (step 5). Once the tissue is dry, close the tube and take the final weight. 1-2 grams of tissue should be recovered. Store the sample in a clean place. It is now ready for in-house DNA extraction or shipping. Figure created in BioRender. Knight, C. (2025) https://BioRender.com/s61a377</w:t>
      </w:r>
    </w:p>
    <w:bookmarkEnd w:id="118"/>
    <w:bookmarkStart w:id="119" w:name="instructions-2"/>
    <w:p>
      <w:pPr>
        <w:pStyle w:val="Heading3"/>
      </w:pPr>
      <w:r>
        <w:t xml:space="preserve">Instructions</w:t>
      </w:r>
    </w:p>
    <w:p>
      <w:pPr>
        <w:pStyle w:val="Compact"/>
        <w:numPr>
          <w:ilvl w:val="0"/>
          <w:numId w:val="1075"/>
        </w:numPr>
      </w:pPr>
      <w:r>
        <w:t xml:space="preserve">You will be harvesting fungal tissue from the cellophane PDA petri dishes.</w:t>
      </w:r>
    </w:p>
    <w:p>
      <w:pPr>
        <w:pStyle w:val="Compact"/>
        <w:numPr>
          <w:ilvl w:val="0"/>
          <w:numId w:val="1075"/>
        </w:numPr>
      </w:pPr>
      <w:r>
        <w:t xml:space="preserve">Use a laminar flow hood or set up flames to create a sterile environment. Clean your sterile area.</w:t>
      </w:r>
    </w:p>
    <w:p>
      <w:pPr>
        <w:pStyle w:val="Compact"/>
        <w:numPr>
          <w:ilvl w:val="0"/>
          <w:numId w:val="1075"/>
        </w:numPr>
      </w:pPr>
      <w:r>
        <w:t xml:space="preserve">Light your flame source. Dip your harvesting implement(s) (scalpel, forceps, and/or probe) into alcohol. Flame your implements and let it cool.</w:t>
      </w:r>
    </w:p>
    <w:p>
      <w:pPr>
        <w:pStyle w:val="Compact"/>
        <w:numPr>
          <w:ilvl w:val="0"/>
          <w:numId w:val="1075"/>
        </w:numPr>
      </w:pPr>
      <w:r>
        <w:t xml:space="preserve">Once cool, open your petri dish lid, and lay this facing upward on your workspace. Remove fungal tissue by scraping from cellophane. In some cases, the entire fungal tissue will easily peel from the cellophane. In some cases, the mycelia will be stuck to the cellophane. In this case, you will need to use some combination of instruments to remove the fungi from the cellophane (Figs 2 and 3, Videos 1 and 2).</w:t>
      </w:r>
    </w:p>
    <w:p>
      <w:pPr>
        <w:pStyle w:val="Compact"/>
        <w:numPr>
          <w:ilvl w:val="0"/>
          <w:numId w:val="1075"/>
        </w:numPr>
      </w:pPr>
      <w:r>
        <w:t xml:space="preserve">Place Eppendorf tubes into a jar filled with silica. The silica will allow you to stand up the tubes in the jar. Keep the lids of the Eppendorf tubes open to allow the tissue to dry.</w:t>
      </w:r>
    </w:p>
    <w:p>
      <w:pPr>
        <w:pStyle w:val="Compact"/>
        <w:numPr>
          <w:ilvl w:val="0"/>
          <w:numId w:val="1075"/>
        </w:numPr>
      </w:pPr>
      <w:r>
        <w:t xml:space="preserve">Seal silica-filled jar with the lid. Allow the tissue to dry for 5-10 days.</w:t>
      </w:r>
    </w:p>
    <w:p>
      <w:pPr>
        <w:pStyle w:val="Compact"/>
        <w:numPr>
          <w:ilvl w:val="0"/>
          <w:numId w:val="1075"/>
        </w:numPr>
      </w:pPr>
      <w:r>
        <w:t xml:space="preserve">Once the tissue is dry, remove the Eppendorf tubes from the silica jar and close the lids.</w:t>
      </w:r>
    </w:p>
    <w:p>
      <w:pPr>
        <w:pStyle w:val="Compact"/>
        <w:numPr>
          <w:ilvl w:val="0"/>
          <w:numId w:val="1075"/>
        </w:numPr>
      </w:pPr>
      <w:r>
        <w:t xml:space="preserve">Proceed to the Sample submission module.</w:t>
      </w:r>
    </w:p>
    <w:bookmarkEnd w:id="119"/>
    <w:bookmarkEnd w:id="120"/>
    <w:bookmarkEnd w:id="121"/>
    <w:bookmarkStart w:id="128" w:name="module-6-sample-submission"/>
    <w:p>
      <w:pPr>
        <w:pStyle w:val="Heading1"/>
      </w:pPr>
      <w:r>
        <w:t xml:space="preserve">Module 6: Sample Submission</w:t>
      </w:r>
    </w:p>
    <w:bookmarkStart w:id="127" w:name="module-6.1-myco-ed-sample-submission-sop"/>
    <w:p>
      <w:pPr>
        <w:pStyle w:val="Heading2"/>
      </w:pPr>
      <w:r>
        <w:t xml:space="preserve">Module 6.1 – Myco-Ed Sample Submission SOP</w:t>
      </w:r>
    </w:p>
    <w:bookmarkStart w:id="122" w:name="overview-2"/>
    <w:p>
      <w:pPr>
        <w:pStyle w:val="Heading3"/>
      </w:pPr>
      <w:r>
        <w:t xml:space="preserve">Overview</w:t>
      </w:r>
    </w:p>
    <w:p>
      <w:pPr>
        <w:pStyle w:val="FirstParagraph"/>
      </w:pPr>
      <w:r>
        <w:t xml:space="preserve">Use this document to submit fungal samples to Arizona Genomics Institute (AGI) for DNA extraction.</w:t>
      </w:r>
    </w:p>
    <w:bookmarkEnd w:id="122"/>
    <w:bookmarkStart w:id="123" w:name="definitions"/>
    <w:p>
      <w:pPr>
        <w:pStyle w:val="Heading3"/>
      </w:pPr>
      <w:r>
        <w:t xml:space="preserve">Definitions</w:t>
      </w:r>
    </w:p>
    <w:p>
      <w:pPr>
        <w:pStyle w:val="Compact"/>
        <w:numPr>
          <w:ilvl w:val="0"/>
          <w:numId w:val="1076"/>
        </w:numPr>
      </w:pPr>
      <w:r>
        <w:t xml:space="preserve">JGI = Joint Genomics Institute</w:t>
      </w:r>
    </w:p>
    <w:p>
      <w:pPr>
        <w:pStyle w:val="Compact"/>
        <w:numPr>
          <w:ilvl w:val="0"/>
          <w:numId w:val="1076"/>
        </w:numPr>
      </w:pPr>
      <w:r>
        <w:t xml:space="preserve">AGI = Arizona Genome Institute</w:t>
      </w:r>
    </w:p>
    <w:bookmarkEnd w:id="123"/>
    <w:bookmarkStart w:id="124" w:name="associated-documents"/>
    <w:p>
      <w:pPr>
        <w:pStyle w:val="Heading3"/>
      </w:pPr>
      <w:r>
        <w:t xml:space="preserve">Associated Documents</w:t>
      </w:r>
    </w:p>
    <w:p>
      <w:pPr>
        <w:pStyle w:val="FirstParagraph"/>
      </w:pPr>
      <w:r>
        <w:t xml:space="preserve">MycoEd Metadata Form</w:t>
      </w:r>
    </w:p>
    <w:bookmarkEnd w:id="124"/>
    <w:bookmarkStart w:id="125" w:name="process-steps"/>
    <w:p>
      <w:pPr>
        <w:pStyle w:val="Heading3"/>
      </w:pPr>
      <w:r>
        <w:t xml:space="preserve">Process Steps</w:t>
      </w:r>
    </w:p>
    <w:p>
      <w:pPr>
        <w:pStyle w:val="Compact"/>
        <w:numPr>
          <w:ilvl w:val="0"/>
          <w:numId w:val="1077"/>
        </w:numPr>
      </w:pPr>
      <w:r>
        <w:t xml:space="preserve">Create a JGI Single Sign on Account</w:t>
      </w:r>
    </w:p>
    <w:p>
      <w:pPr>
        <w:pStyle w:val="Compact"/>
        <w:numPr>
          <w:ilvl w:val="0"/>
          <w:numId w:val="1077"/>
        </w:numPr>
      </w:pPr>
      <w:r>
        <w:t xml:space="preserve">Email photos of the live tissue you intend to send AGI before collection to JTALAG@email.arizona.edu and kwbarry@lbl.gov.</w:t>
      </w:r>
    </w:p>
    <w:p>
      <w:pPr>
        <w:pStyle w:val="Compact"/>
        <w:numPr>
          <w:ilvl w:val="0"/>
          <w:numId w:val="1077"/>
        </w:numPr>
      </w:pPr>
      <w:r>
        <w:t xml:space="preserve">Make a copy of the MycoEd Metadata Form</w:t>
      </w:r>
    </w:p>
    <w:p>
      <w:pPr>
        <w:pStyle w:val="Compact"/>
        <w:numPr>
          <w:ilvl w:val="1"/>
          <w:numId w:val="1078"/>
        </w:numPr>
      </w:pPr>
      <w:r>
        <w:t xml:space="preserve">Click on MycoEd Metadata Form link</w:t>
      </w:r>
    </w:p>
    <w:p>
      <w:pPr>
        <w:pStyle w:val="Compact"/>
        <w:numPr>
          <w:ilvl w:val="1"/>
          <w:numId w:val="1078"/>
        </w:numPr>
      </w:pPr>
      <w:r>
        <w:t xml:space="preserve">Under file, select Make a Copy</w:t>
      </w:r>
    </w:p>
    <w:p>
      <w:pPr>
        <w:pStyle w:val="Compact"/>
        <w:numPr>
          <w:ilvl w:val="1"/>
          <w:numId w:val="1078"/>
        </w:numPr>
      </w:pPr>
      <w:r>
        <w:t xml:space="preserve">Rename your new copy [University][Instructor Last Name][MycoEd Metadata][Date]</w:t>
      </w:r>
    </w:p>
    <w:p>
      <w:pPr>
        <w:pStyle w:val="Compact"/>
        <w:numPr>
          <w:ilvl w:val="0"/>
          <w:numId w:val="1077"/>
        </w:numPr>
      </w:pPr>
      <w:r>
        <w:t xml:space="preserve">Fill out your copy of the MycoEd Metadata Form</w:t>
      </w:r>
    </w:p>
    <w:p>
      <w:pPr>
        <w:pStyle w:val="Compact"/>
        <w:numPr>
          <w:ilvl w:val="1"/>
          <w:numId w:val="1079"/>
        </w:numPr>
      </w:pPr>
      <w:r>
        <w:t xml:space="preserve">Professor is the instructor for the class and their email address</w:t>
      </w:r>
    </w:p>
    <w:p>
      <w:pPr>
        <w:pStyle w:val="Compact"/>
        <w:numPr>
          <w:ilvl w:val="1"/>
          <w:numId w:val="1079"/>
        </w:numPr>
      </w:pPr>
      <w:r>
        <w:t xml:space="preserve">Name of the University/Institution is your University/Institution</w:t>
      </w:r>
    </w:p>
    <w:p>
      <w:pPr>
        <w:pStyle w:val="Compact"/>
        <w:numPr>
          <w:ilvl w:val="1"/>
          <w:numId w:val="1079"/>
        </w:numPr>
      </w:pPr>
      <w:r>
        <w:t xml:space="preserve">Date submitted/shipped is the date you ship the samples to AGI</w:t>
      </w:r>
    </w:p>
    <w:p>
      <w:pPr>
        <w:pStyle w:val="Compact"/>
        <w:numPr>
          <w:ilvl w:val="1"/>
          <w:numId w:val="1079"/>
        </w:numPr>
      </w:pPr>
      <w:r>
        <w:t xml:space="preserve">JGI proposal name &amp; number is DS 509937 (already provided)</w:t>
      </w:r>
    </w:p>
    <w:p>
      <w:pPr>
        <w:pStyle w:val="Compact"/>
        <w:numPr>
          <w:ilvl w:val="0"/>
          <w:numId w:val="1077"/>
        </w:numPr>
      </w:pPr>
      <w:r>
        <w:t xml:space="preserve">Fill out Sample Table</w:t>
      </w:r>
    </w:p>
    <w:p>
      <w:pPr>
        <w:pStyle w:val="Compact"/>
        <w:numPr>
          <w:ilvl w:val="1"/>
          <w:numId w:val="1080"/>
        </w:numPr>
      </w:pPr>
      <w:r>
        <w:t xml:space="preserve">Enter requested metadata into the table</w:t>
      </w:r>
    </w:p>
    <w:p>
      <w:pPr>
        <w:pStyle w:val="Compact"/>
        <w:numPr>
          <w:ilvl w:val="1"/>
          <w:numId w:val="1080"/>
        </w:numPr>
      </w:pPr>
      <w:r>
        <w:t xml:space="preserve">Use one row per sample/tube</w:t>
      </w:r>
    </w:p>
    <w:p>
      <w:pPr>
        <w:pStyle w:val="Compact"/>
        <w:numPr>
          <w:ilvl w:val="1"/>
          <w:numId w:val="1080"/>
        </w:numPr>
      </w:pPr>
      <w:r>
        <w:t xml:space="preserve">Insert additional rows if needed</w:t>
      </w:r>
    </w:p>
    <w:p>
      <w:pPr>
        <w:pStyle w:val="Compact"/>
        <w:numPr>
          <w:ilvl w:val="1"/>
          <w:numId w:val="1080"/>
        </w:numPr>
      </w:pPr>
      <w:r>
        <w:t xml:space="preserve">Columns with gray field headers, B and D, will be filled out by JGI</w:t>
      </w:r>
    </w:p>
    <w:p>
      <w:pPr>
        <w:pStyle w:val="Compact"/>
        <w:numPr>
          <w:ilvl w:val="1"/>
          <w:numId w:val="1080"/>
        </w:numPr>
      </w:pPr>
      <w:r>
        <w:t xml:space="preserve">For Column C, Sample Name - please use below convention for naming: [University][Plant][Plant tissue] Metagenome [Sample ID]</w:t>
      </w:r>
    </w:p>
    <w:p>
      <w:pPr>
        <w:pStyle w:val="Compact"/>
        <w:numPr>
          <w:ilvl w:val="1"/>
          <w:numId w:val="1080"/>
        </w:numPr>
      </w:pPr>
      <w:r>
        <w:t xml:space="preserve">Column G is only needed if you are sending more than 22 samples</w:t>
      </w:r>
    </w:p>
    <w:p>
      <w:pPr>
        <w:pStyle w:val="Compact"/>
        <w:numPr>
          <w:ilvl w:val="1"/>
          <w:numId w:val="1080"/>
        </w:numPr>
      </w:pPr>
      <w:r>
        <w:t xml:space="preserve">Student is the full name of student that collected the sample and their email address</w:t>
      </w:r>
    </w:p>
    <w:p>
      <w:pPr>
        <w:pStyle w:val="Compact"/>
        <w:numPr>
          <w:ilvl w:val="1"/>
          <w:numId w:val="1080"/>
        </w:numPr>
      </w:pPr>
      <w:r>
        <w:t xml:space="preserve">Columns with Yellow Header, X-AF, will be filled out by AGI after DNA extraction</w:t>
      </w:r>
    </w:p>
    <w:p>
      <w:pPr>
        <w:pStyle w:val="Compact"/>
        <w:numPr>
          <w:ilvl w:val="0"/>
          <w:numId w:val="1077"/>
        </w:numPr>
      </w:pPr>
      <w:r>
        <w:t xml:space="preserve">Email form to AGI &amp; JGI</w:t>
      </w:r>
    </w:p>
    <w:p>
      <w:pPr>
        <w:pStyle w:val="Compact"/>
        <w:numPr>
          <w:ilvl w:val="1"/>
          <w:numId w:val="1081"/>
        </w:numPr>
      </w:pPr>
      <w:r>
        <w:t xml:space="preserve">Once all required metadata is provided, download a copy to excel</w:t>
      </w:r>
    </w:p>
    <w:p>
      <w:pPr>
        <w:pStyle w:val="Compact"/>
        <w:numPr>
          <w:ilvl w:val="1"/>
          <w:numId w:val="1081"/>
        </w:numPr>
      </w:pPr>
      <w:r>
        <w:t xml:space="preserve">Email a copy to Jayson at (jtalag@ag.arizona.edu ) and Kerrie (kwbarry@lbl.gov).</w:t>
      </w:r>
    </w:p>
    <w:p>
      <w:pPr>
        <w:pStyle w:val="Compact"/>
        <w:numPr>
          <w:ilvl w:val="1"/>
          <w:numId w:val="1081"/>
        </w:numPr>
      </w:pPr>
      <w:r>
        <w:t xml:space="preserve">Include in the subject line of your email</w:t>
      </w:r>
      <w:r>
        <w:t xml:space="preserve"> </w:t>
      </w:r>
      <w:r>
        <w:t xml:space="preserve">“MyCoEd 509937”</w:t>
      </w:r>
      <w:r>
        <w:t xml:space="preserve"> </w:t>
      </w:r>
      <w:r>
        <w:t xml:space="preserve">[Professor’s Name][University/Institution]</w:t>
      </w:r>
      <w:r>
        <w:t xml:space="preserve"> </w:t>
      </w:r>
      <w:r>
        <w:t xml:space="preserve">“Sample Submission”</w:t>
      </w:r>
    </w:p>
    <w:p>
      <w:pPr>
        <w:pStyle w:val="Compact"/>
        <w:numPr>
          <w:ilvl w:val="1"/>
          <w:numId w:val="1081"/>
        </w:numPr>
      </w:pPr>
      <w:r>
        <w:t xml:space="preserve">Include in your email your name, your college/university, the exact name of your samples (column D) that are ready to ship to AGI (and the rows in this sheet).</w:t>
      </w:r>
    </w:p>
    <w:p>
      <w:pPr>
        <w:pStyle w:val="Compact"/>
        <w:numPr>
          <w:ilvl w:val="1"/>
          <w:numId w:val="1081"/>
        </w:numPr>
      </w:pPr>
      <w:r>
        <w:t xml:space="preserve">Wait for approval/confirmation from AGI &amp; JGI.</w:t>
      </w:r>
    </w:p>
    <w:p>
      <w:pPr>
        <w:pStyle w:val="Compact"/>
        <w:numPr>
          <w:ilvl w:val="2"/>
          <w:numId w:val="1082"/>
        </w:numPr>
      </w:pPr>
      <w:r>
        <w:t xml:space="preserve">If needed make requested changed and email updated copy</w:t>
      </w:r>
    </w:p>
    <w:p>
      <w:pPr>
        <w:pStyle w:val="Compact"/>
        <w:numPr>
          <w:ilvl w:val="0"/>
          <w:numId w:val="1077"/>
        </w:numPr>
      </w:pPr>
      <w:r>
        <w:t xml:space="preserve">Prepare samples for shipment</w:t>
      </w:r>
    </w:p>
    <w:p>
      <w:pPr>
        <w:pStyle w:val="Compact"/>
        <w:numPr>
          <w:ilvl w:val="1"/>
          <w:numId w:val="1083"/>
        </w:numPr>
      </w:pPr>
    </w:p>
    <w:p>
      <w:pPr>
        <w:pStyle w:val="Compact"/>
        <w:numPr>
          <w:ilvl w:val="2"/>
          <w:numId w:val="1084"/>
        </w:numPr>
      </w:pPr>
      <w:r>
        <w:t xml:space="preserve">Print out (in Landscape orientation) the paper copy of the Myco-Ed Metadata Form and put it with the shipment and also email the completed sheet to: JTALAG@email.arizona.edu, and kwbarry@lbl.gov</w:t>
      </w:r>
    </w:p>
    <w:p>
      <w:pPr>
        <w:pStyle w:val="Compact"/>
        <w:numPr>
          <w:ilvl w:val="1"/>
          <w:numId w:val="1083"/>
        </w:numPr>
      </w:pPr>
      <w:r>
        <w:t xml:space="preserve">Email FEDEX tracking # when your shipment is picked up.</w:t>
      </w:r>
    </w:p>
    <w:p>
      <w:pPr>
        <w:pStyle w:val="Compact"/>
        <w:numPr>
          <w:ilvl w:val="1"/>
          <w:numId w:val="1083"/>
        </w:numPr>
      </w:pPr>
      <w:r>
        <w:t xml:space="preserve">Ship samples to</w:t>
      </w:r>
      <w:r>
        <w:t xml:space="preserve"> </w:t>
      </w:r>
      <w:r>
        <w:t xml:space="preserve">Jayson Talag</w:t>
      </w:r>
      <w:r>
        <w:t xml:space="preserve"> </w:t>
      </w:r>
      <w:r>
        <w:t xml:space="preserve">1657 E. Helen St.</w:t>
      </w:r>
      <w:r>
        <w:t xml:space="preserve"> </w:t>
      </w:r>
      <w:r>
        <w:t xml:space="preserve">The University of Arizona</w:t>
      </w:r>
      <w:r>
        <w:t xml:space="preserve"> </w:t>
      </w:r>
      <w:r>
        <w:t xml:space="preserve">Tucson, AZ 85721</w:t>
      </w:r>
      <w:r>
        <w:t xml:space="preserve"> </w:t>
      </w:r>
      <w:r>
        <w:t xml:space="preserve">United States</w:t>
      </w:r>
      <w:r>
        <w:t xml:space="preserve"> </w:t>
      </w:r>
      <w:r>
        <w:t xml:space="preserve">Ph: 520-626-9596</w:t>
      </w:r>
    </w:p>
    <w:bookmarkEnd w:id="125"/>
    <w:bookmarkStart w:id="126" w:name="high-molecular-dna-extraction-protocol"/>
    <w:p>
      <w:pPr>
        <w:pStyle w:val="Heading3"/>
      </w:pPr>
      <w:r>
        <w:t xml:space="preserve">High Molecular DNA Extraction Protocol</w:t>
      </w:r>
    </w:p>
    <w:p>
      <w:pPr>
        <w:pStyle w:val="FirstParagraph"/>
      </w:pPr>
      <w:r>
        <w:t xml:space="preserve">The AGI uses the following high molecular DNA extraction protocol:</w:t>
      </w:r>
    </w:p>
    <w:p>
      <w:pPr>
        <w:pStyle w:val="BodyText"/>
      </w:pPr>
      <w:r>
        <w:t xml:space="preserve">High molecular weight DNA is extracted from (biomass) using the protocol of</w:t>
      </w:r>
      <w:r>
        <w:t xml:space="preserve"> </w:t>
      </w:r>
      <w:r>
        <w:t xml:space="preserve">Doyle and Doyle (1987)</w:t>
      </w:r>
      <w:r>
        <w:t xml:space="preserve"> </w:t>
      </w:r>
      <w:r>
        <w:t xml:space="preserve">with minor modifications. Flash-frozen biomass is ground to a fine powder in a frozen mortar with liquid nitrogen followed by very gentle extraction in 2% CTAB buffer (that includes proteinase K, PVP-40 and beta-mercaptoethanol) for 30min to 1h at 50 °C. After centrifugation, the supernatant is transferred to a new tube, treated with 200ul 50mM PSMF for 10 minutes at room temperature then gently extracted twice with 24:1 Chloroform : Isoamyl alcohol. The upper phase is transferred to a new tube and 1/10th volume 3 M Sodium acetate is added, gently mixed, and DNA precipitated with iso-propanol. DNA precipitate is collected by centrifugation, washed with 70% ethanol, air dried for 5-10 minutes and dissolved thoroughly in elution buffer at room temperature followed by RNAse treatment. DNA purity is measured with Nanodrop, DNA concentration measured with Qubit HS kit (Invitrogen) and DNA size is validated by Femto Pulse System (Agilent).</w:t>
      </w:r>
    </w:p>
    <w:bookmarkEnd w:id="126"/>
    <w:bookmarkEnd w:id="127"/>
    <w:bookmarkEnd w:id="128"/>
    <w:bookmarkStart w:id="146" w:name="module-7-genomic-analyses"/>
    <w:p>
      <w:pPr>
        <w:pStyle w:val="Heading1"/>
      </w:pPr>
      <w:r>
        <w:t xml:space="preserve">Module 7: Genomic Analyses</w:t>
      </w:r>
    </w:p>
    <w:bookmarkStart w:id="136" w:name="X46999d4e04aaa0bd6e7f1cf0936f3283e50c93c"/>
    <w:p>
      <w:pPr>
        <w:pStyle w:val="Heading2"/>
      </w:pPr>
      <w:r>
        <w:t xml:space="preserve">Module 7.1 – Sexual Reproduction in Ascomycota Genomic Analysis</w:t>
      </w:r>
    </w:p>
    <w:bookmarkStart w:id="129" w:name="introduction-5"/>
    <w:p>
      <w:pPr>
        <w:pStyle w:val="Heading3"/>
      </w:pPr>
      <w:r>
        <w:t xml:space="preserve">Introduction</w:t>
      </w:r>
    </w:p>
    <w:p>
      <w:pPr>
        <w:pStyle w:val="FirstParagraph"/>
      </w:pPr>
      <w:r>
        <w:t xml:space="preserve">Fungal sexual reproduction is complicated. Unlike animals, where usually only 2 opposite mates are observed, some fungi can have hundreds to thousands of different mates (Casselton &amp; Olesnicky, 1998)! Beyond granting the ability to mix genetic material, sexual reproduction has additional importance in fungi since reproductive structures are often more hearty and capable of overwintering, meaning their presence can seriously complicate disease management practices. Undergoing sexual reproduction also provides an important cleaning mechanism for some fungi, enabling them to treat their genomes and remove transposons using processes like Repeat Induced Point mutations, or RIP (Cambareri et al., 1991). In this exercise, we will learn how to determine mating types in Ascomycota using MycoCosm. Compared to most other fungi, Ascomycetes have a relatively simple mating system, where only two types are observed. Here, we will focus on the genus Neurospora where the mating types are simply named</w:t>
      </w:r>
      <w:r>
        <w:t xml:space="preserve"> </w:t>
      </w:r>
      <w:r>
        <w:t xml:space="preserve">“A”</w:t>
      </w:r>
      <w:r>
        <w:t xml:space="preserve"> </w:t>
      </w:r>
      <w:r>
        <w:t xml:space="preserve">and</w:t>
      </w:r>
      <w:r>
        <w:t xml:space="preserve"> </w:t>
      </w:r>
      <w:r>
        <w:t xml:space="preserve">“a”</w:t>
      </w:r>
      <w:r>
        <w:t xml:space="preserve"> </w:t>
      </w:r>
      <w:r>
        <w:t xml:space="preserve">(Metzenberg &amp; Glass, 1990).</w:t>
      </w:r>
    </w:p>
    <w:p>
      <w:pPr>
        <w:pStyle w:val="BodyText"/>
      </w:pPr>
      <w:r>
        <w:t xml:space="preserve">What we know for this exercise: Several mating type-related genes have already been identified. These control the initiation of sexual reproduction. They are mostly transcription factors, which you can think of as highly specialized workers: each has a unique</w:t>
      </w:r>
      <w:r>
        <w:t xml:space="preserve"> </w:t>
      </w:r>
      <w:r>
        <w:t xml:space="preserve">‘skillset’</w:t>
      </w:r>
      <w:r>
        <w:t xml:space="preserve"> </w:t>
      </w:r>
      <w:r>
        <w:t xml:space="preserve">(genes) that they control (turn on or off) to perform some task (in this case, regulate reproduction-related machinery).</w:t>
      </w:r>
    </w:p>
    <w:p>
      <w:pPr>
        <w:pStyle w:val="BodyText"/>
      </w:pPr>
      <w:r>
        <w:t xml:space="preserve">How are mating types determined in fungi? Are the same genes found in both mating types, but regulated differently? Or, are there genes unique to each mating type that are responsible for this? Using comparative genomic approaches, let’s try and find out!</w:t>
      </w:r>
    </w:p>
    <w:p>
      <w:pPr>
        <w:pStyle w:val="BodyText"/>
      </w:pPr>
      <w:r>
        <w:t xml:space="preserve">Beginning with known mating type-related genes collected from NCBI, we will use MycoCosm to branch out into related fungi, identify opposite mates, then formulate hypotheses and learn about the genetics underlying fungal sexual regulation. This approach can be directly applied to predict mating types in other fungi, or used to explore presence/absence of other types of genes!</w:t>
      </w:r>
    </w:p>
    <w:bookmarkEnd w:id="129"/>
    <w:bookmarkStart w:id="130" w:name="references"/>
    <w:p>
      <w:pPr>
        <w:pStyle w:val="Heading3"/>
      </w:pPr>
      <w:r>
        <w:t xml:space="preserve">References:</w:t>
      </w:r>
    </w:p>
    <w:p>
      <w:pPr>
        <w:pStyle w:val="Compact"/>
        <w:numPr>
          <w:ilvl w:val="0"/>
          <w:numId w:val="1085"/>
        </w:numPr>
      </w:pPr>
      <w:r>
        <w:t xml:space="preserve">Casselton, L.A., Olesnicky, N.S., 1998. Molecular Genetics of Mating Recognition in Basidiomycete Fungi. Microbiol Mol Biol Rev., 62(1): 55–70. doi: 10.1128/mmbr.62.1.55-70.1998</w:t>
      </w:r>
    </w:p>
    <w:p>
      <w:pPr>
        <w:pStyle w:val="Compact"/>
        <w:numPr>
          <w:ilvl w:val="0"/>
          <w:numId w:val="1085"/>
        </w:numPr>
      </w:pPr>
      <w:r>
        <w:t xml:space="preserve">Cambareri, E.B., Singer, M.J., Selker, E.U., 1991. Recurrence of repeat-induced point mutation (RIP) in Neurospora crassa. Genetics, 127(4):699-710. doi: 10.1093/genetics/127.4.699.</w:t>
      </w:r>
    </w:p>
    <w:p>
      <w:pPr>
        <w:pStyle w:val="Compact"/>
        <w:numPr>
          <w:ilvl w:val="0"/>
          <w:numId w:val="1085"/>
        </w:numPr>
      </w:pPr>
      <w:r>
        <w:t xml:space="preserve">Metzenberg, R.L., Glass, N.L., 1990. Mating type and mating strategies in Neurospora. Bioessays. 1990 Feb;12(2):53-9. doi: 10.1002/bies.950120202.</w:t>
      </w:r>
    </w:p>
    <w:bookmarkEnd w:id="130"/>
    <w:bookmarkStart w:id="135" w:name="finding-mat-a"/>
    <w:p>
      <w:pPr>
        <w:pStyle w:val="Heading3"/>
      </w:pPr>
      <w:r>
        <w:t xml:space="preserve">Finding mat A</w:t>
      </w:r>
    </w:p>
    <w:bookmarkStart w:id="131" w:name="X7f096d5f839edc277e9e3518d4dabc1a4e71251"/>
    <w:p>
      <w:pPr>
        <w:pStyle w:val="Heading4"/>
      </w:pPr>
      <w:r>
        <w:t xml:space="preserve">Locate mat A locus in the Neurospora crassa OR74A genome</w:t>
      </w:r>
    </w:p>
    <w:p>
      <w:pPr>
        <w:pStyle w:val="FirstParagraph"/>
      </w:pPr>
      <w:r>
        <w:t xml:space="preserve">To guide our exploration, let’s create a testable hypothesis. Being informative and straightforward, let’s hypothesize that mating type is determined by the presence/absence of specific genes. Given what we know about mating in Neurospora, a good starting point would be the mat A locus. It is composed of 3 genes, mat A-1, mat A-2, and mat A-3.</w:t>
      </w:r>
    </w:p>
    <w:p>
      <w:pPr>
        <w:pStyle w:val="Compact"/>
        <w:numPr>
          <w:ilvl w:val="0"/>
          <w:numId w:val="1086"/>
        </w:numPr>
      </w:pPr>
      <w:r>
        <w:t xml:space="preserve">Start by visiting NCBI (https://www.ncbi.nlm.nih.gov/) and collecting a reference sequence. Go to the nucleotide database and search for</w:t>
      </w:r>
      <w:r>
        <w:t xml:space="preserve"> </w:t>
      </w:r>
      <w:r>
        <w:t xml:space="preserve">“Neurospora crassa OR74A mating-type protein A-1 (matA-1), mRNA”</w:t>
      </w:r>
      <w:r>
        <w:t xml:space="preserve">.</w:t>
      </w:r>
    </w:p>
    <w:p>
      <w:pPr>
        <w:pStyle w:val="Compact"/>
        <w:numPr>
          <w:ilvl w:val="0"/>
          <w:numId w:val="1086"/>
        </w:numPr>
      </w:pPr>
      <w:r>
        <w:t xml:space="preserve">Find the matching record,</w:t>
      </w:r>
      <w:r>
        <w:t xml:space="preserve"> </w:t>
      </w:r>
      <w:r>
        <w:t xml:space="preserve">“Neurospora crassa OR74A mating-type protein A-1 (matA-1), mRNA”</w:t>
      </w:r>
      <w:r>
        <w:t xml:space="preserve"> </w:t>
      </w:r>
      <w:r>
        <w:t xml:space="preserve">and collect the corresponding nucleotide sequence by clicking the</w:t>
      </w:r>
      <w:r>
        <w:t xml:space="preserve"> </w:t>
      </w:r>
      <w:r>
        <w:t xml:space="preserve">‘FASTA’</w:t>
      </w:r>
      <w:r>
        <w:t xml:space="preserve"> </w:t>
      </w:r>
      <w:r>
        <w:t xml:space="preserve">link (see below), then select and copy the sequence.</w:t>
      </w:r>
    </w:p>
    <w:p>
      <w:pPr>
        <w:pStyle w:val="Compact"/>
        <w:numPr>
          <w:ilvl w:val="0"/>
          <w:numId w:val="1086"/>
        </w:numPr>
      </w:pPr>
      <w:r>
        <w:t xml:space="preserve">Let’s find the location of this gene in the genome! Go to the Neucr2 MycoCosm portal (https://mycocosm.jgi.doe.gov/Neucr2) and search for it using the BLAST tool.</w:t>
      </w:r>
    </w:p>
    <w:p>
      <w:pPr>
        <w:pStyle w:val="Compact"/>
        <w:numPr>
          <w:ilvl w:val="0"/>
          <w:numId w:val="1086"/>
        </w:numPr>
      </w:pPr>
      <w:r>
        <w:t xml:space="preserve">Click the BLAST tab, paste your sequence into the query sequence box. Using blastn, select the filtered model transcripts set and click the</w:t>
      </w:r>
      <w:r>
        <w:t xml:space="preserve"> </w:t>
      </w:r>
      <w:r>
        <w:t xml:space="preserve">‘Run blastn’</w:t>
      </w:r>
      <w:r>
        <w:t xml:space="preserve"> </w:t>
      </w:r>
      <w:r>
        <w:t xml:space="preserve">button.</w:t>
      </w:r>
    </w:p>
    <w:p>
      <w:pPr>
        <w:pStyle w:val="Compact"/>
        <w:numPr>
          <w:ilvl w:val="0"/>
          <w:numId w:val="1086"/>
        </w:numPr>
      </w:pPr>
      <w:r>
        <w:t xml:space="preserve">You should see two hits, each shown in a separate row.</w:t>
      </w:r>
    </w:p>
    <w:p>
      <w:pPr>
        <w:pStyle w:val="Compact"/>
        <w:numPr>
          <w:ilvl w:val="1"/>
          <w:numId w:val="1087"/>
        </w:numPr>
      </w:pPr>
      <w:r>
        <w:t xml:space="preserve">The first column shows the portal ID and transcript ID (since we are searching against nucleotides) of the hit. Portal IDs are unique identifiers assigned to each genome. For example, Neucr2 is the portal ID for Neurospora crassa OR74A, and it can be used to access the portal (e.g. https://mycocosm.jgi.doe.gov/Neucr2). This unique identifier is also displayed across various portal pages to label data from a particular organism.</w:t>
      </w:r>
    </w:p>
    <w:p>
      <w:pPr>
        <w:pStyle w:val="Compact"/>
        <w:numPr>
          <w:ilvl w:val="1"/>
          <w:numId w:val="1087"/>
        </w:numPr>
      </w:pPr>
      <w:r>
        <w:t xml:space="preserve">The second column shows an alignment of that sequence against your query, which is helpful for seeing how well hits cover your query sequence.</w:t>
      </w:r>
    </w:p>
    <w:p>
      <w:pPr>
        <w:pStyle w:val="Compact"/>
        <w:numPr>
          <w:ilvl w:val="1"/>
          <w:numId w:val="1087"/>
        </w:numPr>
      </w:pPr>
      <w:r>
        <w:t xml:space="preserve">The score and EValue columns are also useful when assessing hit quality. Higher scores are better, and conversely, lower e-values are better.</w:t>
      </w:r>
    </w:p>
    <w:p>
      <w:pPr>
        <w:pStyle w:val="Compact"/>
        <w:numPr>
          <w:ilvl w:val="0"/>
          <w:numId w:val="1086"/>
        </w:numPr>
      </w:pPr>
      <w:r>
        <w:t xml:space="preserve">The first hit looks better. You can tell because the hit covers more of our query and the score is higher. Let’s explore the protein page for the best hit and look for evidence that this is actually mat A-1. Click on the identifier in the first column to access this page.</w:t>
      </w:r>
    </w:p>
    <w:p>
      <w:pPr>
        <w:pStyle w:val="Compact"/>
        <w:numPr>
          <w:ilvl w:val="0"/>
          <w:numId w:val="1086"/>
        </w:numPr>
      </w:pPr>
      <w:r>
        <w:t xml:space="preserve">Let’s explore the genome browser by clicking on the genome coordinates at the top of the page, in the</w:t>
      </w:r>
      <w:r>
        <w:t xml:space="preserve"> </w:t>
      </w:r>
      <w:r>
        <w:t xml:space="preserve">‘Location’</w:t>
      </w:r>
      <w:r>
        <w:t xml:space="preserve"> </w:t>
      </w:r>
      <w:r>
        <w:t xml:space="preserve">section (Above image, red arrow).</w:t>
      </w:r>
    </w:p>
    <w:p>
      <w:pPr>
        <w:pStyle w:val="Compact"/>
        <w:numPr>
          <w:ilvl w:val="0"/>
          <w:numId w:val="1086"/>
        </w:numPr>
      </w:pPr>
      <w:r>
        <w:t xml:space="preserve">After loading is complete (this might take a little while, lots of data are on this browser!), click on the -10x in the top middle portion of the page to get a bigger view (see image below).</w:t>
      </w:r>
    </w:p>
    <w:p>
      <w:pPr>
        <w:pStyle w:val="Compact"/>
        <w:numPr>
          <w:ilvl w:val="0"/>
          <w:numId w:val="1086"/>
        </w:numPr>
      </w:pPr>
      <w:r>
        <w:t xml:space="preserve">The genome browser will show you information we have available for a particular stretch of DNA sequence in your assembly. It contains details on whether we observed the same (or similar) stretch of DNA in a related organism (Vista tracks), predicted genes in that region/locus, and any other information we have. Other information can include messenger RNA expression (mRNA) levels, locations of blast hits for proteins from other fungi, and more! All of these other tracks can provide valuable information to understand fungal biology as well as evidence for validating gene predictions.</w:t>
      </w:r>
    </w:p>
    <w:p>
      <w:pPr>
        <w:pStyle w:val="Compact"/>
        <w:numPr>
          <w:ilvl w:val="0"/>
          <w:numId w:val="1086"/>
        </w:numPr>
      </w:pPr>
      <w:r>
        <w:t xml:space="preserve">You just found the mat A locus in N. crassa! In the position box in the upper left corner, you can see your location: Supercontig_1:1853928-1868957. Remember, if you are lost, every MycoCosm page has a HELP! tab you can access from the menu bar.</w:t>
      </w:r>
    </w:p>
    <w:p>
      <w:pPr>
        <w:pStyle w:val="Compact"/>
        <w:numPr>
          <w:ilvl w:val="0"/>
          <w:numId w:val="1086"/>
        </w:numPr>
      </w:pPr>
      <w:r>
        <w:t xml:space="preserve">Now that we are at the mating type locus, let’s look at the genes. In this case, genes were predicted at the Broad Institute instead of the JGI. Click on the small</w:t>
      </w:r>
      <w:r>
        <w:t xml:space="preserve"> </w:t>
      </w:r>
      <w:r>
        <w:t xml:space="preserve">‘+’</w:t>
      </w:r>
      <w:r>
        <w:t xml:space="preserve"> </w:t>
      </w:r>
      <w:r>
        <w:t xml:space="preserve">to the left of the</w:t>
      </w:r>
      <w:r>
        <w:t xml:space="preserve"> </w:t>
      </w:r>
      <w:r>
        <w:t xml:space="preserve">‘BroadModels’</w:t>
      </w:r>
      <w:r>
        <w:t xml:space="preserve"> </w:t>
      </w:r>
      <w:r>
        <w:t xml:space="preserve">track to view them.</w:t>
      </w:r>
    </w:p>
    <w:p>
      <w:pPr>
        <w:pStyle w:val="Compact"/>
        <w:numPr>
          <w:ilvl w:val="0"/>
          <w:numId w:val="1086"/>
        </w:numPr>
      </w:pPr>
      <w:r>
        <w:t xml:space="preserve">Note that some regions have 2 overlapping genes. These are called</w:t>
      </w:r>
      <w:r>
        <w:t xml:space="preserve"> </w:t>
      </w:r>
      <w:r>
        <w:t xml:space="preserve">‘isoforms’</w:t>
      </w:r>
      <w:r>
        <w:t xml:space="preserve">, which are variants of the same gene where RNA can be sliced in different ways to produce alternative transcripts and proteins (these are rare in fungi).</w:t>
      </w:r>
    </w:p>
    <w:p>
      <w:pPr>
        <w:pStyle w:val="Compact"/>
        <w:numPr>
          <w:ilvl w:val="0"/>
          <w:numId w:val="1086"/>
        </w:numPr>
      </w:pPr>
      <w:r>
        <w:t xml:space="preserve">In this region of the genome, you can see 5 genes (2 with isoforms). To learn more about what these genes might do, we can look at their protein pages. You can get to the protein page by clicking on the gene, then selecting</w:t>
      </w:r>
      <w:r>
        <w:t xml:space="preserve"> </w:t>
      </w:r>
      <w:r>
        <w:t xml:space="preserve">‘feature’</w:t>
      </w:r>
      <w:r>
        <w:t xml:space="preserve"> </w:t>
      </w:r>
      <w:r>
        <w:t xml:space="preserve">web page (or center mouse click on the gene to open it in a new tab). For convenience, here are links to the protein pages for all 5 genes in this region: NCU01961T0, NCU01960T0, NCU01959T0, NCU01958T0, NCU01957T0.</w:t>
      </w:r>
    </w:p>
    <w:p>
      <w:pPr>
        <w:pStyle w:val="Compact"/>
        <w:numPr>
          <w:ilvl w:val="0"/>
          <w:numId w:val="1086"/>
        </w:numPr>
      </w:pPr>
      <w:r>
        <w:t xml:space="preserve">Using the information on the protein page, can you find mat A-2 and mat-A3?</w:t>
      </w:r>
    </w:p>
    <w:p>
      <w:pPr>
        <w:pStyle w:val="Compact"/>
        <w:numPr>
          <w:ilvl w:val="0"/>
          <w:numId w:val="1086"/>
        </w:numPr>
      </w:pPr>
      <w:r>
        <w:t xml:space="preserve">At the mating type locus, do you notice anything interesting when exploring the read depth coverage plots (pink tracks) from related Neurospora genomes?</w:t>
      </w:r>
    </w:p>
    <w:p>
      <w:pPr>
        <w:pStyle w:val="Compact"/>
        <w:numPr>
          <w:ilvl w:val="0"/>
          <w:numId w:val="1086"/>
        </w:numPr>
      </w:pPr>
      <w:r>
        <w:t xml:space="preserve">Based on this information, let’s revisit our hypothesis about how fungal mating type is determined. Given that many related Neurospora crassa genomes are completely missing this region, this appears to support our hypothesis that fungal mating type is determined by gene presence/absence, and specifically suggests that this locus might be what we are looking for! This would mean that the fungi without this locus are of the opposite mating type. Let’s continue to test this hypothesis and see if it holds up to further scrutiny!</w:t>
      </w:r>
    </w:p>
    <w:bookmarkEnd w:id="131"/>
    <w:bookmarkStart w:id="132" w:name="X2940993da31089974a2c6c9fed6b821d862ffff"/>
    <w:p>
      <w:pPr>
        <w:pStyle w:val="Heading4"/>
      </w:pPr>
      <w:r>
        <w:t xml:space="preserve">Exploring mating type in related Neurospora</w:t>
      </w:r>
    </w:p>
    <w:p>
      <w:pPr>
        <w:pStyle w:val="FirstParagraph"/>
      </w:pPr>
      <w:r>
        <w:t xml:space="preserve">Let’s try to find mat A genes in related genomes. We can start by selecting a representative gene and then searching gene families present on the mcl clusters page.</w:t>
      </w:r>
    </w:p>
    <w:p>
      <w:pPr>
        <w:pStyle w:val="Compact"/>
        <w:numPr>
          <w:ilvl w:val="0"/>
          <w:numId w:val="1088"/>
        </w:numPr>
      </w:pPr>
      <w:r>
        <w:t xml:space="preserve">Go to the MCL clusters tab. The MCL page displays information on gene families present across a set of related genomes. You can use it to filter gene families and identify those that fit specific criteria you are interested in.</w:t>
      </w:r>
    </w:p>
    <w:p>
      <w:pPr>
        <w:pStyle w:val="Compact"/>
        <w:numPr>
          <w:ilvl w:val="0"/>
          <w:numId w:val="1088"/>
        </w:numPr>
      </w:pPr>
      <w:r>
        <w:t xml:space="preserve">We can also use this page to search for specific proteins of interest. Using the protein ID you gathered earlier from either mat A-2 or mat A-3, in the</w:t>
      </w:r>
      <w:r>
        <w:t xml:space="preserve"> </w:t>
      </w:r>
      <w:r>
        <w:t xml:space="preserve">‘filter by keywords’</w:t>
      </w:r>
      <w:r>
        <w:t xml:space="preserve"> </w:t>
      </w:r>
      <w:r>
        <w:t xml:space="preserve">field, type: portalID.proteinId (e.g. Neucr2.487), then hit enter.</w:t>
      </w:r>
    </w:p>
    <w:p>
      <w:pPr>
        <w:pStyle w:val="Compact"/>
        <w:numPr>
          <w:ilvl w:val="0"/>
          <w:numId w:val="1088"/>
        </w:numPr>
      </w:pPr>
      <w:r>
        <w:t xml:space="preserve">You should see a single cluster appear. It looks like this gene is missing from one of these genomes! Actually, all 3 genes from the mat A locus are missing in this lineage. This is not surprising given what we saw earlier on the genome browser (Step 14 from the</w:t>
      </w:r>
      <w:r>
        <w:t xml:space="preserve"> </w:t>
      </w:r>
      <w:r>
        <w:t xml:space="preserve">‘Finding mat A’</w:t>
      </w:r>
      <w:r>
        <w:t xml:space="preserve"> </w:t>
      </w:r>
      <w:r>
        <w:t xml:space="preserve">section).</w:t>
      </w:r>
    </w:p>
    <w:p>
      <w:pPr>
        <w:pStyle w:val="Compact"/>
        <w:numPr>
          <w:ilvl w:val="0"/>
          <w:numId w:val="1088"/>
        </w:numPr>
      </w:pPr>
      <w:r>
        <w:t xml:space="preserve">Hover over the lineage name and you will get a clue as to why this might be. Specifically, this strain is named Neurospora tetrasperma FGSC 2509 mat a, telling us that the organism lacking these genes is the opposite mate!</w:t>
      </w:r>
    </w:p>
    <w:p>
      <w:pPr>
        <w:pStyle w:val="Compact"/>
        <w:numPr>
          <w:ilvl w:val="0"/>
          <w:numId w:val="1088"/>
        </w:numPr>
      </w:pPr>
      <w:r>
        <w:t xml:space="preserve">You can take a closer look at gene families by clicking on the cluster number to the left of the donut plots (see above figure). This page will show you details on all genes (rows) that are part of this gene family. Click on the synteny view and make some observations.</w:t>
      </w:r>
    </w:p>
    <w:p>
      <w:pPr>
        <w:pStyle w:val="Compact"/>
        <w:numPr>
          <w:ilvl w:val="0"/>
          <w:numId w:val="1088"/>
        </w:numPr>
      </w:pPr>
      <w:r>
        <w:t xml:space="preserve">Genes rearrange all the time in fungi, leading to poor conservation of gene neighborhoods. As you can see from this view, the genes surrounding the mating type locus are an exception, where across all species they tend to keep the same order. Feel free to head back to the full mcl clustering run (here) and click around on some families to see how different it really is!</w:t>
      </w:r>
    </w:p>
    <w:bookmarkEnd w:id="132"/>
    <w:bookmarkStart w:id="133" w:name="finding-mat-a-1"/>
    <w:p>
      <w:pPr>
        <w:pStyle w:val="Heading4"/>
      </w:pPr>
      <w:r>
        <w:t xml:space="preserve">Finding mat a</w:t>
      </w:r>
    </w:p>
    <w:p>
      <w:pPr>
        <w:pStyle w:val="FirstParagraph"/>
      </w:pPr>
      <w:r>
        <w:t xml:space="preserve">Let’s repeat this exercise with the mat a locus to confirm our suspicions, but instead of using nucleotide sequence, let’s try another approach: using protein sequence.</w:t>
      </w:r>
    </w:p>
    <w:p>
      <w:pPr>
        <w:pStyle w:val="Compact"/>
        <w:numPr>
          <w:ilvl w:val="0"/>
          <w:numId w:val="1089"/>
        </w:numPr>
      </w:pPr>
      <w:r>
        <w:t xml:space="preserve">Start by searching the NCBI protein database for</w:t>
      </w:r>
      <w:r>
        <w:t xml:space="preserve"> </w:t>
      </w:r>
      <w:r>
        <w:t xml:space="preserve">“mating-type protein Mat a-1, partial Neurospora discreta”</w:t>
      </w:r>
      <w:r>
        <w:t xml:space="preserve"> </w:t>
      </w:r>
      <w:r>
        <w:t xml:space="preserve">and collect the protein sequence.</w:t>
      </w:r>
    </w:p>
    <w:p>
      <w:pPr>
        <w:pStyle w:val="Compact"/>
        <w:numPr>
          <w:ilvl w:val="0"/>
          <w:numId w:val="1089"/>
        </w:numPr>
      </w:pPr>
      <w:r>
        <w:t xml:space="preserve">Let’s find it on the mat a genome portal you found earlier for N. tetrasperma strain FGSC 2509, (https://mycocosm.jgi.doe.gov/Neute_mat_a1).</w:t>
      </w:r>
    </w:p>
    <w:p>
      <w:pPr>
        <w:pStyle w:val="Compact"/>
        <w:numPr>
          <w:ilvl w:val="0"/>
          <w:numId w:val="1089"/>
        </w:numPr>
      </w:pPr>
      <w:r>
        <w:t xml:space="preserve">Can you find the corresponding protein using blastp against the</w:t>
      </w:r>
      <w:r>
        <w:t xml:space="preserve"> </w:t>
      </w:r>
      <w:r>
        <w:t xml:space="preserve">‘Neurospora tetrasperma mat a v1.0 filtered gene models (proteins)’</w:t>
      </w:r>
      <w:r>
        <w:t xml:space="preserve"> </w:t>
      </w:r>
      <w:r>
        <w:t xml:space="preserve">set?</w:t>
      </w:r>
    </w:p>
    <w:p>
      <w:pPr>
        <w:pStyle w:val="Compact"/>
        <w:numPr>
          <w:ilvl w:val="0"/>
          <w:numId w:val="1089"/>
        </w:numPr>
      </w:pPr>
      <w:r>
        <w:t xml:space="preserve">The best hit is to N. tetrasperma protein ID 124723, can you explain why?</w:t>
      </w:r>
    </w:p>
    <w:p>
      <w:pPr>
        <w:pStyle w:val="Compact"/>
        <w:numPr>
          <w:ilvl w:val="0"/>
          <w:numId w:val="1089"/>
        </w:numPr>
      </w:pPr>
      <w:r>
        <w:t xml:space="preserve">Let’s revisit the Neucr2 mcl clustering page and search for this, again by typing portalID.proteinID (e.g. Neute_mat_a1.124723) in the search field.</w:t>
      </w:r>
    </w:p>
    <w:p>
      <w:pPr>
        <w:pStyle w:val="Compact"/>
        <w:numPr>
          <w:ilvl w:val="0"/>
          <w:numId w:val="1089"/>
        </w:numPr>
      </w:pPr>
      <w:r>
        <w:t xml:space="preserve">Do you notice anything different about this cluster compared to the mat-A cluster? Explore this family to learn more - click the on the cluster number (#771) and take a look at the synteny view again.</w:t>
      </w:r>
    </w:p>
    <w:p>
      <w:pPr>
        <w:pStyle w:val="Compact"/>
        <w:numPr>
          <w:ilvl w:val="0"/>
          <w:numId w:val="1089"/>
        </w:numPr>
      </w:pPr>
      <w:r>
        <w:t xml:space="preserve">It looks like our mat a gene is found in a region that is not present in any of the others, which are all the opposite mating type (mat A)!</w:t>
      </w:r>
    </w:p>
    <w:p>
      <w:pPr>
        <w:pStyle w:val="Compact"/>
        <w:numPr>
          <w:ilvl w:val="0"/>
          <w:numId w:val="1089"/>
        </w:numPr>
      </w:pPr>
      <w:r>
        <w:t xml:space="preserve">With this information, we can say that all our current evidence supports our hypothesis that fungal mating types are driven by presence/absence of specific genes, mat a and A in particular!</w:t>
      </w:r>
    </w:p>
    <w:bookmarkEnd w:id="133"/>
    <w:bookmarkStart w:id="134" w:name="X9715fd3f99632550ef0fc5fc1a10ffe328f1a6c"/>
    <w:p>
      <w:pPr>
        <w:pStyle w:val="Heading4"/>
      </w:pPr>
      <w:r>
        <w:t xml:space="preserve">Annotating mating type loci in Myco-Ed (and related) genomes</w:t>
      </w:r>
    </w:p>
    <w:p>
      <w:pPr>
        <w:pStyle w:val="FirstParagraph"/>
      </w:pPr>
      <w:r>
        <w:t xml:space="preserve">Let’s apply what you learned! Pick a MycoEd genome from our group portal - can you identify its mating type and find the mating type locus?</w:t>
      </w:r>
    </w:p>
    <w:p>
      <w:pPr>
        <w:pStyle w:val="Compact"/>
        <w:numPr>
          <w:ilvl w:val="0"/>
          <w:numId w:val="1090"/>
        </w:numPr>
      </w:pPr>
      <w:r>
        <w:t xml:space="preserve">Identify mating type genes from a related fungus on NCBI and go through this exercise again on your own. Note that not all mating type genes will be the same as those from N. crassa. Consequently, using the mat a or A genes you identified earlier as bait might not work to fish out mating type genes in other groups of fungi. You will have to find these on your own!</w:t>
      </w:r>
    </w:p>
    <w:p>
      <w:pPr>
        <w:pStyle w:val="Compact"/>
        <w:numPr>
          <w:ilvl w:val="0"/>
          <w:numId w:val="1090"/>
        </w:numPr>
      </w:pPr>
      <w:r>
        <w:t xml:space="preserve">If you cannot find a gene to use as bait from NCBI, try using the search function on MycoCosm! Try searching for something like</w:t>
      </w:r>
      <w:r>
        <w:t xml:space="preserve"> </w:t>
      </w:r>
      <w:r>
        <w:t xml:space="preserve">‘mating-type’</w:t>
      </w:r>
      <w:r>
        <w:t xml:space="preserve"> </w:t>
      </w:r>
      <w:r>
        <w:t xml:space="preserve">and see what sorts of annotations come up for the resulting list of genes.</w:t>
      </w:r>
    </w:p>
    <w:p>
      <w:pPr>
        <w:pStyle w:val="Compact"/>
        <w:numPr>
          <w:ilvl w:val="0"/>
          <w:numId w:val="1090"/>
        </w:numPr>
      </w:pPr>
      <w:r>
        <w:t xml:space="preserve">Go through the same exercise to search mcl clusters. Do you see a similar pattern to what we observed in N. crassa?</w:t>
      </w:r>
    </w:p>
    <w:p>
      <w:pPr>
        <w:pStyle w:val="Compact"/>
        <w:numPr>
          <w:ilvl w:val="0"/>
          <w:numId w:val="1090"/>
        </w:numPr>
      </w:pPr>
      <w:r>
        <w:t xml:space="preserve">For these MycoEd genomes, you can add your own text to describe what you discovered about any particular gene! This will be of great value to the scientific community, especially those studying fungal sexual reproduction.</w:t>
      </w:r>
    </w:p>
    <w:p>
      <w:pPr>
        <w:pStyle w:val="Compact"/>
        <w:numPr>
          <w:ilvl w:val="0"/>
          <w:numId w:val="1090"/>
        </w:numPr>
      </w:pPr>
      <w:r>
        <w:t xml:space="preserve">Once you have identified the mating type locus, go to the corresponding protein page and click</w:t>
      </w:r>
      <w:r>
        <w:t xml:space="preserve"> </w:t>
      </w:r>
      <w:r>
        <w:t xml:space="preserve">‘view/modify manual annotation’</w:t>
      </w:r>
      <w:r>
        <w:t xml:space="preserve">.</w:t>
      </w:r>
    </w:p>
    <w:p>
      <w:pPr>
        <w:pStyle w:val="Compact"/>
        <w:numPr>
          <w:ilvl w:val="0"/>
          <w:numId w:val="1090"/>
        </w:numPr>
      </w:pPr>
      <w:r>
        <w:t xml:space="preserve">Next, add your description! You should see</w:t>
      </w:r>
      <w:r>
        <w:t xml:space="preserve"> </w:t>
      </w:r>
      <w:r>
        <w:t xml:space="preserve">‘add/edit’</w:t>
      </w:r>
      <w:r>
        <w:t xml:space="preserve"> </w:t>
      </w:r>
      <w:r>
        <w:t xml:space="preserve">buttons on the next page. For the</w:t>
      </w:r>
      <w:r>
        <w:t xml:space="preserve"> </w:t>
      </w:r>
      <w:r>
        <w:t xml:space="preserve">‘Description’</w:t>
      </w:r>
      <w:r>
        <w:t xml:space="preserve"> </w:t>
      </w:r>
      <w:r>
        <w:t xml:space="preserve">attribute, select</w:t>
      </w:r>
      <w:r>
        <w:t xml:space="preserve"> </w:t>
      </w:r>
      <w:r>
        <w:t xml:space="preserve">‘add’</w:t>
      </w:r>
      <w:r>
        <w:t xml:space="preserve">, then enter details on what you discovered about that gene and hit</w:t>
      </w:r>
      <w:r>
        <w:t xml:space="preserve"> </w:t>
      </w:r>
      <w:r>
        <w:t xml:space="preserve">‘save item’</w:t>
      </w:r>
      <w:r>
        <w:t xml:space="preserve">. For example, if you found mat A-1, a useful description would be</w:t>
      </w:r>
      <w:r>
        <w:t xml:space="preserve"> </w:t>
      </w:r>
      <w:r>
        <w:t xml:space="preserve">‘mating type protein A-1’</w:t>
      </w:r>
      <w:r>
        <w:t xml:space="preserve">.</w:t>
      </w:r>
    </w:p>
    <w:p>
      <w:pPr>
        <w:pStyle w:val="Compact"/>
        <w:numPr>
          <w:ilvl w:val="0"/>
          <w:numId w:val="1090"/>
        </w:numPr>
      </w:pPr>
      <w:r>
        <w:t xml:space="preserve">Your name will be associated with your entry and by the following day, it will become searchable across the portal! This means anyone who visits this genome can easily find mating type loci, and know who to thank (you!) for this work.</w:t>
      </w:r>
    </w:p>
    <w:p>
      <w:pPr>
        <w:pStyle w:val="Compact"/>
        <w:numPr>
          <w:ilvl w:val="0"/>
          <w:numId w:val="1090"/>
        </w:numPr>
      </w:pPr>
      <w:r>
        <w:t xml:space="preserve">Using your exploration of MCL clusters, you might also be able to characterize mating type loci in related fungi. If you do, please share the identified portal, protein ID, and your text description with your instructor. In addition, please share your name and email address so we can attribute these discoveries to you!</w:t>
      </w:r>
    </w:p>
    <w:bookmarkEnd w:id="134"/>
    <w:bookmarkEnd w:id="135"/>
    <w:bookmarkEnd w:id="136"/>
    <w:bookmarkStart w:id="145" w:name="Xe7b646958662d93788a5fac43551e0623449021"/>
    <w:p>
      <w:pPr>
        <w:pStyle w:val="Heading2"/>
      </w:pPr>
      <w:r>
        <w:t xml:space="preserve">Module 7.2 – Fungal Natural Product Production Genomic Analysis</w:t>
      </w:r>
    </w:p>
    <w:bookmarkStart w:id="137" w:name="introduction-6"/>
    <w:p>
      <w:pPr>
        <w:pStyle w:val="Heading3"/>
      </w:pPr>
      <w:r>
        <w:t xml:space="preserve">Introduction</w:t>
      </w:r>
    </w:p>
    <w:p>
      <w:pPr>
        <w:pStyle w:val="FirstParagraph"/>
      </w:pPr>
      <w:r>
        <w:t xml:space="preserve">Fungi are famous producers of natural products that become new drugs, including anticancer agents (Kumar et al., 2019), cholesterol-reducing products (Seenivasan et al., 2008), and a variety of diverse antibiotics. One of the most famous examples is penicillin, the first antibiotic. Discovered by Alexander Fleming in 1929 as a fungal contaminant on his bacterial cultures, his observation that the fungus (Penicillium rubrum; reclassified later as P. chrysogenum) could kill bacteria (Fleming, 1929) led to the development of penicillin, saving countless lives during World War II and beyond. Like most of these interesting fungal products, they are secondary metabolites. Secondary metabolites are typically produced by organisms to provide a competitive advantage in a given environment (e.g., antibacterials for protection, toxins for causing disease, etc).</w:t>
      </w:r>
    </w:p>
    <w:p>
      <w:pPr>
        <w:pStyle w:val="BodyText"/>
      </w:pPr>
      <w:r>
        <w:t xml:space="preserve">Core to the production of any secondary metabolite is a</w:t>
      </w:r>
      <w:r>
        <w:t xml:space="preserve"> </w:t>
      </w:r>
      <w:r>
        <w:t xml:space="preserve">‘backbone’</w:t>
      </w:r>
      <w:r>
        <w:t xml:space="preserve"> </w:t>
      </w:r>
      <w:r>
        <w:t xml:space="preserve">gene. These backbone genes can be very strange, such as Non-Ribosomal Peptide Synthetases (NRPSs), which are specialized machines that enable the formation of non-standard products. This can even include amino acids outside of the standard 20 essential for life! NRPSs are large proteins that contain repeated modules, each including an Adenylation (A), Peptide Carrier Protein (PCP), and condensation (C) domain (Streiker et al., 2010). Combined, these allow the NRPS to add amino acids to a growing chain, producing unique molecules. These molecules are then tweaked by decorating enzymes (Keller, 2019) that modify whatever the backbone gene produces, allowing fungi to produce a multitude of bizarre molecules that can wreak havoc in other cells! Decorating genes are physically located next to backbone genes, allowing us to define Biosynthetic Gene Clusters (BGCs) responsible for the production of specific metabolites.</w:t>
      </w:r>
    </w:p>
    <w:p>
      <w:pPr>
        <w:pStyle w:val="BodyText"/>
      </w:pPr>
      <w:r>
        <w:t xml:space="preserve">In this exercise, let’s follow up on Alexander Fleming’s discovery and find the BGC that controls penicillin production. We will then use comparative genomic approaches to discover other fungi that are likely producers of penicillin and variants thereof (which could be candidates for creating exciting new antibiotics), then apply our knowledge to characterize new, unexplored BGCs!</w:t>
      </w:r>
    </w:p>
    <w:p>
      <w:pPr>
        <w:pStyle w:val="BodyText"/>
      </w:pPr>
      <w:r>
        <w:t xml:space="preserve">What we know for this exercise: From Fleming’s work, we know penicillin is produced by Penicillium chrysogenum. An NRPS is responsible for penicillin production and in P. chrysogenum the penicillin BGC contains three genes: pcbAB, pcbC, and penDE. Which of these is the backbone gene? Can we find it in related Penicillium genomes? Can you identify any fungi that might produce novel penicillin variants? Using comparative genomics approaches, let’s begin by identifying the penicillin BGC in P. chrysogenum, then formulate hypotheses and learn about its distribution across fungi. The same approach can be used to characterize diversity and distribution of other BGCs, even ones where we don’t know the metabolite they produce yet!</w:t>
      </w:r>
    </w:p>
    <w:bookmarkEnd w:id="137"/>
    <w:bookmarkStart w:id="138" w:name="references-1"/>
    <w:p>
      <w:pPr>
        <w:pStyle w:val="Heading3"/>
      </w:pPr>
      <w:r>
        <w:t xml:space="preserve">References</w:t>
      </w:r>
    </w:p>
    <w:p>
      <w:pPr>
        <w:pStyle w:val="Compact"/>
        <w:numPr>
          <w:ilvl w:val="0"/>
          <w:numId w:val="1091"/>
        </w:numPr>
      </w:pPr>
      <w:r>
        <w:t xml:space="preserve">Kumar, P., Singh, B., Thakur, V., Thakur, A., Thakur, N., Pandey, D., Chanda, D., 2019. Hyper-production of taxol from Aspergillus fumigatus, an endophytic fungus isolated from Taxus sp. of the Northern Himalayan region. Biotechnol Rep (Amst). doi: 10.1016/j.btre.2019.e00395</w:t>
      </w:r>
    </w:p>
    <w:p>
      <w:pPr>
        <w:pStyle w:val="Compact"/>
        <w:numPr>
          <w:ilvl w:val="0"/>
          <w:numId w:val="1091"/>
        </w:numPr>
      </w:pPr>
      <w:r>
        <w:t xml:space="preserve">Seenivasan, A., Subhagar, S., Aravindan, R., Viruthagiri, T., 2008. Microbial Production and Biomedical Applications of Lovastatin. Indian J Pharm Sci. 2008, doi: 10.4103/0250-474X.49087</w:t>
      </w:r>
    </w:p>
    <w:p>
      <w:pPr>
        <w:pStyle w:val="Compact"/>
        <w:numPr>
          <w:ilvl w:val="0"/>
          <w:numId w:val="1091"/>
        </w:numPr>
      </w:pPr>
      <w:r>
        <w:t xml:space="preserve">Fleming, A., 1929. On the Antibacterial Action of Cultures of a Penicillium, with Special Reference to their Use in the Isolation of B. influenzæ. Br J Exp Pathol. 1929 Jun; 10(3): 226–236</w:t>
      </w:r>
    </w:p>
    <w:p>
      <w:pPr>
        <w:pStyle w:val="Compact"/>
        <w:numPr>
          <w:ilvl w:val="0"/>
          <w:numId w:val="1091"/>
        </w:numPr>
      </w:pPr>
      <w:r>
        <w:t xml:space="preserve">Strieker, M., Tanovic, A., Marahiel, M.A., 2010. Nonribosomal peptide synthetases: structures and dynamics. Current Opinion in Structural Biology 2010, 20:234–240</w:t>
      </w:r>
    </w:p>
    <w:p>
      <w:pPr>
        <w:pStyle w:val="Compact"/>
        <w:numPr>
          <w:ilvl w:val="0"/>
          <w:numId w:val="1091"/>
        </w:numPr>
      </w:pPr>
      <w:r>
        <w:t xml:space="preserve">Keller, N., 2019. Fungal secondary metabolism: regulation, function and drug discovery. Nature Reviews Microbiology, 17(3): 167–180. doi: 10.1038/s41579-018-0121-1</w:t>
      </w:r>
    </w:p>
    <w:bookmarkEnd w:id="138"/>
    <w:bookmarkStart w:id="141" w:name="X31643484012ee51f67fd2def9a4608ddd3c7490"/>
    <w:p>
      <w:pPr>
        <w:pStyle w:val="Heading3"/>
      </w:pPr>
      <w:r>
        <w:t xml:space="preserve">Finding the Penicillin Biosynthetic Gene Cluster</w:t>
      </w:r>
    </w:p>
    <w:bookmarkStart w:id="139" w:name="X27e5a65183f9483aec43514a5289c555b8e099a"/>
    <w:p>
      <w:pPr>
        <w:pStyle w:val="Heading4"/>
      </w:pPr>
      <w:r>
        <w:t xml:space="preserve">Locate the known cluster in P. chrysogenum</w:t>
      </w:r>
    </w:p>
    <w:p>
      <w:pPr>
        <w:pStyle w:val="Compact"/>
        <w:numPr>
          <w:ilvl w:val="0"/>
          <w:numId w:val="1092"/>
        </w:numPr>
      </w:pPr>
      <w:r>
        <w:t xml:space="preserve">To start, let’s retrieve a sequence from NCBI that can help us locate the Penicillin BGC. We know there are 3 genes in this cluster: pcbAB, pcbC, and penDE. Go to NCBI (https://www.ncbi.nlm.nih.gov/) and search the</w:t>
      </w:r>
      <w:r>
        <w:t xml:space="preserve"> </w:t>
      </w:r>
      <w:r>
        <w:t xml:space="preserve">‘Nucleotide’</w:t>
      </w:r>
      <w:r>
        <w:t xml:space="preserve"> </w:t>
      </w:r>
      <w:r>
        <w:t xml:space="preserve">database for pcbAB</w:t>
      </w:r>
    </w:p>
    <w:p>
      <w:pPr>
        <w:pStyle w:val="Compact"/>
        <w:numPr>
          <w:ilvl w:val="0"/>
          <w:numId w:val="1092"/>
        </w:numPr>
      </w:pPr>
      <w:r>
        <w:t xml:space="preserve">Select the first record, titled</w:t>
      </w:r>
      <w:r>
        <w:t xml:space="preserve"> </w:t>
      </w:r>
      <w:r>
        <w:t xml:space="preserve">“Penicillium chrysogenum PcbC (pcbC) gene, partial cds; pcbC-pcbAB intergenic spacer, complete sequence; and PcbAB (pcbAB) gene, partial cds”</w:t>
      </w:r>
      <w:r>
        <w:t xml:space="preserve">. This corresponds mostly to the DNA in between pcbC and pcbAB, which will be a great tool for identifying very similar regions in other genomes!</w:t>
      </w:r>
    </w:p>
    <w:p>
      <w:pPr>
        <w:pStyle w:val="Compact"/>
        <w:numPr>
          <w:ilvl w:val="0"/>
          <w:numId w:val="1092"/>
        </w:numPr>
      </w:pPr>
      <w:r>
        <w:t xml:space="preserve">Click the</w:t>
      </w:r>
      <w:r>
        <w:t xml:space="preserve"> </w:t>
      </w:r>
      <w:r>
        <w:t xml:space="preserve">‘FASTA’</w:t>
      </w:r>
      <w:r>
        <w:t xml:space="preserve"> </w:t>
      </w:r>
      <w:r>
        <w:t xml:space="preserve">button to see the nucleotide sequence, then copy the sequence.</w:t>
      </w:r>
    </w:p>
    <w:p>
      <w:pPr>
        <w:pStyle w:val="Compact"/>
        <w:numPr>
          <w:ilvl w:val="0"/>
          <w:numId w:val="1092"/>
        </w:numPr>
      </w:pPr>
      <w:r>
        <w:t xml:space="preserve">Now, let’s find this region in the Penicillium chrysogenum genome in MycoCosm using BLAST. Here, we can browse the genome and conduct comparative analyses across related fungi. Go to the Penicillium chrysogenum genome portal (https://mycocosm.jgi.doe.gov/Pench1) and click on the BLAST tab.</w:t>
      </w:r>
    </w:p>
    <w:p>
      <w:pPr>
        <w:pStyle w:val="Compact"/>
        <w:numPr>
          <w:ilvl w:val="0"/>
          <w:numId w:val="1092"/>
        </w:numPr>
      </w:pPr>
      <w:r>
        <w:t xml:space="preserve">Paste in your nucleotide sequence and conduct a blastn analysis against the assembly. Remember, we are using the sequence that mostly falls between two genes here to locate our region of interest, so we need to search the assembly instead of the available gene model sets.</w:t>
      </w:r>
    </w:p>
    <w:p>
      <w:pPr>
        <w:pStyle w:val="Compact"/>
        <w:numPr>
          <w:ilvl w:val="0"/>
          <w:numId w:val="1092"/>
        </w:numPr>
      </w:pPr>
      <w:r>
        <w:t xml:space="preserve">You should see a single hit! Click on the coordinates to view this region of the genome.</w:t>
      </w:r>
    </w:p>
    <w:p>
      <w:pPr>
        <w:pStyle w:val="Compact"/>
        <w:numPr>
          <w:ilvl w:val="0"/>
          <w:numId w:val="1092"/>
        </w:numPr>
      </w:pPr>
      <w:r>
        <w:t xml:space="preserve">Of course, we are searching for DNA that is mostly found in between these penicillin-related genes. Click -10x to get a bigger view of this locus.</w:t>
      </w:r>
    </w:p>
    <w:p>
      <w:pPr>
        <w:pStyle w:val="Compact"/>
        <w:numPr>
          <w:ilvl w:val="0"/>
          <w:numId w:val="1092"/>
        </w:numPr>
      </w:pPr>
      <w:r>
        <w:t xml:space="preserve">Excellent! You just found the Penicillin Biosynthetic Gene Cluster (scaffold_1:6815459-6827128)! You will notice that there is no nucleotide conservation with the genomes presented in the Vista tracks at the top of the page. Let’s expand the GeneCatalog by clicking on the</w:t>
      </w:r>
      <w:r>
        <w:t xml:space="preserve"> </w:t>
      </w:r>
      <w:r>
        <w:t xml:space="preserve">‘+’</w:t>
      </w:r>
      <w:r>
        <w:t xml:space="preserve"> </w:t>
      </w:r>
      <w:r>
        <w:t xml:space="preserve">next to the track and look at a few of these genes.</w:t>
      </w:r>
    </w:p>
    <w:p>
      <w:pPr>
        <w:pStyle w:val="Compact"/>
        <w:numPr>
          <w:ilvl w:val="0"/>
          <w:numId w:val="1092"/>
        </w:numPr>
      </w:pPr>
      <w:r>
        <w:t xml:space="preserve">In this region of the genome, you can see 4 genes. To learn more about what these might do, we can look at their protein pages. You can get to the protein page by clicking on the gene, then selecting</w:t>
      </w:r>
      <w:r>
        <w:t xml:space="preserve"> </w:t>
      </w:r>
      <w:r>
        <w:t xml:space="preserve">‘feature’</w:t>
      </w:r>
      <w:r>
        <w:t xml:space="preserve"> </w:t>
      </w:r>
      <w:r>
        <w:t xml:space="preserve">web page (or center mouse click on the gene to open it in a new tab). For convenience, here are links to the protein pages for all 4 genes in this region, named by their protein IDs (which are the main identifiers used within MycoCosm): 67014, 32451, 67324, 22458</w:t>
      </w:r>
    </w:p>
    <w:p>
      <w:pPr>
        <w:pStyle w:val="Compact"/>
        <w:numPr>
          <w:ilvl w:val="0"/>
          <w:numId w:val="1092"/>
        </w:numPr>
      </w:pPr>
      <w:r>
        <w:t xml:space="preserve">As the backbone gene is central to the production of a specific secondary metabolite, let’s use it to discover other fungi that might make similar products! On the 22458 protein page, click on the green bar underneath the domain information section (see figure immediately above). Copy this sequence to your clipboard, we will use it in the next section.</w:t>
      </w:r>
    </w:p>
    <w:bookmarkEnd w:id="139"/>
    <w:bookmarkStart w:id="140" w:name="X3367d9de4d4452f0e4500f817aabeb87e960cf9"/>
    <w:p>
      <w:pPr>
        <w:pStyle w:val="Heading4"/>
      </w:pPr>
      <w:r>
        <w:t xml:space="preserve">Find candidate Penicillin BGCs in related fungi</w:t>
      </w:r>
    </w:p>
    <w:p>
      <w:pPr>
        <w:pStyle w:val="Compact"/>
        <w:numPr>
          <w:ilvl w:val="0"/>
          <w:numId w:val="1093"/>
        </w:numPr>
      </w:pPr>
      <w:r>
        <w:t xml:space="preserve">With our NRPS bait in hand, let’s try to fish out similar genes in related fungi! But before we do, do you have any hypotheses about how often it will be found?</w:t>
      </w:r>
    </w:p>
    <w:p>
      <w:pPr>
        <w:pStyle w:val="Compact"/>
        <w:numPr>
          <w:ilvl w:val="0"/>
          <w:numId w:val="1093"/>
        </w:numPr>
      </w:pPr>
      <w:r>
        <w:t xml:space="preserve">On MycoCosm, you can view individual genomes, or analyze groups of them simultaneously. There are several group page categories, including: Project groups, which contain genomes associated with specific research projects. For example, our own MycoEd project group! EcoGroups, which contain genomes of organisms with shared ecology, e.g. plant pathogenic fungi. PhyloGroups, which contain genomes of taxonomically related organisms.</w:t>
      </w:r>
    </w:p>
    <w:p>
      <w:pPr>
        <w:pStyle w:val="Compact"/>
        <w:numPr>
          <w:ilvl w:val="0"/>
          <w:numId w:val="1093"/>
        </w:numPr>
      </w:pPr>
      <w:r>
        <w:t xml:space="preserve">You can access groups either using the Groups pulldown menu on the MycoCosm homepage, or if you know the group of interest you can type it into the url. For this exercise, let’s visit the Penicillium phylogroup page.</w:t>
      </w:r>
    </w:p>
    <w:p>
      <w:pPr>
        <w:pStyle w:val="Compact"/>
        <w:numPr>
          <w:ilvl w:val="0"/>
          <w:numId w:val="1093"/>
        </w:numPr>
      </w:pPr>
      <w:r>
        <w:t xml:space="preserve">You can see we have over 70 Penicillium genomes available for comparative analysis! Genomes are colored differently based on their status, red = private, only available to you and your colleagues, white = publicly available, green = published.</w:t>
      </w:r>
    </w:p>
    <w:p>
      <w:pPr>
        <w:pStyle w:val="Compact"/>
        <w:numPr>
          <w:ilvl w:val="0"/>
          <w:numId w:val="1093"/>
        </w:numPr>
      </w:pPr>
      <w:r>
        <w:t xml:space="preserve">With so many genomes available, we have a great dataset with which we can test our hypothesis that all Penicillium produce penicillin! There are several routes we can take to explore this, but for this exercise let’s again use BLAST. On group pages, this tool allows us to search all these genomes simultaneously. Click on the BLAST tab to get started.</w:t>
      </w:r>
    </w:p>
    <w:p>
      <w:pPr>
        <w:pStyle w:val="Compact"/>
        <w:numPr>
          <w:ilvl w:val="0"/>
          <w:numId w:val="1093"/>
        </w:numPr>
      </w:pPr>
      <w:r>
        <w:t xml:space="preserve">Paste the protein sequence you copied from the P. chrysogenum Penicillin NRPS into the query sequence box. Select the blastp alignment program and the Gene Catalog protein database. Confirm that your search criteria are correct, then click</w:t>
      </w:r>
      <w:r>
        <w:t xml:space="preserve"> </w:t>
      </w:r>
      <w:r>
        <w:t xml:space="preserve">‘Run blastp’</w:t>
      </w:r>
      <w:r>
        <w:t xml:space="preserve">. Note that this is a large protein and we are searching a lot of genomes, so this might take a few minutes.</w:t>
      </w:r>
    </w:p>
    <w:p>
      <w:pPr>
        <w:pStyle w:val="Compact"/>
        <w:numPr>
          <w:ilvl w:val="0"/>
          <w:numId w:val="1093"/>
        </w:numPr>
      </w:pPr>
      <w:r>
        <w:t xml:space="preserve">After a few minutes, you should see results. We get a lot of hits (1,929 of them!). The top hit should almost always be to the original backbone gene you selected. To assess quality take a look at the alignment, which shows how well the hits cover your query sequence. Also take a look at the</w:t>
      </w:r>
      <w:r>
        <w:t xml:space="preserve"> </w:t>
      </w:r>
      <w:r>
        <w:t xml:space="preserve">‘Score’</w:t>
      </w:r>
      <w:r>
        <w:t xml:space="preserve">. The higher the score, the better.</w:t>
      </w:r>
    </w:p>
    <w:p>
      <w:pPr>
        <w:pStyle w:val="Compact"/>
        <w:numPr>
          <w:ilvl w:val="0"/>
          <w:numId w:val="1093"/>
        </w:numPr>
      </w:pPr>
      <w:r>
        <w:t xml:space="preserve">Can you find where hit quality begins to drop off? You can see by just looking at the top 10 that quality drops off really fast!</w:t>
      </w:r>
    </w:p>
    <w:p>
      <w:pPr>
        <w:pStyle w:val="Compact"/>
        <w:numPr>
          <w:ilvl w:val="0"/>
          <w:numId w:val="1093"/>
        </w:numPr>
      </w:pPr>
      <w:r>
        <w:t xml:space="preserve">Where to define cutoffs is somewhat arbitrary and depends on your research question. For this exercise, let’s keep it simple and set this cutoff by calculating a Blast Score Ratio (BSR; Rasko et al., 2005). By dividing a given score by the score of the query against itself, we can get a feel for how good a match is compared to the best possible match.</w:t>
      </w:r>
    </w:p>
    <w:p>
      <w:pPr>
        <w:pStyle w:val="Compact"/>
        <w:numPr>
          <w:ilvl w:val="0"/>
          <w:numId w:val="1093"/>
        </w:numPr>
      </w:pPr>
      <w:r>
        <w:t xml:space="preserve">With this new information, let’s revisit our hypothesis. Given that we see only 7 really good matches to the penicillin NRPS out of the ~70 available genomes, it seems that our first hypothesis was incorrect, meaning not all Penicillium species produce penicillin.</w:t>
      </w:r>
    </w:p>
    <w:p>
      <w:pPr>
        <w:pStyle w:val="Compact"/>
        <w:numPr>
          <w:ilvl w:val="0"/>
          <w:numId w:val="1093"/>
        </w:numPr>
      </w:pPr>
      <w:r>
        <w:t xml:space="preserve">Let’s revise it! Maybe the Penicillium genus is too diverse and only a small subset of closely related fungi can produce this product! Perhaps a compelling new hypothesis would be that all penicillin producers are closely related evolutionarily.</w:t>
      </w:r>
    </w:p>
    <w:p>
      <w:pPr>
        <w:pStyle w:val="Compact"/>
        <w:numPr>
          <w:ilvl w:val="0"/>
          <w:numId w:val="1093"/>
        </w:numPr>
      </w:pPr>
      <w:r>
        <w:t xml:space="preserve">Record the names in the organism column from our BLAST output for the top 7 hits. We can use the precomputed phylogenetic tree from the</w:t>
      </w:r>
      <w:r>
        <w:t xml:space="preserve"> </w:t>
      </w:r>
      <w:r>
        <w:t xml:space="preserve">‘TREE’</w:t>
      </w:r>
      <w:r>
        <w:t xml:space="preserve"> </w:t>
      </w:r>
      <w:r>
        <w:t xml:space="preserve">tab to continue our exploration and test whether they are closely related or not.</w:t>
      </w:r>
    </w:p>
    <w:p>
      <w:pPr>
        <w:pStyle w:val="Compact"/>
        <w:numPr>
          <w:ilvl w:val="0"/>
          <w:numId w:val="1093"/>
        </w:numPr>
      </w:pPr>
      <w:r>
        <w:t xml:space="preserve">Open the</w:t>
      </w:r>
      <w:r>
        <w:t xml:space="preserve"> </w:t>
      </w:r>
      <w:r>
        <w:t xml:space="preserve">‘TREE’</w:t>
      </w:r>
      <w:r>
        <w:t xml:space="preserve"> </w:t>
      </w:r>
      <w:r>
        <w:t xml:space="preserve">tab, either in a separate tab or a new window so you can easily see both your blast results and the phylogeny.</w:t>
      </w:r>
    </w:p>
    <w:p>
      <w:pPr>
        <w:pStyle w:val="Compact"/>
        <w:numPr>
          <w:ilvl w:val="0"/>
          <w:numId w:val="1093"/>
        </w:numPr>
      </w:pPr>
      <w:r>
        <w:t xml:space="preserve">Here, we will see a pre-computed phylogenetic tree showing evolutionary relationships within this PhyloGroup. The node colors on the tree indicate support values, green: 1.0, orange: ≥ 0.7, red: &lt; 0.7, white: no support. This phylogenetic tree is generated based on amino acid sequence alignments from hundreds to thousands of proteins across these fungi. If a particular node is well supported, it means that a lot of the underlying sequence alignment agrees with the relationships shown in that part of the tree. In contrast, if support is low, we should be suspicious of the relationships depicted there.</w:t>
      </w:r>
    </w:p>
    <w:p>
      <w:pPr>
        <w:pStyle w:val="Compact"/>
        <w:numPr>
          <w:ilvl w:val="0"/>
          <w:numId w:val="1093"/>
        </w:numPr>
      </w:pPr>
      <w:r>
        <w:t xml:space="preserve">At the top of the page is a search box where we can type in some of our organisms of interest to see where they are on the tree. Try typing in Penicillium chrysogenum. Hit enter (or the</w:t>
      </w:r>
      <w:r>
        <w:t xml:space="preserve"> </w:t>
      </w:r>
      <w:r>
        <w:t xml:space="preserve">‘Filter’</w:t>
      </w:r>
      <w:r>
        <w:t xml:space="preserve"> </w:t>
      </w:r>
      <w:r>
        <w:t xml:space="preserve">button) and see what happens!</w:t>
      </w:r>
    </w:p>
    <w:p>
      <w:pPr>
        <w:pStyle w:val="Compact"/>
        <w:numPr>
          <w:ilvl w:val="0"/>
          <w:numId w:val="1093"/>
        </w:numPr>
      </w:pPr>
      <w:r>
        <w:t xml:space="preserve">You will see that the tree compresses and highlights the lineages that match your search, in this case, strains of P. chrysogenum. Everything else will be grayed out. Click</w:t>
      </w:r>
      <w:r>
        <w:t xml:space="preserve"> </w:t>
      </w:r>
      <w:r>
        <w:t xml:space="preserve">‘Expand All’</w:t>
      </w:r>
      <w:r>
        <w:t xml:space="preserve"> </w:t>
      </w:r>
      <w:r>
        <w:t xml:space="preserve">and you can see where they are in the larger Penicillium tree. Click the clear to restore everything to default colors.</w:t>
      </w:r>
    </w:p>
    <w:p>
      <w:pPr>
        <w:pStyle w:val="Compact"/>
        <w:numPr>
          <w:ilvl w:val="0"/>
          <w:numId w:val="1093"/>
        </w:numPr>
      </w:pPr>
      <w:r>
        <w:t xml:space="preserve">Looking over this tree, can you find the 7 fungi from our BLAST results that contain our intact Penicillin NRPS? Are they found in the same part of the tree, or all over the place?</w:t>
      </w:r>
    </w:p>
    <w:p>
      <w:pPr>
        <w:pStyle w:val="Compact"/>
        <w:numPr>
          <w:ilvl w:val="0"/>
          <w:numId w:val="1093"/>
        </w:numPr>
      </w:pPr>
      <w:r>
        <w:t xml:space="preserve">We can point to 3 clades where this NRPS is found, with most being present in Clade 2 (see above image). However, in all cases there are very close relatives which lack it. Overall, this suggests that the ability to produce penicillin is pretty variable across the Penicillium genus. While phylogeny can provide some clues, it alone cannot be used to predict the ability to produce penicillin.</w:t>
      </w:r>
    </w:p>
    <w:p>
      <w:pPr>
        <w:pStyle w:val="Compact"/>
        <w:numPr>
          <w:ilvl w:val="0"/>
          <w:numId w:val="1093"/>
        </w:numPr>
      </w:pPr>
      <w:r>
        <w:t xml:space="preserve">This tells us that our hypothesis that penicillin producers are all closely related evolutionarily is incorrect (again!) - and that is OK! Based on our current results, we can conclude that penicillin production is both dispensable (as clearly not all Penicillium can make it) and not phylogenetically driven.</w:t>
      </w:r>
    </w:p>
    <w:p>
      <w:pPr>
        <w:pStyle w:val="Compact"/>
        <w:numPr>
          <w:ilvl w:val="0"/>
          <w:numId w:val="1093"/>
        </w:numPr>
      </w:pPr>
      <w:r>
        <w:t xml:space="preserve">This knowledge raises a ton of new hypotheses, such as: i) The Penicillin BGC arose in these fungi due to horizontal gene transfer, ii) The Penicillin BGC is associated with specific ecological niches, iii) The Penicillin BGC is restricted to specific geographic locations, iv) etc… Using MycoCosm, NCBI and other online bioinformatics tools, feel free to explore some of these ideas!</w:t>
      </w:r>
    </w:p>
    <w:bookmarkEnd w:id="140"/>
    <w:bookmarkEnd w:id="141"/>
    <w:bookmarkStart w:id="144" w:name="characterize-myco-ed-bgcs"/>
    <w:p>
      <w:pPr>
        <w:pStyle w:val="Heading3"/>
      </w:pPr>
      <w:r>
        <w:t xml:space="preserve">Characterize Myco-Ed BGCs</w:t>
      </w:r>
    </w:p>
    <w:bookmarkStart w:id="142" w:name="X730d453170a2dce205090ee117776f286330cc7"/>
    <w:p>
      <w:pPr>
        <w:pStyle w:val="Heading4"/>
      </w:pPr>
      <w:r>
        <w:t xml:space="preserve">Find interesting BGCs using Secondary Metabolite (SM) clusters page</w:t>
      </w:r>
    </w:p>
    <w:p>
      <w:pPr>
        <w:pStyle w:val="FirstParagraph"/>
      </w:pPr>
      <w:r>
        <w:t xml:space="preserve">Penicillin is a famous example of a fungal natural product. However, fungi are some of the most prolific producers of secondary metabolites worldwide, and there is a lot to discover here! Let’s do some exploratory work and characterize secondary metabolites produced by MycoEd fungi.</w:t>
      </w:r>
    </w:p>
    <w:p>
      <w:pPr>
        <w:pStyle w:val="Compact"/>
        <w:numPr>
          <w:ilvl w:val="0"/>
          <w:numId w:val="1094"/>
        </w:numPr>
      </w:pPr>
      <w:r>
        <w:t xml:space="preserve">Pick a genome from our MycoEd group portal. For these MycoEd genomes, you can add your own text to describe what you discover about any particular gene. This will be of great value to the scientific community, especially those studying fungal natural product diversity!</w:t>
      </w:r>
    </w:p>
    <w:p>
      <w:pPr>
        <w:pStyle w:val="Compact"/>
        <w:numPr>
          <w:ilvl w:val="0"/>
          <w:numId w:val="1094"/>
        </w:numPr>
      </w:pPr>
      <w:r>
        <w:t xml:space="preserve">Keep in mind, what you are doing here is completely new - you might be the first person ever to look at these fungal natural product genes! If you observe something unexpected or cannot find similar genes in related genomes that is OK, and could reveal something very exciting! Documenting your work, manually curating genes (see</w:t>
      </w:r>
      <w:r>
        <w:t xml:space="preserve"> </w:t>
      </w:r>
      <w:r>
        <w:t xml:space="preserve">‘Annotate them!’</w:t>
      </w:r>
      <w:r>
        <w:t xml:space="preserve"> </w:t>
      </w:r>
      <w:r>
        <w:t xml:space="preserve">section, below), and sharing it with your instructor will be a big help to future investigators.</w:t>
      </w:r>
    </w:p>
    <w:p>
      <w:pPr>
        <w:pStyle w:val="Compact"/>
        <w:numPr>
          <w:ilvl w:val="0"/>
          <w:numId w:val="1094"/>
        </w:numPr>
      </w:pPr>
      <w:r>
        <w:t xml:space="preserve">Let’s set a goal to describe the distribution of fungal BGC backbone genes, following the same workflow you just did for penicillin.</w:t>
      </w:r>
    </w:p>
    <w:p>
      <w:pPr>
        <w:pStyle w:val="Compact"/>
        <w:numPr>
          <w:ilvl w:val="0"/>
          <w:numId w:val="1094"/>
        </w:numPr>
      </w:pPr>
      <w:r>
        <w:t xml:space="preserve">Each MycoCosm portal has a secondary metabolite clusters page, which can be used to study these BGCs in greater detail. On the menu bar for any portal, you will see an</w:t>
      </w:r>
      <w:r>
        <w:t xml:space="preserve"> </w:t>
      </w:r>
      <w:r>
        <w:t xml:space="preserve">‘Annotations’</w:t>
      </w:r>
      <w:r>
        <w:t xml:space="preserve"> </w:t>
      </w:r>
      <w:r>
        <w:t xml:space="preserve">pulldown. Click it, then select</w:t>
      </w:r>
      <w:r>
        <w:t xml:space="preserve"> </w:t>
      </w:r>
      <w:r>
        <w:t xml:space="preserve">‘Secondary Metabolism Clusters’</w:t>
      </w:r>
    </w:p>
    <w:p>
      <w:pPr>
        <w:pStyle w:val="Compact"/>
        <w:numPr>
          <w:ilvl w:val="0"/>
          <w:numId w:val="1094"/>
        </w:numPr>
      </w:pPr>
      <w:r>
        <w:t xml:space="preserve">The secondary metabolism clusters page shows a table of BGC counts across a set of closely related genomes. The columns separate different types of backbone genes and the rows are individual genomes. For your MycoEd genome, click on the number in the</w:t>
      </w:r>
      <w:r>
        <w:t xml:space="preserve"> </w:t>
      </w:r>
      <w:r>
        <w:t xml:space="preserve">‘Total’</w:t>
      </w:r>
      <w:r>
        <w:t xml:space="preserve"> </w:t>
      </w:r>
      <w:r>
        <w:t xml:space="preserve">column to see the BGCs found only in this genome, or click on the number within the backbone gene column you are interested in (e.g. NRPS).</w:t>
      </w:r>
    </w:p>
    <w:p>
      <w:pPr>
        <w:pStyle w:val="Compact"/>
        <w:numPr>
          <w:ilvl w:val="0"/>
          <w:numId w:val="1094"/>
        </w:numPr>
      </w:pPr>
      <w:r>
        <w:t xml:space="preserve">The following page will show details on all BGCs found. This includes the type of cluster, the location on the genome and its architecture, including the backbone gene (in color) and nearby predicted decorating enzymes (gray). Note that some clusters might be missing decorating enzymes - this could be real, or we failed to predict them.</w:t>
      </w:r>
    </w:p>
    <w:p>
      <w:pPr>
        <w:pStyle w:val="Compact"/>
        <w:numPr>
          <w:ilvl w:val="0"/>
          <w:numId w:val="1094"/>
        </w:numPr>
      </w:pPr>
      <w:r>
        <w:t xml:space="preserve">Hovering your mouse over the genes in the cartoon will provide information on those proteins. Pick a cluster and repeat our previous exercise to characterize its distribution. You can start by clicking on the backbone gene in the cartoon, which will bring you to the corresponding protein page. Keep this page open in a separate tab for the rest of the exercise, we will revisit it later.</w:t>
      </w:r>
    </w:p>
    <w:p>
      <w:pPr>
        <w:pStyle w:val="Compact"/>
        <w:numPr>
          <w:ilvl w:val="0"/>
          <w:numId w:val="1094"/>
        </w:numPr>
      </w:pPr>
      <w:r>
        <w:t xml:space="preserve">Collect the protein sequence, then search a related MycoCosm Phylogroup. You can find a related group by going to the portal Info page. At the bottom of this screen is a</w:t>
      </w:r>
      <w:r>
        <w:t xml:space="preserve"> </w:t>
      </w:r>
      <w:r>
        <w:t xml:space="preserve">‘Links’</w:t>
      </w:r>
      <w:r>
        <w:t xml:space="preserve"> </w:t>
      </w:r>
      <w:r>
        <w:t xml:space="preserve">section. Select the PhyloGroup containing this organism’s closest relatives, which is at the end of the list. If there are only a few genomes (less than 5), try going one taxonomic level up by returning to the info page and selecting the second to last link.</w:t>
      </w:r>
    </w:p>
    <w:p>
      <w:pPr>
        <w:pStyle w:val="Compact"/>
        <w:numPr>
          <w:ilvl w:val="0"/>
          <w:numId w:val="1094"/>
        </w:numPr>
      </w:pPr>
      <w:r>
        <w:t xml:space="preserve">Start exploring by conducting a BLAST search! If you have a lot of good hits, make sure to increase the number of alignments shown until you see low-quality hits. Click</w:t>
      </w:r>
      <w:r>
        <w:t xml:space="preserve"> </w:t>
      </w:r>
      <w:r>
        <w:t xml:space="preserve">‘Configure this screen’</w:t>
      </w:r>
      <w:r>
        <w:t xml:space="preserve"> </w:t>
      </w:r>
      <w:r>
        <w:t xml:space="preserve">and increase the number of hits shown to a larger number (e.g. 100); see below.</w:t>
      </w:r>
    </w:p>
    <w:p>
      <w:pPr>
        <w:pStyle w:val="Compact"/>
        <w:numPr>
          <w:ilvl w:val="0"/>
          <w:numId w:val="1094"/>
        </w:numPr>
      </w:pPr>
      <w:r>
        <w:t xml:space="preserve">Select any hit that passes the BSR threshold of 0.9 we defined earlier (see Step 9 in the</w:t>
      </w:r>
      <w:r>
        <w:t xml:space="preserve"> </w:t>
      </w:r>
      <w:r>
        <w:t xml:space="preserve">‘Find candidate Penicillin BGCs’</w:t>
      </w:r>
      <w:r>
        <w:t xml:space="preserve"> </w:t>
      </w:r>
      <w:r>
        <w:t xml:space="preserve">section)’ and let’s see where those fungi are on the interactive tree. The interactive tree is produced only once or twice a year, so your chosen MycoEd genome might not be there depending on when you conduct this analysis. That is OK since we are mostly interested in where these other fungi are found.</w:t>
      </w:r>
    </w:p>
    <w:bookmarkEnd w:id="142"/>
    <w:bookmarkStart w:id="143" w:name="annotate-them"/>
    <w:p>
      <w:pPr>
        <w:pStyle w:val="Heading4"/>
      </w:pPr>
      <w:r>
        <w:t xml:space="preserve">Annotate them!</w:t>
      </w:r>
    </w:p>
    <w:p>
      <w:pPr>
        <w:pStyle w:val="Compact"/>
        <w:numPr>
          <w:ilvl w:val="0"/>
          <w:numId w:val="1095"/>
        </w:numPr>
      </w:pPr>
      <w:r>
        <w:t xml:space="preserve">Once you have completed your analysis, return to the protein page for your backbone gene and click</w:t>
      </w:r>
      <w:r>
        <w:t xml:space="preserve"> </w:t>
      </w:r>
      <w:r>
        <w:t xml:space="preserve">‘view/modify manual annotation’</w:t>
      </w:r>
      <w:r>
        <w:t xml:space="preserve">.</w:t>
      </w:r>
    </w:p>
    <w:p>
      <w:pPr>
        <w:pStyle w:val="Compact"/>
        <w:numPr>
          <w:ilvl w:val="0"/>
          <w:numId w:val="1095"/>
        </w:numPr>
      </w:pPr>
      <w:r>
        <w:t xml:space="preserve">Next, add your description. You should see</w:t>
      </w:r>
      <w:r>
        <w:t xml:space="preserve"> </w:t>
      </w:r>
      <w:r>
        <w:t xml:space="preserve">‘add/edit’</w:t>
      </w:r>
      <w:r>
        <w:t xml:space="preserve"> </w:t>
      </w:r>
      <w:r>
        <w:t xml:space="preserve">buttons on the next page. For the</w:t>
      </w:r>
      <w:r>
        <w:t xml:space="preserve"> </w:t>
      </w:r>
      <w:r>
        <w:t xml:space="preserve">‘Description’</w:t>
      </w:r>
      <w:r>
        <w:t xml:space="preserve"> </w:t>
      </w:r>
      <w:r>
        <w:t xml:space="preserve">attribute, select</w:t>
      </w:r>
      <w:r>
        <w:t xml:space="preserve"> </w:t>
      </w:r>
      <w:r>
        <w:t xml:space="preserve">‘add’</w:t>
      </w:r>
      <w:r>
        <w:t xml:space="preserve"> </w:t>
      </w:r>
      <w:r>
        <w:t xml:space="preserve">then enter details on what you discovered about that gene and click</w:t>
      </w:r>
      <w:r>
        <w:t xml:space="preserve"> </w:t>
      </w:r>
      <w:r>
        <w:t xml:space="preserve">‘save item’</w:t>
      </w:r>
      <w:r>
        <w:t xml:space="preserve">.</w:t>
      </w:r>
    </w:p>
    <w:p>
      <w:pPr>
        <w:pStyle w:val="Compact"/>
        <w:numPr>
          <w:ilvl w:val="0"/>
          <w:numId w:val="1095"/>
        </w:numPr>
      </w:pPr>
      <w:r>
        <w:t xml:space="preserve">Your name will be associated with your entry and eventually, it will become searchable across the portal! This means anyone who visits this genome can easily retrieve these details (via the search page), and know who to thank (you!) for this work.</w:t>
      </w:r>
    </w:p>
    <w:bookmarkEnd w:id="143"/>
    <w:bookmarkEnd w:id="144"/>
    <w:bookmarkEnd w:id="145"/>
    <w:bookmarkEnd w:id="146"/>
    <w:bookmarkStart w:id="148" w:name="summary"/>
    <w:p>
      <w:pPr>
        <w:pStyle w:val="Heading1"/>
      </w:pPr>
      <w:r>
        <w:t xml:space="preserve">1. Summary</w:t>
      </w:r>
    </w:p>
    <w:p>
      <w:pPr>
        <w:pStyle w:val="FirstParagraph"/>
      </w:pPr>
      <w:r>
        <w:t xml:space="preserve">In summary, this book covers the complete Myco-Ed curriculum for BSC 495: The Hidden World’s Code. Students will gain hands-on experience in fungal biology and genomics, from sample collection and fungal isolation through DNA sequencing, genome assembly, and annotation. By the end of the course, students will have contributed to high-quality fungal reference genomes and developed broadly applicable skills in lab techniques and bioinformatics. More information and course resources are available at the</w:t>
      </w:r>
      <w:r>
        <w:t xml:space="preserve"> </w:t>
      </w:r>
      <w:hyperlink r:id="rId147">
        <w:r>
          <w:rPr>
            <w:rStyle w:val="Hyperlink"/>
          </w:rPr>
          <w:t xml:space="preserve">BSC495-HWC GitHub organization</w:t>
        </w:r>
      </w:hyperlink>
      <w:r>
        <w:t xml:space="preserve">.</w:t>
      </w:r>
    </w:p>
    <w:bookmarkEnd w:id="148"/>
    <w:bookmarkStart w:id="151" w:name="carlos-c.-goller"/>
    <w:p>
      <w:pPr>
        <w:pStyle w:val="Heading1"/>
      </w:pPr>
      <w:r>
        <w:t xml:space="preserve">2. Carlos C. Goller</w:t>
      </w:r>
    </w:p>
    <w:p>
      <w:pPr>
        <w:pStyle w:val="FirstParagraph"/>
      </w:pPr>
      <w:r>
        <w:t xml:space="preserve">Carlos C. Goller, Ph.D. is a Teaching Professor at North Carolina State University in Raleigh, NC. He teaches microbiology, life science, public health, and other fun courses as part of the Department of Biological Sciences. When not playing with</w:t>
      </w:r>
      <w:r>
        <w:t xml:space="preserve"> </w:t>
      </w:r>
      <w:r>
        <w:rPr>
          <w:b/>
          <w:bCs/>
        </w:rPr>
        <w:t xml:space="preserve">Delftia acidovorans</w:t>
      </w:r>
      <w:r>
        <w:t xml:space="preserve"> </w:t>
      </w:r>
      <w:r>
        <w:t xml:space="preserve">or code, Carlos enjoys spending time with his family (Claire Gordy also at NC State, Amada, and Aurelio) and playing with his dog Sunshine.</w:t>
      </w:r>
    </w:p>
    <w:bookmarkStart w:id="149" w:name="education"/>
    <w:p>
      <w:pPr>
        <w:pStyle w:val="Heading2"/>
      </w:pPr>
      <w:r>
        <w:t xml:space="preserve">2.1 Education</w:t>
      </w:r>
    </w:p>
    <w:p>
      <w:pPr>
        <w:pStyle w:val="FirstParagraph"/>
      </w:pPr>
      <w:r>
        <w:t xml:space="preserve">North Carolina State University, Raleigh, NC | Advisor: Dr. Sue Carson | Topic: Biotechnology Education and Curriculum Development</w:t>
      </w:r>
    </w:p>
    <w:p>
      <w:pPr>
        <w:pStyle w:val="BodyText"/>
      </w:pPr>
      <w:r>
        <w:t xml:space="preserve">Duke University Medical Center, Durham, NC | Advisor: Patrick C. Seed | Topic: Bacterial Pathogenesis and Anti-infective Screening</w:t>
      </w:r>
      <w:r>
        <w:t xml:space="preserve"> </w:t>
      </w:r>
      <w:r>
        <w:t xml:space="preserve">The Hartwell Foundation Postdoctoral Fellowship | September 2008 - July 2012</w:t>
      </w:r>
    </w:p>
    <w:p>
      <w:pPr>
        <w:pStyle w:val="BodyText"/>
      </w:pPr>
      <w:r>
        <w:t xml:space="preserve">Emory University, Atlanta, GA | Advisor: Tony Romeo | Topic: Bacterial Biofilm Formation and Regulation</w:t>
      </w:r>
      <w:r>
        <w:t xml:space="preserve"> </w:t>
      </w:r>
      <w:r>
        <w:t xml:space="preserve">Ph.D. in Microbiology and Molecular Genetics | August 2002 - September 2008</w:t>
      </w:r>
    </w:p>
    <w:p>
      <w:pPr>
        <w:pStyle w:val="BodyText"/>
      </w:pPr>
      <w:r>
        <w:t xml:space="preserve">Worcester Polytechnic Institute | Worcester, MA</w:t>
      </w:r>
      <w:r>
        <w:t xml:space="preserve"> </w:t>
      </w:r>
      <w:r>
        <w:t xml:space="preserve">B.S in Biology and Biotechnology | August 1998 - May 2002</w:t>
      </w:r>
    </w:p>
    <w:bookmarkEnd w:id="149"/>
    <w:bookmarkStart w:id="150" w:name="experience"/>
    <w:p>
      <w:pPr>
        <w:pStyle w:val="Heading2"/>
      </w:pPr>
      <w:r>
        <w:t xml:space="preserve">2.2 Experience</w:t>
      </w:r>
    </w:p>
    <w:p>
      <w:pPr>
        <w:pStyle w:val="FirstParagraph"/>
      </w:pPr>
      <w:r>
        <w:t xml:space="preserve">Teaching Professor | North Carolina State University Department of Biological Sciences | 2024 - Present</w:t>
      </w:r>
      <w:r>
        <w:t xml:space="preserve"> </w:t>
      </w:r>
      <w:r>
        <w:t xml:space="preserve">Associate Teaching Professor | North Carolina State University Department of Biological Sciences | 2019 - 2024</w:t>
      </w:r>
      <w:r>
        <w:t xml:space="preserve"> </w:t>
      </w:r>
      <w:r>
        <w:t xml:space="preserve">Assistant Teaching Professor | North Carolina State University Department of Biological Sciences | 2015 - 2019</w:t>
      </w:r>
    </w:p>
    <w:bookmarkEnd w:id="150"/>
    <w:bookmarkEnd w:id="151"/>
    <w:bookmarkStart w:id="154" w:name="references-2"/>
    <w:p>
      <w:pPr>
        <w:pStyle w:val="Heading1"/>
      </w:pPr>
      <w:r>
        <w:t xml:space="preserve">References</w:t>
      </w:r>
    </w:p>
    <w:bookmarkStart w:id="153" w:name="refs"/>
    <w:bookmarkStart w:id="152" w:name="ref-doyle1987"/>
    <w:p>
      <w:pPr>
        <w:pStyle w:val="Bibliography"/>
      </w:pPr>
      <w:r>
        <w:t xml:space="preserve">Doyle, J. J., and J. L. Doyle. 1987.</w:t>
      </w:r>
      <w:r>
        <w:t xml:space="preserve"> </w:t>
      </w:r>
      <w:r>
        <w:t xml:space="preserve">“A Rapid</w:t>
      </w:r>
      <w:r>
        <w:t xml:space="preserve"> </w:t>
      </w:r>
      <w:r>
        <w:t xml:space="preserve">DNA</w:t>
      </w:r>
      <w:r>
        <w:t xml:space="preserve"> </w:t>
      </w:r>
      <w:r>
        <w:t xml:space="preserve">Isolation Procedure from Small Quantities of Fresh Leaf Tissues.”</w:t>
      </w:r>
      <w:r>
        <w:t xml:space="preserve"> </w:t>
      </w:r>
      <w:r>
        <w:rPr>
          <w:i/>
          <w:iCs/>
        </w:rPr>
        <w:t xml:space="preserve">Phytochemical Bulletin</w:t>
      </w:r>
      <w:r>
        <w:t xml:space="preserve"> </w:t>
      </w:r>
      <w:r>
        <w:t xml:space="preserve">19: 11–15.</w:t>
      </w:r>
    </w:p>
    <w:bookmarkEnd w:id="152"/>
    <w:bookmarkEnd w:id="153"/>
    <w:bookmarkEnd w:id="1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511">
    <w:nsid w:val="00A9951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821">
    <w:nsid w:val="00A9982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4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60" Target="media/rId60.png" /><Relationship Type="http://schemas.openxmlformats.org/officeDocument/2006/relationships/image" Id="rId11" Target="media/rId11.png" /><Relationship Type="http://schemas.openxmlformats.org/officeDocument/2006/relationships/image" Id="rId37" Target="media/rId37.png" /><Relationship Type="http://schemas.openxmlformats.org/officeDocument/2006/relationships/hyperlink" Id="rId24" Target="https://dx.doi.org/10.17504/protocols.io.rm7vzqd5xvx1/v1" TargetMode="External" /><Relationship Type="http://schemas.openxmlformats.org/officeDocument/2006/relationships/hyperlink" Id="rId147" Target="https://github.com/BSC495-HWC" TargetMode="External" /><Relationship Type="http://schemas.openxmlformats.org/officeDocument/2006/relationships/hyperlink" Id="rId10" Target="https://mycocosm.jgi.doe.gov/mycocosm/home/myco-ed" TargetMode="External" /><Relationship Type="http://schemas.openxmlformats.org/officeDocument/2006/relationships/hyperlink" Id="rId9" Target="https://quarto.org/docs/books" TargetMode="External" /><Relationship Type="http://schemas.openxmlformats.org/officeDocument/2006/relationships/hyperlink" Id="rId14" Target="module0-slides.html" TargetMode="External" /><Relationship Type="http://schemas.openxmlformats.org/officeDocument/2006/relationships/hyperlink" Id="rId15" Target="module1-slides.html" TargetMode="External" /><Relationship Type="http://schemas.openxmlformats.org/officeDocument/2006/relationships/hyperlink" Id="rId16" Target="module2-slides.html" TargetMode="External" /><Relationship Type="http://schemas.openxmlformats.org/officeDocument/2006/relationships/hyperlink" Id="rId17" Target="module3-slides.html" TargetMode="External" /><Relationship Type="http://schemas.openxmlformats.org/officeDocument/2006/relationships/hyperlink" Id="rId18" Target="module4-slides.html" TargetMode="External" /><Relationship Type="http://schemas.openxmlformats.org/officeDocument/2006/relationships/hyperlink" Id="rId19" Target="module5-slides.html" TargetMode="External" /><Relationship Type="http://schemas.openxmlformats.org/officeDocument/2006/relationships/hyperlink" Id="rId20" Target="module6-slides.html" TargetMode="External" /><Relationship Type="http://schemas.openxmlformats.org/officeDocument/2006/relationships/hyperlink" Id="rId21" Target="module7-slides.html" TargetMode="External" /></Relationships>
</file>

<file path=word/_rels/footnotes.xml.rels><?xml version="1.0" encoding="UTF-8"?><Relationships xmlns="http://schemas.openxmlformats.org/package/2006/relationships"><Relationship Type="http://schemas.openxmlformats.org/officeDocument/2006/relationships/hyperlink" Id="rId24" Target="https://dx.doi.org/10.17504/protocols.io.rm7vzqd5xvx1/v1" TargetMode="External" /><Relationship Type="http://schemas.openxmlformats.org/officeDocument/2006/relationships/hyperlink" Id="rId147" Target="https://github.com/BSC495-HWC" TargetMode="External" /><Relationship Type="http://schemas.openxmlformats.org/officeDocument/2006/relationships/hyperlink" Id="rId10" Target="https://mycocosm.jgi.doe.gov/mycocosm/home/myco-ed" TargetMode="External" /><Relationship Type="http://schemas.openxmlformats.org/officeDocument/2006/relationships/hyperlink" Id="rId9" Target="https://quarto.org/docs/books" TargetMode="External" /><Relationship Type="http://schemas.openxmlformats.org/officeDocument/2006/relationships/hyperlink" Id="rId14" Target="module0-slides.html" TargetMode="External" /><Relationship Type="http://schemas.openxmlformats.org/officeDocument/2006/relationships/hyperlink" Id="rId15" Target="module1-slides.html" TargetMode="External" /><Relationship Type="http://schemas.openxmlformats.org/officeDocument/2006/relationships/hyperlink" Id="rId16" Target="module2-slides.html" TargetMode="External" /><Relationship Type="http://schemas.openxmlformats.org/officeDocument/2006/relationships/hyperlink" Id="rId17" Target="module3-slides.html" TargetMode="External" /><Relationship Type="http://schemas.openxmlformats.org/officeDocument/2006/relationships/hyperlink" Id="rId18" Target="module4-slides.html" TargetMode="External" /><Relationship Type="http://schemas.openxmlformats.org/officeDocument/2006/relationships/hyperlink" Id="rId19" Target="module5-slides.html" TargetMode="External" /><Relationship Type="http://schemas.openxmlformats.org/officeDocument/2006/relationships/hyperlink" Id="rId20" Target="module6-slides.html" TargetMode="External" /><Relationship Type="http://schemas.openxmlformats.org/officeDocument/2006/relationships/hyperlink" Id="rId21" Target="module7-slides.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BSC 495: The Hidden World’s Code</dc:title>
  <dc:creator>Carlos C. Goller, Ph.D.</dc:creator>
  <dc:description>This lab-based course is a high-impact experience based on The Mycological Curriculum for Education and Discovery (Myco-Ed), a Course-Based Undergraduate Research Experience (CURE) that features team-based, hands-on experiments in fungal biology and genomics. You will learn new laboratory techniques and data analysis by starting with sample collection, fungal isolation, and the characterization of the resulting data to improve fungal genomic resources. Genomic DNA will be extracted from samples for genome sequencing, assembly, and annotation. By isolating and sequencing new fungal species, your team will help produce high-quality fungal reference genomes. This course will prepare you with workforce training in fungal biology and genomics and empower you to be a contributor to fungal genomics! Importantly, you will practice lab and bioinformatics skills that are broadly applicable!</dc:description>
  <cp:keywords/>
  <dcterms:created xsi:type="dcterms:W3CDTF">2026-05-18T01:31:46Z</dcterms:created>
  <dcterms:modified xsi:type="dcterms:W3CDTF">2026-05-18T01:31:46Z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date">
    <vt:lpwstr>2026-05-07</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subtitle">
    <vt:lpwstr>A Hands-On Fungal Genomics Lab</vt:lpwstr>
  </property>
  <property fmtid="{D5CDD505-2E9C-101B-9397-08002B2CF9AE}" pid="15" name="template-partials">
    <vt:lpwstr/>
  </property>
  <property fmtid="{D5CDD505-2E9C-101B-9397-08002B2CF9AE}" pid="16" name="toc-title">
    <vt:lpwstr>Table of contents</vt:lpwstr>
  </property>
</Properties>
</file>