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89D0A" w14:textId="67A49DBE" w:rsidR="00060727" w:rsidRPr="007860FB" w:rsidRDefault="00A952BB" w:rsidP="00214A73">
      <w:pPr>
        <w:jc w:val="center"/>
        <w:rPr>
          <w:b/>
          <w:sz w:val="28"/>
          <w:szCs w:val="28"/>
        </w:rPr>
      </w:pPr>
      <w:r w:rsidRPr="007860FB">
        <w:rPr>
          <w:b/>
          <w:sz w:val="28"/>
          <w:szCs w:val="28"/>
        </w:rPr>
        <w:t xml:space="preserve">Establishing </w:t>
      </w:r>
      <w:r w:rsidR="00A631E4" w:rsidRPr="007860FB">
        <w:rPr>
          <w:b/>
          <w:sz w:val="28"/>
          <w:szCs w:val="28"/>
        </w:rPr>
        <w:t>r</w:t>
      </w:r>
      <w:r w:rsidRPr="007860FB">
        <w:rPr>
          <w:b/>
          <w:sz w:val="28"/>
          <w:szCs w:val="28"/>
        </w:rPr>
        <w:t>eserves</w:t>
      </w:r>
      <w:r w:rsidR="008674F5">
        <w:rPr>
          <w:b/>
          <w:sz w:val="28"/>
          <w:szCs w:val="28"/>
        </w:rPr>
        <w:t xml:space="preserve"> </w:t>
      </w:r>
      <w:r w:rsidR="00A631E4" w:rsidRPr="007860FB">
        <w:rPr>
          <w:b/>
          <w:sz w:val="28"/>
          <w:szCs w:val="28"/>
        </w:rPr>
        <w:t>p</w:t>
      </w:r>
      <w:r w:rsidR="00214A73" w:rsidRPr="007860FB">
        <w:rPr>
          <w:b/>
          <w:sz w:val="28"/>
          <w:szCs w:val="28"/>
        </w:rPr>
        <w:t>ractice</w:t>
      </w:r>
      <w:r w:rsidR="00A631E4" w:rsidRPr="007860FB">
        <w:rPr>
          <w:b/>
          <w:sz w:val="28"/>
          <w:szCs w:val="28"/>
        </w:rPr>
        <w:t xml:space="preserve"> manual</w:t>
      </w:r>
    </w:p>
    <w:p w14:paraId="38834FF5" w14:textId="66FE2877" w:rsidR="00060727" w:rsidRPr="007860FB" w:rsidRDefault="005C3EC2" w:rsidP="1C563C89">
      <w:pPr>
        <w:jc w:val="center"/>
        <w:rPr>
          <w:b/>
          <w:bCs/>
        </w:rPr>
      </w:pPr>
      <w:r w:rsidRPr="007860FB">
        <w:rPr>
          <w:b/>
          <w:bCs/>
        </w:rPr>
        <w:t>DRAFT</w:t>
      </w:r>
      <w:r w:rsidR="00E665C9" w:rsidRPr="007860FB">
        <w:rPr>
          <w:b/>
          <w:bCs/>
        </w:rPr>
        <w:t xml:space="preserve"> </w:t>
      </w:r>
      <w:r w:rsidR="001E0355">
        <w:rPr>
          <w:b/>
          <w:bCs/>
        </w:rPr>
        <w:t>4</w:t>
      </w:r>
      <w:r w:rsidR="00E665C9" w:rsidRPr="007860FB">
        <w:rPr>
          <w:b/>
          <w:bCs/>
        </w:rPr>
        <w:t>/</w:t>
      </w:r>
      <w:r w:rsidR="008674F5">
        <w:rPr>
          <w:b/>
          <w:bCs/>
        </w:rPr>
        <w:t>26</w:t>
      </w:r>
      <w:r w:rsidR="00E665C9" w:rsidRPr="007860FB">
        <w:rPr>
          <w:b/>
          <w:bCs/>
        </w:rPr>
        <w:t>/2020</w:t>
      </w:r>
      <w:r w:rsidR="00E934B3" w:rsidRPr="007860FB">
        <w:rPr>
          <w:b/>
          <w:bCs/>
        </w:rPr>
        <w:t xml:space="preserve"> </w:t>
      </w:r>
    </w:p>
    <w:p w14:paraId="2D04AF0B" w14:textId="27672438" w:rsidR="004A73CC" w:rsidRPr="007860FB" w:rsidRDefault="004A73CC" w:rsidP="004A73CC">
      <w:pPr>
        <w:pStyle w:val="ListParagraph"/>
        <w:numPr>
          <w:ilvl w:val="0"/>
          <w:numId w:val="10"/>
        </w:numPr>
        <w:spacing w:after="160" w:line="259" w:lineRule="auto"/>
        <w:contextualSpacing/>
        <w:rPr>
          <w:b/>
          <w:lang w:val="en-US"/>
        </w:rPr>
      </w:pPr>
      <w:r w:rsidRPr="007860FB">
        <w:rPr>
          <w:b/>
          <w:lang w:val="en-US"/>
        </w:rPr>
        <w:t>ELIGIBILITY CONDITIONS</w:t>
      </w:r>
    </w:p>
    <w:p w14:paraId="08699F73" w14:textId="77777777" w:rsidR="00A631E4" w:rsidRPr="007860FB" w:rsidRDefault="00A631E4" w:rsidP="00A631E4">
      <w:pPr>
        <w:pStyle w:val="ListParagraph"/>
        <w:numPr>
          <w:ilvl w:val="1"/>
          <w:numId w:val="10"/>
        </w:numPr>
        <w:spacing w:after="160" w:line="259" w:lineRule="auto"/>
        <w:contextualSpacing/>
        <w:rPr>
          <w:lang w:val="en-US"/>
        </w:rPr>
      </w:pPr>
      <w:r w:rsidRPr="007860FB">
        <w:rPr>
          <w:lang w:val="en-US"/>
        </w:rPr>
        <w:t>The property is within the eligible geography (see map below)</w:t>
      </w:r>
    </w:p>
    <w:p w14:paraId="5716C5A9" w14:textId="46C96A19" w:rsidR="00A631E4" w:rsidRPr="001E0355" w:rsidRDefault="00A631E4" w:rsidP="00A631E4">
      <w:pPr>
        <w:pStyle w:val="ListParagraph"/>
        <w:numPr>
          <w:ilvl w:val="1"/>
          <w:numId w:val="10"/>
        </w:numPr>
        <w:spacing w:after="160" w:line="259" w:lineRule="auto"/>
        <w:contextualSpacing/>
        <w:rPr>
          <w:lang w:val="en-US"/>
        </w:rPr>
      </w:pPr>
      <w:r w:rsidRPr="007860FB">
        <w:rPr>
          <w:lang w:val="en-US"/>
        </w:rPr>
        <w:t xml:space="preserve">Eligible land tenure and ownership type: Forest stands on private ownerships of greater than or equal to </w:t>
      </w:r>
      <w:r w:rsidRPr="008674F5">
        <w:rPr>
          <w:lang w:val="en-US"/>
        </w:rPr>
        <w:t>30 acres</w:t>
      </w:r>
      <w:r w:rsidRPr="007860FB">
        <w:rPr>
          <w:lang w:val="en-US"/>
        </w:rPr>
        <w:t xml:space="preserve"> and less than or equal </w:t>
      </w:r>
      <w:r w:rsidRPr="001E0355">
        <w:rPr>
          <w:lang w:val="en-US"/>
        </w:rPr>
        <w:t xml:space="preserve">to </w:t>
      </w:r>
      <w:r w:rsidR="008674F5">
        <w:rPr>
          <w:lang w:val="en-US"/>
        </w:rPr>
        <w:t>2,400</w:t>
      </w:r>
      <w:r w:rsidRPr="001E0355">
        <w:rPr>
          <w:lang w:val="en-US"/>
        </w:rPr>
        <w:t xml:space="preserve"> acres </w:t>
      </w:r>
    </w:p>
    <w:p w14:paraId="1FA9B7CB" w14:textId="7EFC8BC6" w:rsidR="00A631E4" w:rsidRPr="007860FB" w:rsidRDefault="00A631E4" w:rsidP="00A631E4">
      <w:pPr>
        <w:pStyle w:val="ListParagraph"/>
        <w:numPr>
          <w:ilvl w:val="1"/>
          <w:numId w:val="10"/>
        </w:numPr>
        <w:spacing w:after="160" w:line="259" w:lineRule="auto"/>
        <w:contextualSpacing/>
        <w:rPr>
          <w:lang w:val="en-US"/>
        </w:rPr>
      </w:pPr>
      <w:r w:rsidRPr="007860FB">
        <w:rPr>
          <w:lang w:val="en-US"/>
        </w:rPr>
        <w:t>Forests originating from natural regeneration (e.g. plantations are ineligible).</w:t>
      </w:r>
    </w:p>
    <w:p w14:paraId="398B2FDA" w14:textId="13CC2FCF" w:rsidR="00A631E4" w:rsidRPr="007860FB" w:rsidRDefault="00BF0AFB" w:rsidP="00A631E4">
      <w:pPr>
        <w:pStyle w:val="ListParagraph"/>
        <w:numPr>
          <w:ilvl w:val="1"/>
          <w:numId w:val="10"/>
        </w:numPr>
        <w:spacing w:after="160" w:line="259" w:lineRule="auto"/>
        <w:contextualSpacing/>
        <w:rPr>
          <w:lang w:val="en-US"/>
        </w:rPr>
      </w:pPr>
      <w:r>
        <w:rPr>
          <w:lang w:val="en-US"/>
        </w:rPr>
        <w:t>Forest must be at least 80 years old (years since the entire project area was impacted by a stand-replacing disturbance, or since stand initiation)</w:t>
      </w:r>
    </w:p>
    <w:p w14:paraId="4CFCA097" w14:textId="77777777" w:rsidR="00A631E4" w:rsidRPr="007860FB" w:rsidRDefault="00A631E4" w:rsidP="00A631E4">
      <w:pPr>
        <w:pStyle w:val="ListParagraph"/>
        <w:numPr>
          <w:ilvl w:val="1"/>
          <w:numId w:val="10"/>
        </w:numPr>
        <w:spacing w:after="160" w:line="259" w:lineRule="auto"/>
        <w:contextualSpacing/>
        <w:rPr>
          <w:lang w:val="en-US"/>
        </w:rPr>
      </w:pPr>
      <w:r w:rsidRPr="007860FB">
        <w:rPr>
          <w:lang w:val="en-US"/>
        </w:rPr>
        <w:t xml:space="preserve">Eligible condition status at the time of contract signing: </w:t>
      </w:r>
    </w:p>
    <w:p w14:paraId="12A9A364" w14:textId="01C232B4" w:rsidR="00A631E4" w:rsidRPr="007860FB" w:rsidRDefault="00A631E4" w:rsidP="00A631E4">
      <w:pPr>
        <w:pStyle w:val="ListParagraph"/>
        <w:numPr>
          <w:ilvl w:val="2"/>
          <w:numId w:val="10"/>
        </w:numPr>
        <w:spacing w:after="160" w:line="259" w:lineRule="auto"/>
        <w:contextualSpacing/>
        <w:rPr>
          <w:lang w:val="en-US"/>
        </w:rPr>
      </w:pPr>
      <w:r w:rsidRPr="007860FB">
        <w:rPr>
          <w:lang w:val="en-US"/>
        </w:rPr>
        <w:t>Land not subject to any existing legal encumbrance (e.g. conservation easement or state/local restrictions) that excludes forest harvest activity (e.g. riparian buffers, designated reserves or no harvest areas) or the actions described in this practice</w:t>
      </w:r>
    </w:p>
    <w:p w14:paraId="10EDE156" w14:textId="484046ED" w:rsidR="00A631E4" w:rsidRPr="0051728B" w:rsidRDefault="0051728B" w:rsidP="00A631E4">
      <w:pPr>
        <w:pStyle w:val="ListParagraph"/>
        <w:numPr>
          <w:ilvl w:val="2"/>
          <w:numId w:val="10"/>
        </w:numPr>
        <w:spacing w:after="160" w:line="259" w:lineRule="auto"/>
        <w:contextualSpacing/>
        <w:rPr>
          <w:highlight w:val="yellow"/>
          <w:lang w:val="en-US"/>
        </w:rPr>
      </w:pPr>
      <w:r w:rsidRPr="0051728B">
        <w:rPr>
          <w:highlight w:val="yellow"/>
          <w:lang w:val="en-US"/>
        </w:rPr>
        <w:t>{Insert stocking level from other practices here: 30% AGS, 2000 board feet, or revised numbers for S. New England}</w:t>
      </w:r>
    </w:p>
    <w:p w14:paraId="73A3FB3D" w14:textId="0DF4DC0B" w:rsidR="00A631E4" w:rsidRPr="007860FB" w:rsidRDefault="00A631E4" w:rsidP="00A631E4">
      <w:pPr>
        <w:pStyle w:val="ListParagraph"/>
        <w:numPr>
          <w:ilvl w:val="2"/>
          <w:numId w:val="10"/>
        </w:numPr>
        <w:spacing w:after="160" w:line="259" w:lineRule="auto"/>
        <w:contextualSpacing/>
        <w:rPr>
          <w:lang w:val="en-US"/>
        </w:rPr>
      </w:pPr>
      <w:r w:rsidRPr="007860FB">
        <w:rPr>
          <w:lang w:val="en-US"/>
        </w:rPr>
        <w:t>Land not subject to an existing right of first refusal or right of first offer.</w:t>
      </w:r>
    </w:p>
    <w:p w14:paraId="05AA48EC" w14:textId="1318AD52" w:rsidR="007860FB" w:rsidRPr="001E0355" w:rsidRDefault="007860FB" w:rsidP="00A631E4">
      <w:pPr>
        <w:pStyle w:val="ListParagraph"/>
        <w:numPr>
          <w:ilvl w:val="2"/>
          <w:numId w:val="10"/>
        </w:numPr>
        <w:spacing w:after="160" w:line="259" w:lineRule="auto"/>
        <w:contextualSpacing/>
        <w:rPr>
          <w:lang w:val="en-US"/>
        </w:rPr>
      </w:pPr>
      <w:r w:rsidRPr="001E0355">
        <w:rPr>
          <w:lang w:val="en-US"/>
        </w:rPr>
        <w:t xml:space="preserve">If land is enrolled in a state’s current use tax program (e.g. chapter 61 or Use Value Appraisal), at least 10% of the </w:t>
      </w:r>
      <w:r w:rsidR="001E0355">
        <w:rPr>
          <w:lang w:val="en-US"/>
        </w:rPr>
        <w:t>harvestable land area</w:t>
      </w:r>
      <w:r w:rsidRPr="001E0355">
        <w:rPr>
          <w:lang w:val="en-US"/>
        </w:rPr>
        <w:t xml:space="preserve"> must be excluded from the project area.</w:t>
      </w:r>
    </w:p>
    <w:p w14:paraId="751C235A" w14:textId="7265F38F" w:rsidR="00A631E4" w:rsidRPr="007860FB" w:rsidRDefault="0090191C" w:rsidP="00A631E4">
      <w:pPr>
        <w:pStyle w:val="ListParagraph"/>
        <w:numPr>
          <w:ilvl w:val="1"/>
          <w:numId w:val="10"/>
        </w:numPr>
        <w:spacing w:after="160" w:line="259" w:lineRule="auto"/>
        <w:contextualSpacing/>
        <w:rPr>
          <w:lang w:val="en-US"/>
        </w:rPr>
      </w:pPr>
      <w:r>
        <w:rPr>
          <w:lang w:val="en-US"/>
        </w:rPr>
        <w:t>When t</w:t>
      </w:r>
      <w:r w:rsidR="00EF2AD9">
        <w:rPr>
          <w:lang w:val="en-US"/>
        </w:rPr>
        <w:t xml:space="preserve">here are more eligible applicants than funding available for this practice, </w:t>
      </w:r>
      <w:r>
        <w:rPr>
          <w:lang w:val="en-US"/>
        </w:rPr>
        <w:t>preference for enrollment will be given to project areas that meet</w:t>
      </w:r>
      <w:r w:rsidR="00A631E4" w:rsidRPr="007860FB">
        <w:rPr>
          <w:lang w:val="en-US"/>
        </w:rPr>
        <w:t xml:space="preserve"> strict ecological and landscape context criteria</w:t>
      </w:r>
      <w:r>
        <w:rPr>
          <w:lang w:val="en-US"/>
        </w:rPr>
        <w:t xml:space="preserve"> (see Specification below)</w:t>
      </w:r>
      <w:r w:rsidR="00A631E4" w:rsidRPr="007860FB">
        <w:rPr>
          <w:lang w:val="en-US"/>
        </w:rPr>
        <w:t>.</w:t>
      </w:r>
      <w:r w:rsidR="007860FB">
        <w:rPr>
          <w:lang w:val="en-US"/>
        </w:rPr>
        <w:t xml:space="preserve"> </w:t>
      </w:r>
    </w:p>
    <w:p w14:paraId="0CF35796" w14:textId="2AF32452" w:rsidR="00F825BF" w:rsidRPr="007860FB" w:rsidRDefault="00F825BF" w:rsidP="0098484C">
      <w:pPr>
        <w:pStyle w:val="ListParagraph"/>
        <w:spacing w:after="160" w:line="259" w:lineRule="auto"/>
        <w:ind w:left="2160"/>
        <w:contextualSpacing/>
        <w:rPr>
          <w:lang w:val="en-US"/>
        </w:rPr>
      </w:pPr>
    </w:p>
    <w:p w14:paraId="1E984EEB" w14:textId="54185C0B" w:rsidR="001F6982" w:rsidRPr="007860FB" w:rsidRDefault="004A73CC" w:rsidP="001F6982">
      <w:pPr>
        <w:pStyle w:val="ListParagraph"/>
        <w:numPr>
          <w:ilvl w:val="0"/>
          <w:numId w:val="10"/>
        </w:numPr>
        <w:spacing w:after="160" w:line="259" w:lineRule="auto"/>
        <w:contextualSpacing/>
        <w:rPr>
          <w:b/>
          <w:lang w:val="en-US"/>
        </w:rPr>
      </w:pPr>
      <w:r w:rsidRPr="007860FB">
        <w:rPr>
          <w:b/>
          <w:lang w:val="en-US"/>
        </w:rPr>
        <w:t>PRACTICE DESCRIPTION AND SPECIFICATIONS</w:t>
      </w:r>
    </w:p>
    <w:p w14:paraId="4590078F" w14:textId="77777777" w:rsidR="001F6982" w:rsidRPr="007860FB" w:rsidRDefault="001F6982" w:rsidP="001F6982">
      <w:pPr>
        <w:pStyle w:val="ListParagraph"/>
        <w:spacing w:after="160" w:line="259" w:lineRule="auto"/>
        <w:ind w:left="1080"/>
        <w:contextualSpacing/>
        <w:rPr>
          <w:b/>
          <w:lang w:val="en-US"/>
        </w:rPr>
      </w:pPr>
    </w:p>
    <w:p w14:paraId="1F7937AE" w14:textId="7C707B48" w:rsidR="007860FB" w:rsidRPr="007860FB" w:rsidRDefault="00A631E4" w:rsidP="007860FB">
      <w:pPr>
        <w:pStyle w:val="ListParagraph"/>
        <w:numPr>
          <w:ilvl w:val="1"/>
          <w:numId w:val="10"/>
        </w:numPr>
        <w:spacing w:after="160" w:line="259" w:lineRule="auto"/>
        <w:contextualSpacing/>
        <w:rPr>
          <w:b/>
          <w:lang w:val="en-US"/>
        </w:rPr>
      </w:pPr>
      <w:r w:rsidRPr="007860FB">
        <w:rPr>
          <w:lang w:val="en-US"/>
        </w:rPr>
        <w:t>General description --</w:t>
      </w:r>
      <w:r w:rsidR="0000217F" w:rsidRPr="007860FB">
        <w:rPr>
          <w:lang w:val="en-US"/>
        </w:rPr>
        <w:t xml:space="preserve"> </w:t>
      </w:r>
      <w:r w:rsidR="001F6982" w:rsidRPr="007860FB">
        <w:rPr>
          <w:lang w:val="en-US"/>
        </w:rPr>
        <w:t xml:space="preserve">This practice produces carbon benefits through increased total forest carbon stocks from eliminating </w:t>
      </w:r>
      <w:r w:rsidRPr="007860FB">
        <w:rPr>
          <w:lang w:val="en-US"/>
        </w:rPr>
        <w:t>carbon</w:t>
      </w:r>
      <w:r w:rsidR="001F6982" w:rsidRPr="007860FB">
        <w:rPr>
          <w:lang w:val="en-US"/>
        </w:rPr>
        <w:t xml:space="preserve"> removal from harvest activities. </w:t>
      </w:r>
      <w:r w:rsidRPr="007860FB">
        <w:rPr>
          <w:lang w:val="en-US"/>
        </w:rPr>
        <w:t xml:space="preserve">This practice </w:t>
      </w:r>
      <w:r w:rsidR="007860FB" w:rsidRPr="007860FB">
        <w:rPr>
          <w:lang w:val="en-US"/>
        </w:rPr>
        <w:t>includes a commitment to avoid harvest</w:t>
      </w:r>
      <w:r w:rsidR="001F6982" w:rsidRPr="007860FB">
        <w:rPr>
          <w:lang w:val="en-US"/>
        </w:rPr>
        <w:t xml:space="preserve"> over a 20-year period with intent to continue beyond 20 years (with exceptions for invasive removals or novel outbreaks of forest pests and pathogens). Reserves can cover an entire parcel, or can occur on part of a parcel through enhanced or wider riparian/wetland buffer strips beyond legal requirements and best management, or through foregoing management on a portion of a harvestable area.</w:t>
      </w:r>
      <w:r w:rsidR="007860FB">
        <w:rPr>
          <w:lang w:val="en-US"/>
        </w:rPr>
        <w:t xml:space="preserve"> </w:t>
      </w:r>
    </w:p>
    <w:p w14:paraId="7B89F381" w14:textId="77777777" w:rsidR="007860FB" w:rsidRPr="007860FB" w:rsidRDefault="007860FB" w:rsidP="007860FB">
      <w:pPr>
        <w:pStyle w:val="ListParagraph"/>
        <w:spacing w:after="160" w:line="259" w:lineRule="auto"/>
        <w:ind w:left="1440"/>
        <w:contextualSpacing/>
        <w:rPr>
          <w:b/>
          <w:lang w:val="en-US"/>
        </w:rPr>
      </w:pPr>
    </w:p>
    <w:p w14:paraId="386B2F8D" w14:textId="62883C2B" w:rsidR="00A631E4" w:rsidRPr="007860FB" w:rsidRDefault="00A631E4" w:rsidP="007860FB">
      <w:pPr>
        <w:pStyle w:val="ListParagraph"/>
        <w:numPr>
          <w:ilvl w:val="1"/>
          <w:numId w:val="10"/>
        </w:numPr>
        <w:spacing w:after="160" w:line="259" w:lineRule="auto"/>
        <w:contextualSpacing/>
        <w:rPr>
          <w:b/>
          <w:lang w:val="en-US"/>
        </w:rPr>
      </w:pPr>
      <w:r w:rsidRPr="007860FB">
        <w:rPr>
          <w:lang w:val="en-US"/>
        </w:rPr>
        <w:t>Specifications:</w:t>
      </w:r>
    </w:p>
    <w:p w14:paraId="4E655844" w14:textId="250B6CAF" w:rsidR="00A631E4" w:rsidRDefault="00A631E4" w:rsidP="00A631E4">
      <w:pPr>
        <w:pStyle w:val="ListParagraph"/>
        <w:spacing w:after="160" w:line="259" w:lineRule="auto"/>
        <w:ind w:left="1080"/>
        <w:contextualSpacing/>
        <w:rPr>
          <w:b/>
          <w:lang w:val="en-US"/>
        </w:rPr>
      </w:pPr>
    </w:p>
    <w:p w14:paraId="76A4A82D" w14:textId="170D4FF1" w:rsidR="007860FB" w:rsidRDefault="007F18D2" w:rsidP="007860FB">
      <w:pPr>
        <w:pStyle w:val="ListParagraph"/>
        <w:numPr>
          <w:ilvl w:val="2"/>
          <w:numId w:val="10"/>
        </w:numPr>
        <w:spacing w:after="160" w:line="259" w:lineRule="auto"/>
        <w:contextualSpacing/>
        <w:rPr>
          <w:lang w:val="en-US"/>
        </w:rPr>
      </w:pPr>
      <w:r>
        <w:rPr>
          <w:lang w:val="en-US"/>
        </w:rPr>
        <w:t>The landowner will sign a 20-year term</w:t>
      </w:r>
      <w:r w:rsidR="007860FB" w:rsidRPr="007860FB">
        <w:rPr>
          <w:lang w:val="en-US"/>
        </w:rPr>
        <w:t xml:space="preserve"> contract </w:t>
      </w:r>
      <w:r>
        <w:rPr>
          <w:lang w:val="en-US"/>
        </w:rPr>
        <w:t>that includes an</w:t>
      </w:r>
      <w:r w:rsidR="00A631E4" w:rsidRPr="007860FB">
        <w:rPr>
          <w:lang w:val="en-US"/>
        </w:rPr>
        <w:t xml:space="preserve"> assignable right of first </w:t>
      </w:r>
      <w:r w:rsidR="0051728B">
        <w:rPr>
          <w:lang w:val="en-US"/>
        </w:rPr>
        <w:t>offer</w:t>
      </w:r>
      <w:r w:rsidR="00A631E4" w:rsidRPr="007860FB">
        <w:rPr>
          <w:lang w:val="en-US"/>
        </w:rPr>
        <w:t xml:space="preserve">, allowing but not obligating conservation organizations (including land trusts and state land agencies) to </w:t>
      </w:r>
      <w:r w:rsidR="0051728B">
        <w:rPr>
          <w:lang w:val="en-US"/>
        </w:rPr>
        <w:t>purchase and conserve the land in the event that the landowner decides to sell the land during the contract period</w:t>
      </w:r>
    </w:p>
    <w:p w14:paraId="5F3A24EB" w14:textId="521147DE" w:rsidR="007F18D2" w:rsidRPr="007F18D2" w:rsidRDefault="007F18D2" w:rsidP="007F18D2">
      <w:pPr>
        <w:pStyle w:val="ListParagraph"/>
        <w:numPr>
          <w:ilvl w:val="2"/>
          <w:numId w:val="10"/>
        </w:numPr>
        <w:spacing w:after="160" w:line="259" w:lineRule="auto"/>
        <w:contextualSpacing/>
        <w:rPr>
          <w:lang w:val="en-US"/>
        </w:rPr>
      </w:pPr>
      <w:r>
        <w:rPr>
          <w:lang w:val="en-US"/>
        </w:rPr>
        <w:t>Within 1 year of contract signing, t</w:t>
      </w:r>
      <w:r w:rsidRPr="00786A8D">
        <w:rPr>
          <w:lang w:val="en-US"/>
        </w:rPr>
        <w:t xml:space="preserve">he participating family forest owner will develop </w:t>
      </w:r>
      <w:r w:rsidR="001E0355">
        <w:rPr>
          <w:lang w:val="en-US"/>
        </w:rPr>
        <w:t>a 2</w:t>
      </w:r>
      <w:r>
        <w:rPr>
          <w:lang w:val="en-US"/>
        </w:rPr>
        <w:t>0-year property-wide forest management plan</w:t>
      </w:r>
      <w:r w:rsidRPr="00786A8D">
        <w:rPr>
          <w:lang w:val="en-US"/>
        </w:rPr>
        <w:t xml:space="preserve">, including </w:t>
      </w:r>
      <w:r>
        <w:rPr>
          <w:lang w:val="en-US"/>
        </w:rPr>
        <w:t xml:space="preserve">a </w:t>
      </w:r>
      <w:r>
        <w:rPr>
          <w:lang w:val="en-US"/>
        </w:rPr>
        <w:lastRenderedPageBreak/>
        <w:t xml:space="preserve">communication and/or estate plan for communicating the intention to maintain the project area as forest and to maintain forest reserve management </w:t>
      </w:r>
      <w:r w:rsidR="008674F5">
        <w:rPr>
          <w:lang w:val="en-US"/>
        </w:rPr>
        <w:t>even after the management plan ends</w:t>
      </w:r>
      <w:r>
        <w:rPr>
          <w:lang w:val="en-US"/>
        </w:rPr>
        <w:t>.</w:t>
      </w:r>
      <w:r w:rsidRPr="00786A8D">
        <w:rPr>
          <w:lang w:val="en-US"/>
        </w:rPr>
        <w:t xml:space="preserve"> Forest management plans will be prepared in consultation with a professional forester approved by the Family Forest Carbon Program. Existing management plans may be submitted for approval,</w:t>
      </w:r>
      <w:r>
        <w:rPr>
          <w:lang w:val="en-US"/>
        </w:rPr>
        <w:t xml:space="preserve"> with the addition of a communication</w:t>
      </w:r>
      <w:bookmarkStart w:id="0" w:name="_GoBack"/>
      <w:bookmarkEnd w:id="0"/>
      <w:r>
        <w:rPr>
          <w:lang w:val="en-US"/>
        </w:rPr>
        <w:t xml:space="preserve"> plan.</w:t>
      </w:r>
    </w:p>
    <w:p w14:paraId="2C881272" w14:textId="26250E5C" w:rsidR="007860FB" w:rsidRPr="007860FB" w:rsidRDefault="007860FB" w:rsidP="007860FB">
      <w:pPr>
        <w:pStyle w:val="ListParagraph"/>
        <w:numPr>
          <w:ilvl w:val="2"/>
          <w:numId w:val="10"/>
        </w:numPr>
        <w:spacing w:after="160" w:line="259" w:lineRule="auto"/>
        <w:contextualSpacing/>
        <w:rPr>
          <w:lang w:val="en-US"/>
        </w:rPr>
      </w:pPr>
      <w:r w:rsidRPr="007860FB">
        <w:rPr>
          <w:lang w:val="en-US"/>
        </w:rPr>
        <w:t>During the course of the contract period, this practice:</w:t>
      </w:r>
    </w:p>
    <w:p w14:paraId="1B94CD25" w14:textId="48A8C16E" w:rsidR="007860FB" w:rsidRPr="007860FB" w:rsidRDefault="007860FB" w:rsidP="007860FB">
      <w:pPr>
        <w:pStyle w:val="ListParagraph"/>
        <w:numPr>
          <w:ilvl w:val="3"/>
          <w:numId w:val="10"/>
        </w:numPr>
        <w:spacing w:after="160" w:line="259" w:lineRule="auto"/>
        <w:contextualSpacing/>
        <w:rPr>
          <w:lang w:val="en-US"/>
        </w:rPr>
      </w:pPr>
      <w:r w:rsidRPr="007860FB">
        <w:rPr>
          <w:lang w:val="en-US"/>
        </w:rPr>
        <w:t>limits any forest harvest within the enrolled area</w:t>
      </w:r>
      <w:r w:rsidR="008674F5">
        <w:rPr>
          <w:lang w:val="en-US"/>
        </w:rPr>
        <w:t>, with exceptions below for invasive plants and pests/pathogens</w:t>
      </w:r>
      <w:r w:rsidRPr="007860FB">
        <w:rPr>
          <w:lang w:val="en-US"/>
        </w:rPr>
        <w:t>;</w:t>
      </w:r>
    </w:p>
    <w:p w14:paraId="739A5AE6" w14:textId="64BD0E8E" w:rsidR="007860FB" w:rsidRPr="007860FB" w:rsidRDefault="007860FB" w:rsidP="007860FB">
      <w:pPr>
        <w:pStyle w:val="ListParagraph"/>
        <w:numPr>
          <w:ilvl w:val="3"/>
          <w:numId w:val="10"/>
        </w:numPr>
        <w:spacing w:after="160" w:line="259" w:lineRule="auto"/>
        <w:contextualSpacing/>
        <w:rPr>
          <w:lang w:val="en-US"/>
        </w:rPr>
      </w:pPr>
      <w:r w:rsidRPr="007860FB">
        <w:rPr>
          <w:lang w:val="en-US"/>
        </w:rPr>
        <w:t>allows for treatment of invasive plants, and of native competing vegetation such as hayscented fern that limits the ability of new seedlings or saplings to grow;</w:t>
      </w:r>
    </w:p>
    <w:p w14:paraId="23FBE734" w14:textId="7B4F6DC4" w:rsidR="007860FB" w:rsidRPr="007860FB" w:rsidRDefault="007860FB" w:rsidP="007860FB">
      <w:pPr>
        <w:pStyle w:val="ListParagraph"/>
        <w:numPr>
          <w:ilvl w:val="3"/>
          <w:numId w:val="10"/>
        </w:numPr>
        <w:spacing w:after="160" w:line="259" w:lineRule="auto"/>
        <w:contextualSpacing/>
        <w:rPr>
          <w:lang w:val="en-US"/>
        </w:rPr>
      </w:pPr>
      <w:r w:rsidRPr="007860FB">
        <w:rPr>
          <w:lang w:val="en-US"/>
        </w:rPr>
        <w:t>requires the retention of any downed wood on site, unless related to a novel pest or pathogen outbreak;</w:t>
      </w:r>
    </w:p>
    <w:p w14:paraId="6C8F9373" w14:textId="00C8F469" w:rsidR="001B3C4B" w:rsidRDefault="007860FB" w:rsidP="001B3C4B">
      <w:pPr>
        <w:pStyle w:val="ListParagraph"/>
        <w:numPr>
          <w:ilvl w:val="3"/>
          <w:numId w:val="10"/>
        </w:numPr>
        <w:spacing w:after="160" w:line="259" w:lineRule="auto"/>
        <w:contextualSpacing/>
        <w:rPr>
          <w:lang w:val="en-US"/>
        </w:rPr>
      </w:pPr>
      <w:r w:rsidRPr="007860FB">
        <w:rPr>
          <w:lang w:val="en-US"/>
        </w:rPr>
        <w:t xml:space="preserve">allows for the use of fencing, </w:t>
      </w:r>
      <w:r w:rsidR="008674F5">
        <w:rPr>
          <w:lang w:val="en-US"/>
        </w:rPr>
        <w:t>or tree shelters</w:t>
      </w:r>
      <w:r w:rsidRPr="007860FB">
        <w:rPr>
          <w:lang w:val="en-US"/>
        </w:rPr>
        <w:t xml:space="preserve"> to control deer and moose browse.</w:t>
      </w:r>
    </w:p>
    <w:p w14:paraId="5FB528D7" w14:textId="77777777" w:rsidR="001B3C4B" w:rsidRPr="0090191C" w:rsidRDefault="00A631E4" w:rsidP="001B3C4B">
      <w:pPr>
        <w:pStyle w:val="ListParagraph"/>
        <w:numPr>
          <w:ilvl w:val="2"/>
          <w:numId w:val="10"/>
        </w:numPr>
        <w:spacing w:after="160" w:line="259" w:lineRule="auto"/>
        <w:contextualSpacing/>
        <w:rPr>
          <w:lang w:val="en-US"/>
        </w:rPr>
      </w:pPr>
      <w:r w:rsidRPr="0090191C">
        <w:rPr>
          <w:lang w:val="en-US"/>
        </w:rPr>
        <w:t xml:space="preserve">If landowner is enrolling </w:t>
      </w:r>
      <w:r w:rsidR="001B3C4B" w:rsidRPr="0090191C">
        <w:rPr>
          <w:lang w:val="en-US"/>
        </w:rPr>
        <w:t>only a portion of the project area,</w:t>
      </w:r>
      <w:r w:rsidRPr="0090191C">
        <w:rPr>
          <w:lang w:val="en-US"/>
        </w:rPr>
        <w:t xml:space="preserve"> this portion must be at least 1/3</w:t>
      </w:r>
      <w:r w:rsidRPr="0090191C">
        <w:rPr>
          <w:vertAlign w:val="superscript"/>
          <w:lang w:val="en-US"/>
        </w:rPr>
        <w:t>rd</w:t>
      </w:r>
      <w:r w:rsidRPr="0090191C">
        <w:rPr>
          <w:lang w:val="en-US"/>
        </w:rPr>
        <w:t xml:space="preserve"> of the total harvestable area (excluding steep slopes, wetlands, and other areas that cannot legally be harvested)</w:t>
      </w:r>
    </w:p>
    <w:p w14:paraId="5ADF75F5" w14:textId="335F1BF1" w:rsidR="00A631E4" w:rsidRPr="0090191C" w:rsidRDefault="0090191C" w:rsidP="001B3C4B">
      <w:pPr>
        <w:pStyle w:val="ListParagraph"/>
        <w:numPr>
          <w:ilvl w:val="2"/>
          <w:numId w:val="10"/>
        </w:numPr>
        <w:spacing w:after="160" w:line="259" w:lineRule="auto"/>
        <w:contextualSpacing/>
        <w:rPr>
          <w:lang w:val="en-US"/>
        </w:rPr>
      </w:pPr>
      <w:r w:rsidRPr="0090191C">
        <w:rPr>
          <w:lang w:val="en-US"/>
        </w:rPr>
        <w:t>When there are more eligible applicants t</w:t>
      </w:r>
      <w:r w:rsidR="00EF2AD9">
        <w:rPr>
          <w:lang w:val="en-US"/>
        </w:rPr>
        <w:t>h</w:t>
      </w:r>
      <w:r w:rsidRPr="0090191C">
        <w:rPr>
          <w:lang w:val="en-US"/>
        </w:rPr>
        <w:t>an funding available, p</w:t>
      </w:r>
      <w:r w:rsidR="00A631E4" w:rsidRPr="0090191C">
        <w:rPr>
          <w:lang w:val="en-US"/>
        </w:rPr>
        <w:t xml:space="preserve">reference for FFCP enrollment </w:t>
      </w:r>
      <w:r w:rsidR="0051728B">
        <w:rPr>
          <w:lang w:val="en-US"/>
        </w:rPr>
        <w:t xml:space="preserve">may </w:t>
      </w:r>
      <w:r w:rsidR="00A631E4" w:rsidRPr="0090191C">
        <w:rPr>
          <w:lang w:val="en-US"/>
        </w:rPr>
        <w:t>be given to:</w:t>
      </w:r>
    </w:p>
    <w:p w14:paraId="7919D255" w14:textId="28D3391D" w:rsidR="00A631E4" w:rsidRPr="007860FB" w:rsidRDefault="00A631E4" w:rsidP="001B3C4B">
      <w:pPr>
        <w:pStyle w:val="ListParagraph"/>
        <w:numPr>
          <w:ilvl w:val="3"/>
          <w:numId w:val="10"/>
        </w:numPr>
        <w:contextualSpacing/>
        <w:rPr>
          <w:lang w:val="en-US"/>
        </w:rPr>
      </w:pPr>
      <w:r w:rsidRPr="007860FB">
        <w:rPr>
          <w:lang w:val="en-US"/>
        </w:rPr>
        <w:t>Land that is in VT Conservation Design</w:t>
      </w:r>
      <w:r w:rsidR="0013044C" w:rsidRPr="0013044C">
        <w:rPr>
          <w:vertAlign w:val="superscript"/>
          <w:lang w:val="en-US"/>
        </w:rPr>
        <w:t>1</w:t>
      </w:r>
      <w:r w:rsidR="00EF2AD9">
        <w:rPr>
          <w:lang w:val="en-US"/>
        </w:rPr>
        <w:t xml:space="preserve"> interior forest blocks</w:t>
      </w:r>
      <w:r w:rsidRPr="007860FB">
        <w:rPr>
          <w:lang w:val="en-US"/>
        </w:rPr>
        <w:t xml:space="preserve"> or MA BioMap2</w:t>
      </w:r>
      <w:r w:rsidR="0013044C" w:rsidRPr="0013044C">
        <w:rPr>
          <w:vertAlign w:val="superscript"/>
          <w:lang w:val="en-US"/>
        </w:rPr>
        <w:t>2</w:t>
      </w:r>
      <w:r w:rsidRPr="007860FB">
        <w:rPr>
          <w:lang w:val="en-US"/>
        </w:rPr>
        <w:t xml:space="preserve"> forest </w:t>
      </w:r>
      <w:r w:rsidR="0090191C">
        <w:rPr>
          <w:lang w:val="en-US"/>
        </w:rPr>
        <w:t>core</w:t>
      </w:r>
      <w:r w:rsidR="00EF2AD9">
        <w:rPr>
          <w:lang w:val="en-US"/>
        </w:rPr>
        <w:t>s</w:t>
      </w:r>
      <w:r w:rsidR="0090191C">
        <w:rPr>
          <w:lang w:val="en-US"/>
        </w:rPr>
        <w:t xml:space="preserve"> </w:t>
      </w:r>
      <w:r w:rsidRPr="007860FB">
        <w:rPr>
          <w:lang w:val="en-US"/>
        </w:rPr>
        <w:t>(</w:t>
      </w:r>
      <w:r w:rsidR="0090191C">
        <w:rPr>
          <w:lang w:val="en-US"/>
        </w:rPr>
        <w:t xml:space="preserve">or </w:t>
      </w:r>
      <w:r w:rsidRPr="007860FB">
        <w:rPr>
          <w:lang w:val="en-US"/>
        </w:rPr>
        <w:t>updated versions of these maps/documents</w:t>
      </w:r>
      <w:r w:rsidR="0090191C">
        <w:rPr>
          <w:lang w:val="en-US"/>
        </w:rPr>
        <w:t xml:space="preserve"> as they become</w:t>
      </w:r>
      <w:r w:rsidRPr="007860FB">
        <w:rPr>
          <w:lang w:val="en-US"/>
        </w:rPr>
        <w:t xml:space="preserve"> available)</w:t>
      </w:r>
      <w:r w:rsidR="0090191C">
        <w:rPr>
          <w:lang w:val="en-US"/>
        </w:rPr>
        <w:t xml:space="preserve"> and/or,</w:t>
      </w:r>
    </w:p>
    <w:p w14:paraId="6EA6F146" w14:textId="0F758109" w:rsidR="00A631E4" w:rsidRPr="007860FB" w:rsidRDefault="00A631E4" w:rsidP="001B3C4B">
      <w:pPr>
        <w:pStyle w:val="ListParagraph"/>
        <w:numPr>
          <w:ilvl w:val="3"/>
          <w:numId w:val="10"/>
        </w:numPr>
        <w:contextualSpacing/>
        <w:rPr>
          <w:lang w:val="en-US"/>
        </w:rPr>
      </w:pPr>
      <w:r w:rsidRPr="007860FB">
        <w:rPr>
          <w:lang w:val="en-US"/>
        </w:rPr>
        <w:t>Land on untilled forest soils in MA (Harvard Forest map</w:t>
      </w:r>
      <w:r w:rsidR="001E0355">
        <w:rPr>
          <w:lang w:val="en-US"/>
        </w:rPr>
        <w:t xml:space="preserve"> showing lands where soils are thought to never have been tilled</w:t>
      </w:r>
      <w:r w:rsidRPr="007860FB">
        <w:rPr>
          <w:lang w:val="en-US"/>
        </w:rPr>
        <w:t xml:space="preserve">) or </w:t>
      </w:r>
      <w:r w:rsidR="001E0355" w:rsidRPr="0051728B">
        <w:rPr>
          <w:highlight w:val="yellow"/>
          <w:lang w:val="en-US"/>
        </w:rPr>
        <w:t>equivalent data sets in VT</w:t>
      </w:r>
      <w:r w:rsidR="0090191C">
        <w:rPr>
          <w:lang w:val="en-US"/>
        </w:rPr>
        <w:t xml:space="preserve"> and/or,</w:t>
      </w:r>
    </w:p>
    <w:p w14:paraId="158307F0" w14:textId="5ABCB3B1" w:rsidR="00A631E4" w:rsidRDefault="00A631E4" w:rsidP="001B3C4B">
      <w:pPr>
        <w:pStyle w:val="ListParagraph"/>
        <w:numPr>
          <w:ilvl w:val="3"/>
          <w:numId w:val="10"/>
        </w:numPr>
        <w:contextualSpacing/>
        <w:rPr>
          <w:lang w:val="en-US"/>
        </w:rPr>
      </w:pPr>
      <w:r w:rsidRPr="007860FB">
        <w:rPr>
          <w:lang w:val="en-US"/>
        </w:rPr>
        <w:t>Land that is adjacent to an existing, permanently protected, forest reserve</w:t>
      </w:r>
      <w:r w:rsidR="0090191C">
        <w:rPr>
          <w:lang w:val="en-US"/>
        </w:rPr>
        <w:t xml:space="preserve"> and/or,</w:t>
      </w:r>
    </w:p>
    <w:p w14:paraId="69B5940B" w14:textId="2CAED2A0" w:rsidR="001B3C4B" w:rsidRDefault="001B3C4B" w:rsidP="001B3C4B">
      <w:pPr>
        <w:pStyle w:val="ListParagraph"/>
        <w:numPr>
          <w:ilvl w:val="3"/>
          <w:numId w:val="10"/>
        </w:numPr>
        <w:contextualSpacing/>
        <w:rPr>
          <w:lang w:val="en-US"/>
        </w:rPr>
      </w:pPr>
      <w:r>
        <w:rPr>
          <w:lang w:val="en-US"/>
        </w:rPr>
        <w:t xml:space="preserve">Land where a FFCP-approved forester can attest that </w:t>
      </w:r>
      <w:r w:rsidR="00EF2AD9">
        <w:rPr>
          <w:lang w:val="en-US"/>
        </w:rPr>
        <w:t xml:space="preserve">all of </w:t>
      </w:r>
      <w:r>
        <w:rPr>
          <w:lang w:val="en-US"/>
        </w:rPr>
        <w:t>the following features are present:</w:t>
      </w:r>
    </w:p>
    <w:p w14:paraId="34287E74" w14:textId="064D2113" w:rsidR="001B3C4B" w:rsidRDefault="001B3C4B" w:rsidP="001B3C4B">
      <w:pPr>
        <w:pStyle w:val="ListParagraph"/>
        <w:numPr>
          <w:ilvl w:val="4"/>
          <w:numId w:val="10"/>
        </w:numPr>
        <w:contextualSpacing/>
        <w:rPr>
          <w:lang w:val="en-US"/>
        </w:rPr>
      </w:pPr>
      <w:r>
        <w:rPr>
          <w:lang w:val="en-US"/>
        </w:rPr>
        <w:t>Multiple large-diameter trees (</w:t>
      </w:r>
      <w:r w:rsidR="00685E99">
        <w:rPr>
          <w:lang w:val="en-US"/>
        </w:rPr>
        <w:t>greater than or equal to 25 inches</w:t>
      </w:r>
      <w:r w:rsidR="0013044C" w:rsidRPr="0013044C">
        <w:rPr>
          <w:vertAlign w:val="superscript"/>
          <w:lang w:val="en-US"/>
        </w:rPr>
        <w:t>3</w:t>
      </w:r>
    </w:p>
    <w:p w14:paraId="351F420C" w14:textId="3FDFDE3B" w:rsidR="001B3C4B" w:rsidRDefault="001B3C4B" w:rsidP="001B3C4B">
      <w:pPr>
        <w:pStyle w:val="ListParagraph"/>
        <w:numPr>
          <w:ilvl w:val="4"/>
          <w:numId w:val="10"/>
        </w:numPr>
        <w:contextualSpacing/>
        <w:rPr>
          <w:lang w:val="en-US"/>
        </w:rPr>
      </w:pPr>
      <w:r>
        <w:rPr>
          <w:lang w:val="en-US"/>
        </w:rPr>
        <w:t>Well-developed understory (sufficient regeneration to replace the overstory)</w:t>
      </w:r>
    </w:p>
    <w:p w14:paraId="5ED43F41" w14:textId="61158F50" w:rsidR="00A631E4" w:rsidRPr="001B3C4B" w:rsidRDefault="00685E99" w:rsidP="001B3C4B">
      <w:pPr>
        <w:pStyle w:val="ListParagraph"/>
        <w:numPr>
          <w:ilvl w:val="4"/>
          <w:numId w:val="10"/>
        </w:numPr>
        <w:contextualSpacing/>
        <w:rPr>
          <w:lang w:val="en-US"/>
        </w:rPr>
      </w:pPr>
      <w:r>
        <w:rPr>
          <w:lang w:val="en-US"/>
        </w:rPr>
        <w:t>Abundant snags (greater than 5 snags &gt;10 inches dbh per acre</w:t>
      </w:r>
      <w:r w:rsidR="0013044C">
        <w:rPr>
          <w:vertAlign w:val="superscript"/>
          <w:lang w:val="en-US"/>
        </w:rPr>
        <w:t>4</w:t>
      </w:r>
    </w:p>
    <w:p w14:paraId="30412641" w14:textId="77777777" w:rsidR="00A631E4" w:rsidRPr="007860FB" w:rsidRDefault="00A631E4" w:rsidP="00A631E4">
      <w:pPr>
        <w:pStyle w:val="ListParagraph"/>
        <w:spacing w:after="160" w:line="259" w:lineRule="auto"/>
        <w:ind w:left="1440"/>
        <w:contextualSpacing/>
        <w:rPr>
          <w:b/>
          <w:lang w:val="en-US"/>
        </w:rPr>
      </w:pPr>
    </w:p>
    <w:p w14:paraId="694F8342" w14:textId="6B5E9D96" w:rsidR="004A73CC" w:rsidRPr="007860FB" w:rsidRDefault="004A73CC" w:rsidP="004A73CC">
      <w:pPr>
        <w:pStyle w:val="ListParagraph"/>
        <w:numPr>
          <w:ilvl w:val="0"/>
          <w:numId w:val="10"/>
        </w:numPr>
        <w:spacing w:after="160" w:line="259" w:lineRule="auto"/>
        <w:contextualSpacing/>
        <w:rPr>
          <w:b/>
          <w:lang w:val="en-US"/>
        </w:rPr>
      </w:pPr>
      <w:r w:rsidRPr="007860FB">
        <w:rPr>
          <w:b/>
          <w:lang w:val="en-US"/>
        </w:rPr>
        <w:t>CONTRACT PERIOD AND PAYMENT SCHEDULE</w:t>
      </w:r>
    </w:p>
    <w:p w14:paraId="2A6B648D" w14:textId="24D734B9" w:rsidR="004A73CC" w:rsidRPr="007860FB" w:rsidRDefault="004A73CC" w:rsidP="004A73CC">
      <w:pPr>
        <w:pStyle w:val="ListParagraph"/>
        <w:numPr>
          <w:ilvl w:val="1"/>
          <w:numId w:val="10"/>
        </w:numPr>
        <w:spacing w:after="160" w:line="259" w:lineRule="auto"/>
        <w:contextualSpacing/>
        <w:rPr>
          <w:lang w:val="en-US"/>
        </w:rPr>
      </w:pPr>
      <w:r w:rsidRPr="007860FB">
        <w:rPr>
          <w:lang w:val="en-US"/>
        </w:rPr>
        <w:t>Timeline to implement practice and commitm</w:t>
      </w:r>
      <w:r w:rsidR="00597D71" w:rsidRPr="007860FB">
        <w:rPr>
          <w:lang w:val="en-US"/>
        </w:rPr>
        <w:t xml:space="preserve">ent period to maintain practice: </w:t>
      </w:r>
      <w:r w:rsidR="001B3C4B">
        <w:rPr>
          <w:lang w:val="en-US"/>
        </w:rPr>
        <w:t>2</w:t>
      </w:r>
      <w:r w:rsidR="001643A1" w:rsidRPr="007860FB">
        <w:rPr>
          <w:lang w:val="en-US"/>
        </w:rPr>
        <w:t>0 years</w:t>
      </w:r>
      <w:r w:rsidR="00902BD8" w:rsidRPr="007860FB">
        <w:rPr>
          <w:lang w:val="en-US"/>
        </w:rPr>
        <w:t>.</w:t>
      </w:r>
    </w:p>
    <w:p w14:paraId="422B8B1B" w14:textId="26CC909C" w:rsidR="0035505A" w:rsidRPr="007860FB" w:rsidRDefault="0035505A" w:rsidP="001B3C4B">
      <w:pPr>
        <w:pStyle w:val="ListParagraph"/>
        <w:spacing w:after="160" w:line="259" w:lineRule="auto"/>
        <w:ind w:left="1440"/>
        <w:contextualSpacing/>
        <w:rPr>
          <w:lang w:val="en-US"/>
        </w:rPr>
      </w:pPr>
    </w:p>
    <w:tbl>
      <w:tblPr>
        <w:tblW w:w="4100" w:type="dxa"/>
        <w:tblInd w:w="1380" w:type="dxa"/>
        <w:tblLook w:val="04A0" w:firstRow="1" w:lastRow="0" w:firstColumn="1" w:lastColumn="0" w:noHBand="0" w:noVBand="1"/>
      </w:tblPr>
      <w:tblGrid>
        <w:gridCol w:w="4100"/>
      </w:tblGrid>
      <w:tr w:rsidR="00902BD8" w:rsidRPr="007860FB" w14:paraId="59AECB20" w14:textId="77777777" w:rsidTr="001B3C4B">
        <w:trPr>
          <w:trHeight w:val="290"/>
        </w:trPr>
        <w:tc>
          <w:tcPr>
            <w:tcW w:w="410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0733CC2A" w14:textId="11543F29" w:rsidR="00902BD8" w:rsidRPr="007860FB" w:rsidRDefault="00902BD8" w:rsidP="00B65A04">
            <w:pPr>
              <w:spacing w:after="0" w:line="240" w:lineRule="auto"/>
              <w:jc w:val="right"/>
              <w:rPr>
                <w:rFonts w:ascii="Calibri" w:eastAsia="Times New Roman" w:hAnsi="Calibri" w:cs="Calibri"/>
                <w:color w:val="000000"/>
              </w:rPr>
            </w:pPr>
            <w:r w:rsidRPr="007860FB">
              <w:rPr>
                <w:rFonts w:ascii="Calibri" w:eastAsia="Times New Roman" w:hAnsi="Calibri" w:cs="Calibri"/>
                <w:color w:val="000000"/>
              </w:rPr>
              <w:t>Payment per acre</w:t>
            </w:r>
          </w:p>
        </w:tc>
      </w:tr>
      <w:tr w:rsidR="00902BD8" w:rsidRPr="007860FB" w14:paraId="3CAC27B8" w14:textId="38A3AC11" w:rsidTr="001B3C4B">
        <w:trPr>
          <w:trHeight w:val="290"/>
        </w:trPr>
        <w:tc>
          <w:tcPr>
            <w:tcW w:w="41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21725B7" w14:textId="1802A428" w:rsidR="00902BD8" w:rsidRPr="007860FB" w:rsidRDefault="00902BD8" w:rsidP="00B65A04">
            <w:pPr>
              <w:spacing w:after="0" w:line="240" w:lineRule="auto"/>
              <w:jc w:val="right"/>
              <w:rPr>
                <w:rFonts w:ascii="Calibri" w:eastAsia="Times New Roman" w:hAnsi="Calibri" w:cs="Calibri"/>
                <w:color w:val="000000"/>
              </w:rPr>
            </w:pPr>
            <w:r w:rsidRPr="007860FB">
              <w:rPr>
                <w:rFonts w:ascii="Calibri" w:eastAsia="Times New Roman" w:hAnsi="Calibri" w:cs="Calibri"/>
                <w:color w:val="000000"/>
              </w:rPr>
              <w:t>TBD</w:t>
            </w:r>
          </w:p>
        </w:tc>
      </w:tr>
    </w:tbl>
    <w:p w14:paraId="774049CE" w14:textId="77777777" w:rsidR="0035505A" w:rsidRPr="007860FB" w:rsidRDefault="0035505A" w:rsidP="00CE7779">
      <w:pPr>
        <w:pStyle w:val="ListParagraph"/>
        <w:spacing w:after="160" w:line="259" w:lineRule="auto"/>
        <w:ind w:left="1440"/>
        <w:contextualSpacing/>
        <w:rPr>
          <w:lang w:val="en-US"/>
        </w:rPr>
      </w:pPr>
    </w:p>
    <w:p w14:paraId="19D97D01" w14:textId="50C21EFC" w:rsidR="009D2EA8" w:rsidRPr="007860FB" w:rsidRDefault="004A73CC" w:rsidP="004A73CC">
      <w:pPr>
        <w:pStyle w:val="ListParagraph"/>
        <w:numPr>
          <w:ilvl w:val="1"/>
          <w:numId w:val="10"/>
        </w:numPr>
        <w:spacing w:after="160" w:line="259" w:lineRule="auto"/>
        <w:contextualSpacing/>
        <w:rPr>
          <w:lang w:val="en-US"/>
        </w:rPr>
      </w:pPr>
      <w:r w:rsidRPr="007860FB">
        <w:rPr>
          <w:lang w:val="en-US"/>
        </w:rPr>
        <w:t>Incentive/cost-sharing payment amount and schedule</w:t>
      </w:r>
      <w:r w:rsidR="00597D71" w:rsidRPr="007860FB">
        <w:rPr>
          <w:lang w:val="en-US"/>
        </w:rPr>
        <w:t xml:space="preserve">: </w:t>
      </w:r>
    </w:p>
    <w:p w14:paraId="280CFDB9" w14:textId="77777777" w:rsidR="00CE7779" w:rsidRPr="007860FB" w:rsidRDefault="00EA35E5" w:rsidP="00A45963">
      <w:pPr>
        <w:contextualSpacing/>
      </w:pPr>
      <w:r w:rsidRPr="007860FB">
        <w:lastRenderedPageBreak/>
        <w:t xml:space="preserve"> </w:t>
      </w:r>
    </w:p>
    <w:tbl>
      <w:tblPr>
        <w:tblStyle w:val="TableGrid"/>
        <w:tblpPr w:leftFromText="180" w:rightFromText="180" w:vertAnchor="text" w:tblpX="720" w:tblpY="1"/>
        <w:tblOverlap w:val="never"/>
        <w:tblW w:w="8635" w:type="dxa"/>
        <w:tblLook w:val="04A0" w:firstRow="1" w:lastRow="0" w:firstColumn="1" w:lastColumn="0" w:noHBand="0" w:noVBand="1"/>
      </w:tblPr>
      <w:tblGrid>
        <w:gridCol w:w="1615"/>
        <w:gridCol w:w="7020"/>
      </w:tblGrid>
      <w:tr w:rsidR="00CE7779" w:rsidRPr="007860FB" w14:paraId="3C3206EE" w14:textId="77777777" w:rsidTr="00CE7779">
        <w:trPr>
          <w:trHeight w:val="348"/>
        </w:trPr>
        <w:tc>
          <w:tcPr>
            <w:tcW w:w="1615" w:type="dxa"/>
          </w:tcPr>
          <w:p w14:paraId="156E5E27" w14:textId="77777777" w:rsidR="00CE7779" w:rsidRPr="007860FB" w:rsidRDefault="00CE7779" w:rsidP="00CE7779">
            <w:pPr>
              <w:jc w:val="center"/>
              <w:rPr>
                <w:rFonts w:eastAsia="Times New Roman" w:cstheme="minorHAnsi"/>
                <w:b/>
                <w:bCs/>
              </w:rPr>
            </w:pPr>
            <w:r w:rsidRPr="007860FB">
              <w:rPr>
                <w:rFonts w:eastAsia="Times New Roman" w:cstheme="minorHAnsi"/>
                <w:b/>
                <w:bCs/>
              </w:rPr>
              <w:t>Project Year</w:t>
            </w:r>
          </w:p>
        </w:tc>
        <w:tc>
          <w:tcPr>
            <w:tcW w:w="7020" w:type="dxa"/>
          </w:tcPr>
          <w:p w14:paraId="245DC3EC" w14:textId="77777777" w:rsidR="00CE7779" w:rsidRPr="007860FB" w:rsidRDefault="00CE7779" w:rsidP="00CE7779">
            <w:pPr>
              <w:jc w:val="center"/>
              <w:rPr>
                <w:rFonts w:eastAsia="Times New Roman" w:cstheme="minorHAnsi"/>
                <w:b/>
                <w:bCs/>
              </w:rPr>
            </w:pPr>
            <w:r w:rsidRPr="007860FB">
              <w:rPr>
                <w:rFonts w:eastAsia="Times New Roman" w:cstheme="minorHAnsi"/>
                <w:b/>
                <w:bCs/>
              </w:rPr>
              <w:t>Payment</w:t>
            </w:r>
          </w:p>
        </w:tc>
      </w:tr>
      <w:tr w:rsidR="00CE7779" w:rsidRPr="007860FB" w14:paraId="28CBD64F" w14:textId="77777777" w:rsidTr="00CE7779">
        <w:trPr>
          <w:trHeight w:val="335"/>
        </w:trPr>
        <w:tc>
          <w:tcPr>
            <w:tcW w:w="1615" w:type="dxa"/>
          </w:tcPr>
          <w:p w14:paraId="6640BC43" w14:textId="77777777" w:rsidR="00CE7779" w:rsidRPr="007860FB" w:rsidRDefault="00CE7779" w:rsidP="00CE7779">
            <w:pPr>
              <w:jc w:val="center"/>
              <w:rPr>
                <w:rFonts w:eastAsia="Times New Roman" w:cstheme="minorHAnsi"/>
              </w:rPr>
            </w:pPr>
            <w:r w:rsidRPr="007860FB">
              <w:rPr>
                <w:rFonts w:eastAsia="Times New Roman" w:cstheme="minorHAnsi"/>
              </w:rPr>
              <w:t>1</w:t>
            </w:r>
          </w:p>
        </w:tc>
        <w:tc>
          <w:tcPr>
            <w:tcW w:w="7020" w:type="dxa"/>
          </w:tcPr>
          <w:p w14:paraId="7CC1FE23" w14:textId="77777777" w:rsidR="001B3C4B" w:rsidRDefault="001B3C4B" w:rsidP="001B3C4B">
            <w:pPr>
              <w:ind w:left="-710" w:right="-650"/>
              <w:jc w:val="center"/>
              <w:rPr>
                <w:rFonts w:eastAsia="Times New Roman" w:cstheme="minorHAnsi"/>
              </w:rPr>
            </w:pPr>
            <w:r>
              <w:rPr>
                <w:rFonts w:eastAsia="Times New Roman" w:cstheme="minorHAnsi"/>
              </w:rPr>
              <w:t xml:space="preserve">$TBD for management and communication plan, </w:t>
            </w:r>
          </w:p>
          <w:p w14:paraId="64A854D8" w14:textId="5CE5147A" w:rsidR="00CE7779" w:rsidRPr="007860FB" w:rsidRDefault="001B3C4B" w:rsidP="001B3C4B">
            <w:pPr>
              <w:ind w:left="-710" w:right="-650"/>
              <w:jc w:val="center"/>
              <w:rPr>
                <w:rFonts w:eastAsia="Times New Roman" w:cstheme="minorHAnsi"/>
              </w:rPr>
            </w:pPr>
            <w:r>
              <w:rPr>
                <w:rFonts w:eastAsia="Times New Roman" w:cstheme="minorHAnsi"/>
              </w:rPr>
              <w:t xml:space="preserve">plus </w:t>
            </w:r>
            <w:r w:rsidR="0013044C">
              <w:rPr>
                <w:rFonts w:eastAsia="Times New Roman" w:cstheme="minorHAnsi"/>
              </w:rPr>
              <w:t>2</w:t>
            </w:r>
            <w:r w:rsidR="001F6982" w:rsidRPr="007860FB">
              <w:rPr>
                <w:rFonts w:eastAsia="Times New Roman" w:cstheme="minorHAnsi"/>
              </w:rPr>
              <w:t>0% of implementation agreement value</w:t>
            </w:r>
          </w:p>
        </w:tc>
      </w:tr>
      <w:tr w:rsidR="00CE7779" w:rsidRPr="007860FB" w14:paraId="6F91FEAC" w14:textId="77777777" w:rsidTr="00CE7779">
        <w:trPr>
          <w:trHeight w:val="335"/>
        </w:trPr>
        <w:tc>
          <w:tcPr>
            <w:tcW w:w="1615" w:type="dxa"/>
          </w:tcPr>
          <w:p w14:paraId="2EE9677F" w14:textId="655ED74E" w:rsidR="00CE7779" w:rsidRPr="007860FB" w:rsidRDefault="001B3C4B" w:rsidP="001B3C4B">
            <w:pPr>
              <w:tabs>
                <w:tab w:val="center" w:pos="699"/>
                <w:tab w:val="left" w:pos="1310"/>
              </w:tabs>
              <w:rPr>
                <w:rFonts w:eastAsia="Times New Roman" w:cstheme="minorHAnsi"/>
              </w:rPr>
            </w:pPr>
            <w:r>
              <w:rPr>
                <w:rFonts w:eastAsia="Times New Roman" w:cstheme="minorHAnsi"/>
              </w:rPr>
              <w:tab/>
              <w:t>10</w:t>
            </w:r>
          </w:p>
        </w:tc>
        <w:tc>
          <w:tcPr>
            <w:tcW w:w="7020" w:type="dxa"/>
          </w:tcPr>
          <w:p w14:paraId="7CD0C13B" w14:textId="7FD8CB13" w:rsidR="00CE7779" w:rsidRPr="007860FB" w:rsidRDefault="001B3C4B" w:rsidP="00CE7779">
            <w:pPr>
              <w:ind w:left="-710" w:right="-650"/>
              <w:jc w:val="center"/>
              <w:rPr>
                <w:rFonts w:eastAsia="Times New Roman" w:cstheme="minorHAnsi"/>
              </w:rPr>
            </w:pPr>
            <w:r>
              <w:rPr>
                <w:rFonts w:eastAsia="Times New Roman" w:cstheme="minorHAnsi"/>
              </w:rPr>
              <w:t>30</w:t>
            </w:r>
            <w:r w:rsidR="00CE7779" w:rsidRPr="007860FB">
              <w:rPr>
                <w:rFonts w:eastAsia="Times New Roman" w:cstheme="minorHAnsi"/>
              </w:rPr>
              <w:t>% of implementation agreement value</w:t>
            </w:r>
          </w:p>
        </w:tc>
      </w:tr>
      <w:tr w:rsidR="00CE7779" w:rsidRPr="007860FB" w14:paraId="70615104" w14:textId="77777777" w:rsidTr="00CE7779">
        <w:trPr>
          <w:trHeight w:val="335"/>
        </w:trPr>
        <w:tc>
          <w:tcPr>
            <w:tcW w:w="1615" w:type="dxa"/>
          </w:tcPr>
          <w:p w14:paraId="4EE411A2" w14:textId="0788F320" w:rsidR="00CE7779" w:rsidRPr="007860FB" w:rsidRDefault="001B3C4B" w:rsidP="00CE7779">
            <w:pPr>
              <w:jc w:val="center"/>
              <w:rPr>
                <w:rFonts w:eastAsia="Times New Roman" w:cstheme="minorHAnsi"/>
              </w:rPr>
            </w:pPr>
            <w:r>
              <w:rPr>
                <w:rFonts w:eastAsia="Times New Roman" w:cstheme="minorHAnsi"/>
              </w:rPr>
              <w:t>15</w:t>
            </w:r>
          </w:p>
        </w:tc>
        <w:tc>
          <w:tcPr>
            <w:tcW w:w="7020" w:type="dxa"/>
          </w:tcPr>
          <w:p w14:paraId="078E1251" w14:textId="379F6203" w:rsidR="00CE7779" w:rsidRPr="007860FB" w:rsidRDefault="0013044C" w:rsidP="00CE7779">
            <w:pPr>
              <w:ind w:left="-710" w:right="-650"/>
              <w:jc w:val="center"/>
              <w:rPr>
                <w:rFonts w:eastAsia="Times New Roman" w:cstheme="minorHAnsi"/>
              </w:rPr>
            </w:pPr>
            <w:r>
              <w:rPr>
                <w:rFonts w:eastAsia="Times New Roman" w:cstheme="minorHAnsi"/>
              </w:rPr>
              <w:t>2</w:t>
            </w:r>
            <w:r w:rsidR="001B3C4B">
              <w:rPr>
                <w:rFonts w:eastAsia="Times New Roman" w:cstheme="minorHAnsi"/>
              </w:rPr>
              <w:t>0</w:t>
            </w:r>
            <w:r w:rsidR="00CE7779" w:rsidRPr="007860FB">
              <w:rPr>
                <w:rFonts w:eastAsia="Times New Roman" w:cstheme="minorHAnsi"/>
              </w:rPr>
              <w:t>% of implementation agreement value</w:t>
            </w:r>
          </w:p>
        </w:tc>
      </w:tr>
      <w:tr w:rsidR="00CE7779" w:rsidRPr="007860FB" w14:paraId="009D46D9" w14:textId="77777777" w:rsidTr="00CE7779">
        <w:trPr>
          <w:trHeight w:val="335"/>
        </w:trPr>
        <w:tc>
          <w:tcPr>
            <w:tcW w:w="1615" w:type="dxa"/>
          </w:tcPr>
          <w:p w14:paraId="606DEB01" w14:textId="245CC4FA" w:rsidR="00CE7779" w:rsidRPr="007860FB" w:rsidRDefault="001B3C4B" w:rsidP="00CE7779">
            <w:pPr>
              <w:jc w:val="center"/>
              <w:rPr>
                <w:rFonts w:eastAsia="Times New Roman" w:cstheme="minorHAnsi"/>
              </w:rPr>
            </w:pPr>
            <w:r>
              <w:rPr>
                <w:rFonts w:eastAsia="Times New Roman" w:cstheme="minorHAnsi"/>
              </w:rPr>
              <w:t>20</w:t>
            </w:r>
          </w:p>
        </w:tc>
        <w:tc>
          <w:tcPr>
            <w:tcW w:w="7020" w:type="dxa"/>
          </w:tcPr>
          <w:p w14:paraId="258BD5FE" w14:textId="36B717CF" w:rsidR="00CE7779" w:rsidRPr="007860FB" w:rsidRDefault="001B3C4B" w:rsidP="00CE7779">
            <w:pPr>
              <w:ind w:left="-710" w:right="-650"/>
              <w:jc w:val="center"/>
              <w:rPr>
                <w:rFonts w:eastAsia="Times New Roman" w:cstheme="minorHAnsi"/>
              </w:rPr>
            </w:pPr>
            <w:r>
              <w:rPr>
                <w:rFonts w:eastAsia="Times New Roman" w:cstheme="minorHAnsi"/>
              </w:rPr>
              <w:t>30% of implementation agreement value</w:t>
            </w:r>
          </w:p>
        </w:tc>
      </w:tr>
    </w:tbl>
    <w:p w14:paraId="16707C32" w14:textId="0A3B8293" w:rsidR="00A45963" w:rsidRPr="007860FB" w:rsidRDefault="00A45963" w:rsidP="00A45963">
      <w:pPr>
        <w:contextualSpacing/>
      </w:pPr>
    </w:p>
    <w:p w14:paraId="4A06668B" w14:textId="6F472928" w:rsidR="001B18DF" w:rsidRPr="007860FB" w:rsidRDefault="001B18DF" w:rsidP="004A73CC"/>
    <w:p w14:paraId="1802C564" w14:textId="3D5B497F" w:rsidR="00902BD8" w:rsidRPr="007860FB" w:rsidRDefault="00902BD8" w:rsidP="004A73CC"/>
    <w:p w14:paraId="3F6C59BA" w14:textId="3ABAFFE0" w:rsidR="00902BD8" w:rsidRPr="007860FB" w:rsidRDefault="00902BD8" w:rsidP="004A73CC"/>
    <w:p w14:paraId="6BCCC450" w14:textId="77777777" w:rsidR="00902BD8" w:rsidRPr="007860FB" w:rsidRDefault="00902BD8" w:rsidP="004A73CC"/>
    <w:p w14:paraId="6D65F656" w14:textId="4AC8EDC3" w:rsidR="004A73CC" w:rsidRDefault="004A73CC" w:rsidP="004A73CC">
      <w:pPr>
        <w:pStyle w:val="ListParagraph"/>
        <w:numPr>
          <w:ilvl w:val="0"/>
          <w:numId w:val="10"/>
        </w:numPr>
        <w:spacing w:after="160" w:line="259" w:lineRule="auto"/>
        <w:contextualSpacing/>
        <w:rPr>
          <w:b/>
          <w:lang w:val="en-US"/>
        </w:rPr>
      </w:pPr>
      <w:r w:rsidRPr="007860FB">
        <w:rPr>
          <w:b/>
          <w:lang w:val="en-US"/>
        </w:rPr>
        <w:t>MONITORING AND VERIFICATION</w:t>
      </w:r>
    </w:p>
    <w:p w14:paraId="1EE38F34" w14:textId="77777777" w:rsidR="007F18D2" w:rsidRPr="00E2128F" w:rsidRDefault="007F18D2" w:rsidP="007F18D2">
      <w:pPr>
        <w:pStyle w:val="ListParagraph"/>
        <w:numPr>
          <w:ilvl w:val="1"/>
          <w:numId w:val="10"/>
        </w:numPr>
        <w:spacing w:after="160" w:line="259" w:lineRule="auto"/>
        <w:contextualSpacing/>
        <w:rPr>
          <w:lang w:val="en-US"/>
        </w:rPr>
      </w:pPr>
      <w:bookmarkStart w:id="1" w:name="_Hlk36358716"/>
      <w:r>
        <w:rPr>
          <w:lang w:val="en-US"/>
        </w:rPr>
        <w:t>Landowner will ensure specific monitoring actions:</w:t>
      </w:r>
    </w:p>
    <w:p w14:paraId="1AF97723" w14:textId="77777777" w:rsidR="007F18D2" w:rsidRPr="00E2128F" w:rsidRDefault="007F18D2" w:rsidP="007F18D2">
      <w:pPr>
        <w:pStyle w:val="ListParagraph"/>
        <w:numPr>
          <w:ilvl w:val="2"/>
          <w:numId w:val="10"/>
        </w:numPr>
        <w:spacing w:after="160" w:line="259" w:lineRule="auto"/>
        <w:contextualSpacing/>
        <w:rPr>
          <w:lang w:val="en-US"/>
        </w:rPr>
      </w:pPr>
      <w:r w:rsidRPr="00E2128F">
        <w:rPr>
          <w:lang w:val="en-US"/>
        </w:rPr>
        <w:t>Initial (prior to contract signing) attestation that all eligibility criteria are met</w:t>
      </w:r>
    </w:p>
    <w:p w14:paraId="6F5C4ADC" w14:textId="136D5DC6" w:rsidR="007F18D2" w:rsidRDefault="007F18D2" w:rsidP="007F18D2">
      <w:pPr>
        <w:pStyle w:val="ListParagraph"/>
        <w:numPr>
          <w:ilvl w:val="2"/>
          <w:numId w:val="10"/>
        </w:numPr>
        <w:spacing w:after="160" w:line="259" w:lineRule="auto"/>
        <w:contextualSpacing/>
        <w:rPr>
          <w:lang w:val="en-US"/>
        </w:rPr>
      </w:pPr>
      <w:r w:rsidRPr="00E2128F">
        <w:rPr>
          <w:lang w:val="en-US"/>
        </w:rPr>
        <w:t xml:space="preserve">Year 1: </w:t>
      </w:r>
      <w:r w:rsidR="0013044C">
        <w:rPr>
          <w:lang w:val="en-US"/>
        </w:rPr>
        <w:t>2</w:t>
      </w:r>
      <w:r w:rsidRPr="00E2128F">
        <w:rPr>
          <w:lang w:val="en-US"/>
        </w:rPr>
        <w:t>0-year management plan, developed and submitted to FFCP for approval</w:t>
      </w:r>
    </w:p>
    <w:p w14:paraId="7FC6BA84" w14:textId="3CE187D2" w:rsidR="007F18D2" w:rsidRDefault="007F18D2" w:rsidP="007F18D2">
      <w:pPr>
        <w:pStyle w:val="ListParagraph"/>
        <w:numPr>
          <w:ilvl w:val="2"/>
          <w:numId w:val="10"/>
        </w:numPr>
        <w:spacing w:after="160" w:line="259" w:lineRule="auto"/>
        <w:contextualSpacing/>
        <w:rPr>
          <w:lang w:val="en-US"/>
        </w:rPr>
      </w:pPr>
      <w:r>
        <w:rPr>
          <w:lang w:val="en-US"/>
        </w:rPr>
        <w:t>Years 10, 15, and 20: Attestation by a FFCP-approved forester than all contract terms are still being met.</w:t>
      </w:r>
    </w:p>
    <w:p w14:paraId="3324557D" w14:textId="664A1948" w:rsidR="007F18D2" w:rsidRPr="00E2128F" w:rsidRDefault="007F18D2" w:rsidP="007F18D2">
      <w:pPr>
        <w:pStyle w:val="ListParagraph"/>
        <w:numPr>
          <w:ilvl w:val="2"/>
          <w:numId w:val="10"/>
        </w:numPr>
        <w:spacing w:after="160" w:line="259" w:lineRule="auto"/>
        <w:contextualSpacing/>
        <w:rPr>
          <w:lang w:val="en-US"/>
        </w:rPr>
      </w:pPr>
      <w:r>
        <w:rPr>
          <w:lang w:val="en-US"/>
        </w:rPr>
        <w:t>If it becomes necessary to sell the land (e.g. an estate requirement following a death in the family), notification of FFCP</w:t>
      </w:r>
      <w:r w:rsidR="0013044C">
        <w:rPr>
          <w:lang w:val="en-US"/>
        </w:rPr>
        <w:t xml:space="preserve"> is required, any assigned partner (land trust, agency, municipality) has the ability</w:t>
      </w:r>
      <w:r>
        <w:rPr>
          <w:lang w:val="en-US"/>
        </w:rPr>
        <w:t xml:space="preserve"> to act on the right of first refusal.</w:t>
      </w:r>
    </w:p>
    <w:p w14:paraId="140C0234" w14:textId="77777777" w:rsidR="007F18D2" w:rsidRPr="00E2128F" w:rsidRDefault="007F18D2" w:rsidP="007F18D2">
      <w:pPr>
        <w:pStyle w:val="ListParagraph"/>
        <w:numPr>
          <w:ilvl w:val="1"/>
          <w:numId w:val="10"/>
        </w:numPr>
        <w:spacing w:after="160" w:line="259" w:lineRule="auto"/>
        <w:contextualSpacing/>
        <w:rPr>
          <w:lang w:val="en-US"/>
        </w:rPr>
      </w:pPr>
      <w:r w:rsidRPr="00E2128F">
        <w:rPr>
          <w:lang w:val="en-US"/>
        </w:rPr>
        <w:t xml:space="preserve">Monitoring actions that shall be undertaken by program staff or representatives: </w:t>
      </w:r>
    </w:p>
    <w:p w14:paraId="2BBD3598" w14:textId="77777777" w:rsidR="007F18D2" w:rsidRPr="00E2128F" w:rsidRDefault="007F18D2" w:rsidP="007F18D2">
      <w:pPr>
        <w:pStyle w:val="ListParagraph"/>
        <w:numPr>
          <w:ilvl w:val="2"/>
          <w:numId w:val="10"/>
        </w:numPr>
        <w:spacing w:after="160" w:line="259" w:lineRule="auto"/>
        <w:contextualSpacing/>
        <w:rPr>
          <w:lang w:val="en-US"/>
        </w:rPr>
      </w:pPr>
      <w:r w:rsidRPr="00E2128F">
        <w:rPr>
          <w:lang w:val="en-US"/>
        </w:rPr>
        <w:t>Initial (prior to contract signing) verification that all eligibility criteria are met.</w:t>
      </w:r>
    </w:p>
    <w:p w14:paraId="14BDE49C" w14:textId="30D5057A" w:rsidR="007F18D2" w:rsidRPr="00E2128F" w:rsidRDefault="007F18D2" w:rsidP="007F18D2">
      <w:pPr>
        <w:pStyle w:val="ListParagraph"/>
        <w:numPr>
          <w:ilvl w:val="2"/>
          <w:numId w:val="10"/>
        </w:numPr>
        <w:spacing w:after="160" w:line="259" w:lineRule="auto"/>
        <w:contextualSpacing/>
        <w:rPr>
          <w:lang w:val="en-US"/>
        </w:rPr>
      </w:pPr>
      <w:r w:rsidRPr="00E2128F">
        <w:rPr>
          <w:lang w:val="en-US"/>
        </w:rPr>
        <w:t>Year 1: Review and approval of management plan</w:t>
      </w:r>
    </w:p>
    <w:p w14:paraId="53F7E6B9" w14:textId="6AC7E46B" w:rsidR="007F18D2" w:rsidRPr="00E2128F" w:rsidRDefault="007F18D2" w:rsidP="007F18D2">
      <w:pPr>
        <w:pStyle w:val="ListParagraph"/>
        <w:numPr>
          <w:ilvl w:val="2"/>
          <w:numId w:val="10"/>
        </w:numPr>
        <w:spacing w:after="160" w:line="259" w:lineRule="auto"/>
        <w:contextualSpacing/>
        <w:rPr>
          <w:lang w:val="en-US"/>
        </w:rPr>
      </w:pPr>
      <w:r w:rsidRPr="00E2128F">
        <w:rPr>
          <w:lang w:val="en-US"/>
        </w:rPr>
        <w:t>Review of landowner attestations</w:t>
      </w:r>
    </w:p>
    <w:p w14:paraId="685B2DEE" w14:textId="77777777" w:rsidR="007F18D2" w:rsidRPr="00E2128F" w:rsidRDefault="007F18D2" w:rsidP="007F18D2">
      <w:pPr>
        <w:pStyle w:val="ListParagraph"/>
        <w:numPr>
          <w:ilvl w:val="2"/>
          <w:numId w:val="10"/>
        </w:numPr>
        <w:spacing w:after="160" w:line="259" w:lineRule="auto"/>
        <w:contextualSpacing/>
        <w:rPr>
          <w:lang w:val="en-US"/>
        </w:rPr>
      </w:pPr>
      <w:r w:rsidRPr="00E2128F">
        <w:rPr>
          <w:lang w:val="en-US"/>
        </w:rPr>
        <w:t xml:space="preserve">Potential periodic remote sensing and site-level verification of compliance with approved management plan in effect </w:t>
      </w:r>
    </w:p>
    <w:p w14:paraId="59D7DA7B" w14:textId="1AEDB8FD" w:rsidR="00247B91" w:rsidRDefault="007F18D2" w:rsidP="004A73CC">
      <w:pPr>
        <w:pStyle w:val="ListParagraph"/>
        <w:numPr>
          <w:ilvl w:val="1"/>
          <w:numId w:val="10"/>
        </w:numPr>
        <w:spacing w:after="160" w:line="259" w:lineRule="auto"/>
        <w:contextualSpacing/>
        <w:rPr>
          <w:lang w:val="en-US"/>
        </w:rPr>
      </w:pPr>
      <w:r w:rsidRPr="00E2128F">
        <w:rPr>
          <w:lang w:val="en-US"/>
        </w:rPr>
        <w:t xml:space="preserve">Commitment to ongoing program level validation: The landowner will reserve </w:t>
      </w:r>
      <w:r>
        <w:rPr>
          <w:lang w:val="en-US"/>
        </w:rPr>
        <w:t xml:space="preserve">to FFCP staff and representatives </w:t>
      </w:r>
      <w:r w:rsidRPr="00E2128F">
        <w:rPr>
          <w:lang w:val="en-US"/>
        </w:rPr>
        <w:t xml:space="preserve">the right to access the property to carry out the site level monitoring actions specified above, and to establish long-term </w:t>
      </w:r>
      <w:r>
        <w:rPr>
          <w:lang w:val="en-US"/>
        </w:rPr>
        <w:t>monitoring</w:t>
      </w:r>
      <w:r w:rsidRPr="00E2128F">
        <w:rPr>
          <w:lang w:val="en-US"/>
        </w:rPr>
        <w:t xml:space="preserve"> plots on enrolled stands to directly measure and monitor the impacts of the practice to improve FFCP program-level reporting.</w:t>
      </w:r>
      <w:bookmarkEnd w:id="1"/>
    </w:p>
    <w:p w14:paraId="19CE4E4D" w14:textId="535BF852" w:rsidR="002B3D9C" w:rsidRDefault="002B3D9C" w:rsidP="002B3D9C">
      <w:pPr>
        <w:rPr>
          <w:b/>
          <w:bCs/>
        </w:rPr>
      </w:pPr>
    </w:p>
    <w:p w14:paraId="0A523A22" w14:textId="5F7F8016" w:rsidR="002B3D9C" w:rsidRPr="002B3D9C" w:rsidRDefault="002B3D9C" w:rsidP="002B3D9C">
      <w:pPr>
        <w:ind w:left="720"/>
      </w:pPr>
      <w:r w:rsidRPr="002B3D9C">
        <w:t>References:</w:t>
      </w:r>
    </w:p>
    <w:p w14:paraId="1A9EAD60" w14:textId="3961B75D" w:rsidR="002B3D9C" w:rsidRPr="00EF2AD9" w:rsidRDefault="002B3D9C" w:rsidP="002B3D9C">
      <w:pPr>
        <w:ind w:left="720"/>
      </w:pPr>
      <w:r w:rsidRPr="002B3D9C">
        <w:rPr>
          <w:vertAlign w:val="superscript"/>
        </w:rPr>
        <w:t xml:space="preserve">1 </w:t>
      </w:r>
      <w:r>
        <w:t xml:space="preserve">Vermont Agency of Natural Resources. 2018. </w:t>
      </w:r>
      <w:r w:rsidRPr="00EF2AD9">
        <w:rPr>
          <w:i/>
          <w:iCs/>
        </w:rPr>
        <w:t>Vermont Conservation Design: Maintaining and Enhancing and Ecologically Functional Landscape.</w:t>
      </w:r>
      <w:r>
        <w:rPr>
          <w:i/>
          <w:iCs/>
        </w:rPr>
        <w:t xml:space="preserve"> </w:t>
      </w:r>
      <w:r>
        <w:t xml:space="preserve">Retrieved from: </w:t>
      </w:r>
      <w:hyperlink r:id="rId11" w:history="1">
        <w:r w:rsidRPr="00DC3E95">
          <w:rPr>
            <w:rStyle w:val="Hyperlink"/>
          </w:rPr>
          <w:t>https://vtfishandwildlife.com/conserve/vermont-conservation-design</w:t>
        </w:r>
      </w:hyperlink>
      <w:r>
        <w:t xml:space="preserve"> </w:t>
      </w:r>
    </w:p>
    <w:p w14:paraId="546E07B4" w14:textId="1A107959" w:rsidR="002B3D9C" w:rsidRDefault="002B3D9C" w:rsidP="002B3D9C">
      <w:pPr>
        <w:ind w:left="720"/>
      </w:pPr>
      <w:r w:rsidRPr="002B3D9C">
        <w:rPr>
          <w:vertAlign w:val="superscript"/>
        </w:rPr>
        <w:t>2</w:t>
      </w:r>
      <w:r>
        <w:t xml:space="preserve"> Commonwealth of Massachusetts-DFG and The Nature Conservancy. 2010. </w:t>
      </w:r>
      <w:r w:rsidRPr="0013044C">
        <w:rPr>
          <w:u w:val="single"/>
        </w:rPr>
        <w:t>BioMap2: Conserving the Biodiversity of Massachusetts in a Changing World.</w:t>
      </w:r>
      <w:r>
        <w:t xml:space="preserve"> Retrieved from: </w:t>
      </w:r>
      <w:hyperlink r:id="rId12" w:history="1">
        <w:r w:rsidRPr="00DC3E95">
          <w:rPr>
            <w:rStyle w:val="Hyperlink"/>
          </w:rPr>
          <w:t>https://www.mass.gov/service-details/biomap2-conserving-the-biodiversity-of-massachusetts-in-a-changing-world</w:t>
        </w:r>
      </w:hyperlink>
    </w:p>
    <w:p w14:paraId="1C2A5757" w14:textId="65EEF918" w:rsidR="002B3D9C" w:rsidRDefault="002B3D9C" w:rsidP="002B3D9C">
      <w:pPr>
        <w:ind w:left="720"/>
      </w:pPr>
      <w:r w:rsidRPr="002B3D9C">
        <w:rPr>
          <w:vertAlign w:val="superscript"/>
        </w:rPr>
        <w:t>3</w:t>
      </w:r>
      <w:r>
        <w:t xml:space="preserve"> D’Amato and Catanzaro. 2007. </w:t>
      </w:r>
      <w:r w:rsidRPr="0013044C">
        <w:rPr>
          <w:i/>
          <w:iCs/>
        </w:rPr>
        <w:t>Restoring old-growth characteristics.</w:t>
      </w:r>
      <w:r>
        <w:t xml:space="preserve"> UMass Extension publication, retrieved from: </w:t>
      </w:r>
      <w:hyperlink r:id="rId13" w:history="1">
        <w:r w:rsidRPr="00DC3E95">
          <w:rPr>
            <w:rStyle w:val="Hyperlink"/>
          </w:rPr>
          <w:t>https://masswoods.org/sites/masswoods.org/files/pdf-doc-ppt/Restoring_Old_Growth_Characteristics_2.pdf</w:t>
        </w:r>
      </w:hyperlink>
      <w:r>
        <w:t xml:space="preserve"> </w:t>
      </w:r>
    </w:p>
    <w:p w14:paraId="1F655B01" w14:textId="512C1B51" w:rsidR="002B3D9C" w:rsidRDefault="002B3D9C" w:rsidP="002B3D9C">
      <w:pPr>
        <w:ind w:left="720"/>
      </w:pPr>
      <w:r w:rsidRPr="002B3D9C">
        <w:rPr>
          <w:vertAlign w:val="superscript"/>
        </w:rPr>
        <w:lastRenderedPageBreak/>
        <w:t xml:space="preserve">4 </w:t>
      </w:r>
      <w:r>
        <w:t xml:space="preserve">Forest Guild. 2010. </w:t>
      </w:r>
      <w:r w:rsidRPr="00EF2AD9">
        <w:rPr>
          <w:i/>
          <w:iCs/>
        </w:rPr>
        <w:t>Forest Biomass Retention and Harvesting Guidelines for the Northeast.</w:t>
      </w:r>
      <w:r>
        <w:t xml:space="preserve"> Retrieved from: </w:t>
      </w:r>
      <w:hyperlink r:id="rId14" w:history="1">
        <w:r w:rsidRPr="00DC3E95">
          <w:rPr>
            <w:rStyle w:val="Hyperlink"/>
            <w:sz w:val="23"/>
            <w:szCs w:val="23"/>
          </w:rPr>
          <w:t>www.forestguild.org/publications/research/2010/FG_Biomass_Guidelines_NE.pdf</w:t>
        </w:r>
      </w:hyperlink>
      <w:r>
        <w:rPr>
          <w:sz w:val="23"/>
          <w:szCs w:val="23"/>
        </w:rPr>
        <w:t xml:space="preserve"> </w:t>
      </w:r>
    </w:p>
    <w:p w14:paraId="4544105F" w14:textId="77777777" w:rsidR="002B3D9C" w:rsidRPr="002B3D9C" w:rsidRDefault="002B3D9C" w:rsidP="002B3D9C">
      <w:pPr>
        <w:contextualSpacing/>
      </w:pPr>
    </w:p>
    <w:p w14:paraId="72E67B8E" w14:textId="70094CA7" w:rsidR="1C563C89" w:rsidRPr="007860FB" w:rsidRDefault="1C563C89" w:rsidP="1C563C89">
      <w:pPr>
        <w:pStyle w:val="ListParagraph"/>
        <w:numPr>
          <w:ilvl w:val="0"/>
          <w:numId w:val="10"/>
        </w:numPr>
        <w:rPr>
          <w:b/>
          <w:bCs/>
          <w:lang w:val="en-US"/>
        </w:rPr>
      </w:pPr>
      <w:r w:rsidRPr="007860FB">
        <w:rPr>
          <w:b/>
          <w:bCs/>
          <w:lang w:val="en-US"/>
        </w:rPr>
        <w:t>Eligible Project Areas</w:t>
      </w:r>
    </w:p>
    <w:p w14:paraId="05CE15DC" w14:textId="4E227115" w:rsidR="1C563C89" w:rsidRDefault="1C563C89" w:rsidP="1C563C89">
      <w:pPr>
        <w:rPr>
          <w:b/>
          <w:bCs/>
        </w:rPr>
      </w:pPr>
    </w:p>
    <w:p w14:paraId="7820C012" w14:textId="2D2CAD38" w:rsidR="1C563C89" w:rsidRDefault="00A631E4" w:rsidP="1C563C89">
      <w:pPr>
        <w:jc w:val="center"/>
      </w:pPr>
      <w:r>
        <w:rPr>
          <w:noProof/>
        </w:rPr>
        <w:drawing>
          <wp:inline distT="0" distB="0" distL="0" distR="0" wp14:anchorId="25FE1B75" wp14:editId="3B8344A4">
            <wp:extent cx="5943600" cy="3343275"/>
            <wp:effectExtent l="0" t="0" r="0" b="952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 county eligibility.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CF1876E" w14:textId="75B7FB47" w:rsidR="1C563C89" w:rsidRDefault="1C563C89" w:rsidP="1C563C89">
      <w:pPr>
        <w:jc w:val="center"/>
      </w:pPr>
    </w:p>
    <w:p w14:paraId="599BEA06" w14:textId="34D00031" w:rsidR="1C563C89" w:rsidRDefault="1C563C89" w:rsidP="1C563C89">
      <w:pPr>
        <w:jc w:val="center"/>
      </w:pPr>
    </w:p>
    <w:sectPr w:rsidR="1C563C89" w:rsidSect="004901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8D4A5" w14:textId="77777777" w:rsidR="008336FA" w:rsidRDefault="008336FA" w:rsidP="00902324">
      <w:pPr>
        <w:spacing w:after="0" w:line="240" w:lineRule="auto"/>
      </w:pPr>
      <w:r>
        <w:separator/>
      </w:r>
    </w:p>
  </w:endnote>
  <w:endnote w:type="continuationSeparator" w:id="0">
    <w:p w14:paraId="0ECCF0EA" w14:textId="77777777" w:rsidR="008336FA" w:rsidRDefault="008336FA" w:rsidP="00902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83937" w14:textId="77777777" w:rsidR="008336FA" w:rsidRDefault="008336FA" w:rsidP="00902324">
      <w:pPr>
        <w:spacing w:after="0" w:line="240" w:lineRule="auto"/>
      </w:pPr>
      <w:r>
        <w:separator/>
      </w:r>
    </w:p>
  </w:footnote>
  <w:footnote w:type="continuationSeparator" w:id="0">
    <w:p w14:paraId="729AF60D" w14:textId="77777777" w:rsidR="008336FA" w:rsidRDefault="008336FA" w:rsidP="00902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498"/>
    <w:multiLevelType w:val="hybridMultilevel"/>
    <w:tmpl w:val="DCC2B8B0"/>
    <w:lvl w:ilvl="0" w:tplc="9CC854C8">
      <w:start w:val="2"/>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77581C"/>
    <w:multiLevelType w:val="hybridMultilevel"/>
    <w:tmpl w:val="C8A60A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6614FC"/>
    <w:multiLevelType w:val="hybridMultilevel"/>
    <w:tmpl w:val="54CED7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AE2D57"/>
    <w:multiLevelType w:val="hybridMultilevel"/>
    <w:tmpl w:val="336C33E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B67418"/>
    <w:multiLevelType w:val="hybridMultilevel"/>
    <w:tmpl w:val="E71CA7DE"/>
    <w:lvl w:ilvl="0" w:tplc="6C7C3E3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03F14DB"/>
    <w:multiLevelType w:val="hybridMultilevel"/>
    <w:tmpl w:val="AEFA5530"/>
    <w:lvl w:ilvl="0" w:tplc="0409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2AF2EE1"/>
    <w:multiLevelType w:val="hybridMultilevel"/>
    <w:tmpl w:val="6AD4C100"/>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3A162CB7"/>
    <w:multiLevelType w:val="hybridMultilevel"/>
    <w:tmpl w:val="6C7A0666"/>
    <w:lvl w:ilvl="0" w:tplc="08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F0923"/>
    <w:multiLevelType w:val="hybridMultilevel"/>
    <w:tmpl w:val="5A025062"/>
    <w:lvl w:ilvl="0" w:tplc="08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E26AE8"/>
    <w:multiLevelType w:val="hybridMultilevel"/>
    <w:tmpl w:val="54CED7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80A41DB"/>
    <w:multiLevelType w:val="hybridMultilevel"/>
    <w:tmpl w:val="77020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87532"/>
    <w:multiLevelType w:val="hybridMultilevel"/>
    <w:tmpl w:val="A14A2AC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6556E"/>
    <w:multiLevelType w:val="hybridMultilevel"/>
    <w:tmpl w:val="F462E522"/>
    <w:lvl w:ilvl="0" w:tplc="EE34C2AC">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84448F0"/>
    <w:multiLevelType w:val="hybridMultilevel"/>
    <w:tmpl w:val="D234941C"/>
    <w:lvl w:ilvl="0" w:tplc="6C7C3E3C">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0BD5550"/>
    <w:multiLevelType w:val="hybridMultilevel"/>
    <w:tmpl w:val="2C4EFE5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752A2D9C"/>
    <w:multiLevelType w:val="hybridMultilevel"/>
    <w:tmpl w:val="7EE8EF2E"/>
    <w:lvl w:ilvl="0" w:tplc="6C7C3E3C">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0"/>
  </w:num>
  <w:num w:numId="5">
    <w:abstractNumId w:val="10"/>
  </w:num>
  <w:num w:numId="6">
    <w:abstractNumId w:val="8"/>
  </w:num>
  <w:num w:numId="7">
    <w:abstractNumId w:val="4"/>
  </w:num>
  <w:num w:numId="8">
    <w:abstractNumId w:val="13"/>
  </w:num>
  <w:num w:numId="9">
    <w:abstractNumId w:val="7"/>
  </w:num>
  <w:num w:numId="10">
    <w:abstractNumId w:val="15"/>
  </w:num>
  <w:num w:numId="11">
    <w:abstractNumId w:val="14"/>
  </w:num>
  <w:num w:numId="12">
    <w:abstractNumId w:val="5"/>
  </w:num>
  <w:num w:numId="13">
    <w:abstractNumId w:val="12"/>
  </w:num>
  <w:num w:numId="14">
    <w:abstractNumId w:val="3"/>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WwMDYzNjcwtgAyjJV0lIJTi4sz8/NACoxrAf5pUSAsAAAA"/>
  </w:docVars>
  <w:rsids>
    <w:rsidRoot w:val="00A00D2A"/>
    <w:rsid w:val="0000217F"/>
    <w:rsid w:val="00003DCB"/>
    <w:rsid w:val="00004F70"/>
    <w:rsid w:val="00006DB5"/>
    <w:rsid w:val="00007EE7"/>
    <w:rsid w:val="0002047C"/>
    <w:rsid w:val="000216C4"/>
    <w:rsid w:val="000337BA"/>
    <w:rsid w:val="0003477E"/>
    <w:rsid w:val="0003561D"/>
    <w:rsid w:val="00037FAA"/>
    <w:rsid w:val="00040A21"/>
    <w:rsid w:val="00047FAC"/>
    <w:rsid w:val="00057475"/>
    <w:rsid w:val="00060727"/>
    <w:rsid w:val="000632C1"/>
    <w:rsid w:val="000649E7"/>
    <w:rsid w:val="00076631"/>
    <w:rsid w:val="00082629"/>
    <w:rsid w:val="00082AB3"/>
    <w:rsid w:val="000853B2"/>
    <w:rsid w:val="00091BF5"/>
    <w:rsid w:val="0009452C"/>
    <w:rsid w:val="000A6535"/>
    <w:rsid w:val="000B70B2"/>
    <w:rsid w:val="000B7633"/>
    <w:rsid w:val="000C5FD1"/>
    <w:rsid w:val="000E4D64"/>
    <w:rsid w:val="000E64D4"/>
    <w:rsid w:val="000F0387"/>
    <w:rsid w:val="000F620E"/>
    <w:rsid w:val="00102A6F"/>
    <w:rsid w:val="001068DE"/>
    <w:rsid w:val="0011090E"/>
    <w:rsid w:val="00111B50"/>
    <w:rsid w:val="0011323D"/>
    <w:rsid w:val="00123FDA"/>
    <w:rsid w:val="0013044C"/>
    <w:rsid w:val="00131EDA"/>
    <w:rsid w:val="001467CA"/>
    <w:rsid w:val="001554D7"/>
    <w:rsid w:val="001643A1"/>
    <w:rsid w:val="00165F3F"/>
    <w:rsid w:val="00172362"/>
    <w:rsid w:val="001726E3"/>
    <w:rsid w:val="001762A7"/>
    <w:rsid w:val="00184259"/>
    <w:rsid w:val="00187E87"/>
    <w:rsid w:val="001916B1"/>
    <w:rsid w:val="001957F6"/>
    <w:rsid w:val="00197166"/>
    <w:rsid w:val="001A6DE4"/>
    <w:rsid w:val="001B18DF"/>
    <w:rsid w:val="001B399E"/>
    <w:rsid w:val="001B3C4B"/>
    <w:rsid w:val="001B73A0"/>
    <w:rsid w:val="001C2527"/>
    <w:rsid w:val="001C2E77"/>
    <w:rsid w:val="001D72A5"/>
    <w:rsid w:val="001E0355"/>
    <w:rsid w:val="001E3C6A"/>
    <w:rsid w:val="001E4D13"/>
    <w:rsid w:val="001E7A3A"/>
    <w:rsid w:val="001F6982"/>
    <w:rsid w:val="00214A73"/>
    <w:rsid w:val="002306F7"/>
    <w:rsid w:val="00240DC4"/>
    <w:rsid w:val="00247B91"/>
    <w:rsid w:val="00260CC5"/>
    <w:rsid w:val="00260E40"/>
    <w:rsid w:val="00263B42"/>
    <w:rsid w:val="00264116"/>
    <w:rsid w:val="0027145D"/>
    <w:rsid w:val="00274E12"/>
    <w:rsid w:val="0028050A"/>
    <w:rsid w:val="00282FC5"/>
    <w:rsid w:val="0028446C"/>
    <w:rsid w:val="00284ED3"/>
    <w:rsid w:val="00284FF7"/>
    <w:rsid w:val="00285E28"/>
    <w:rsid w:val="002A421B"/>
    <w:rsid w:val="002A4495"/>
    <w:rsid w:val="002B2A8E"/>
    <w:rsid w:val="002B3D9C"/>
    <w:rsid w:val="002B6AB6"/>
    <w:rsid w:val="002C0024"/>
    <w:rsid w:val="002C17C2"/>
    <w:rsid w:val="002C3278"/>
    <w:rsid w:val="002D2965"/>
    <w:rsid w:val="002D66DE"/>
    <w:rsid w:val="002F5AFF"/>
    <w:rsid w:val="002F6410"/>
    <w:rsid w:val="002F6732"/>
    <w:rsid w:val="002F72C7"/>
    <w:rsid w:val="0030686B"/>
    <w:rsid w:val="00317E1D"/>
    <w:rsid w:val="00322B59"/>
    <w:rsid w:val="00323639"/>
    <w:rsid w:val="00324276"/>
    <w:rsid w:val="00331C64"/>
    <w:rsid w:val="0035505A"/>
    <w:rsid w:val="003576AE"/>
    <w:rsid w:val="003607E2"/>
    <w:rsid w:val="00361271"/>
    <w:rsid w:val="0036287A"/>
    <w:rsid w:val="00363255"/>
    <w:rsid w:val="0037651E"/>
    <w:rsid w:val="00386718"/>
    <w:rsid w:val="00387A9F"/>
    <w:rsid w:val="003A70E0"/>
    <w:rsid w:val="003C1E1C"/>
    <w:rsid w:val="003C26B2"/>
    <w:rsid w:val="003E5933"/>
    <w:rsid w:val="003F2560"/>
    <w:rsid w:val="003F46F7"/>
    <w:rsid w:val="003F5891"/>
    <w:rsid w:val="0040155D"/>
    <w:rsid w:val="00404BF3"/>
    <w:rsid w:val="004144D8"/>
    <w:rsid w:val="004228C6"/>
    <w:rsid w:val="00425A65"/>
    <w:rsid w:val="00445144"/>
    <w:rsid w:val="00452B83"/>
    <w:rsid w:val="00453F68"/>
    <w:rsid w:val="0045687A"/>
    <w:rsid w:val="0046370B"/>
    <w:rsid w:val="004652C9"/>
    <w:rsid w:val="00465447"/>
    <w:rsid w:val="00467320"/>
    <w:rsid w:val="00467CDD"/>
    <w:rsid w:val="0047278C"/>
    <w:rsid w:val="00484144"/>
    <w:rsid w:val="00490164"/>
    <w:rsid w:val="00492CB9"/>
    <w:rsid w:val="00493EAC"/>
    <w:rsid w:val="00494E8F"/>
    <w:rsid w:val="00496D1F"/>
    <w:rsid w:val="004A73CC"/>
    <w:rsid w:val="004C3B4E"/>
    <w:rsid w:val="004D3718"/>
    <w:rsid w:val="004E3936"/>
    <w:rsid w:val="004E76EC"/>
    <w:rsid w:val="004F6145"/>
    <w:rsid w:val="00516A6D"/>
    <w:rsid w:val="0051728B"/>
    <w:rsid w:val="00524DF7"/>
    <w:rsid w:val="005250CB"/>
    <w:rsid w:val="00527CD9"/>
    <w:rsid w:val="00527CF6"/>
    <w:rsid w:val="0053356D"/>
    <w:rsid w:val="00537BE5"/>
    <w:rsid w:val="005402DB"/>
    <w:rsid w:val="00541FAB"/>
    <w:rsid w:val="005438B4"/>
    <w:rsid w:val="00547E84"/>
    <w:rsid w:val="00550013"/>
    <w:rsid w:val="005516BD"/>
    <w:rsid w:val="00556951"/>
    <w:rsid w:val="0056019D"/>
    <w:rsid w:val="005725EB"/>
    <w:rsid w:val="00574AF7"/>
    <w:rsid w:val="00574D71"/>
    <w:rsid w:val="00575C8B"/>
    <w:rsid w:val="005828CD"/>
    <w:rsid w:val="00591CEA"/>
    <w:rsid w:val="00597D71"/>
    <w:rsid w:val="005A022B"/>
    <w:rsid w:val="005A0CFA"/>
    <w:rsid w:val="005A1266"/>
    <w:rsid w:val="005C3EC2"/>
    <w:rsid w:val="005C78F8"/>
    <w:rsid w:val="005D0C91"/>
    <w:rsid w:val="005D27E5"/>
    <w:rsid w:val="005D2E90"/>
    <w:rsid w:val="005D7F3E"/>
    <w:rsid w:val="005E550C"/>
    <w:rsid w:val="005F26F6"/>
    <w:rsid w:val="005F4304"/>
    <w:rsid w:val="0060361C"/>
    <w:rsid w:val="00615917"/>
    <w:rsid w:val="006172B1"/>
    <w:rsid w:val="0063092F"/>
    <w:rsid w:val="00630DB2"/>
    <w:rsid w:val="00632D48"/>
    <w:rsid w:val="0063407A"/>
    <w:rsid w:val="006370A0"/>
    <w:rsid w:val="00650C2B"/>
    <w:rsid w:val="00655D6C"/>
    <w:rsid w:val="006713AE"/>
    <w:rsid w:val="00673D19"/>
    <w:rsid w:val="006769E8"/>
    <w:rsid w:val="00683951"/>
    <w:rsid w:val="00685E99"/>
    <w:rsid w:val="006B0214"/>
    <w:rsid w:val="006B1C88"/>
    <w:rsid w:val="006B267F"/>
    <w:rsid w:val="006B3DF5"/>
    <w:rsid w:val="006C5669"/>
    <w:rsid w:val="006D2426"/>
    <w:rsid w:val="006E0407"/>
    <w:rsid w:val="006E133F"/>
    <w:rsid w:val="006E6B4E"/>
    <w:rsid w:val="006F284C"/>
    <w:rsid w:val="006F4A2E"/>
    <w:rsid w:val="00706AC8"/>
    <w:rsid w:val="0071366D"/>
    <w:rsid w:val="00713A87"/>
    <w:rsid w:val="007176DA"/>
    <w:rsid w:val="00721690"/>
    <w:rsid w:val="00721FA0"/>
    <w:rsid w:val="007221DB"/>
    <w:rsid w:val="007368D2"/>
    <w:rsid w:val="00740388"/>
    <w:rsid w:val="00743165"/>
    <w:rsid w:val="00743CF8"/>
    <w:rsid w:val="00743F98"/>
    <w:rsid w:val="0074582B"/>
    <w:rsid w:val="0074737E"/>
    <w:rsid w:val="007511AB"/>
    <w:rsid w:val="00751C4E"/>
    <w:rsid w:val="0075207E"/>
    <w:rsid w:val="00762230"/>
    <w:rsid w:val="00763CB8"/>
    <w:rsid w:val="007745EF"/>
    <w:rsid w:val="00774D6F"/>
    <w:rsid w:val="00782BEE"/>
    <w:rsid w:val="007860FB"/>
    <w:rsid w:val="007862BE"/>
    <w:rsid w:val="00786AFF"/>
    <w:rsid w:val="007932E4"/>
    <w:rsid w:val="007B4299"/>
    <w:rsid w:val="007C06CC"/>
    <w:rsid w:val="007C6345"/>
    <w:rsid w:val="007C7AC0"/>
    <w:rsid w:val="007F01A6"/>
    <w:rsid w:val="007F18D2"/>
    <w:rsid w:val="007F2F3F"/>
    <w:rsid w:val="007F3EE4"/>
    <w:rsid w:val="007F73DF"/>
    <w:rsid w:val="00800169"/>
    <w:rsid w:val="00803A54"/>
    <w:rsid w:val="00804923"/>
    <w:rsid w:val="0082742B"/>
    <w:rsid w:val="008323E7"/>
    <w:rsid w:val="008336FA"/>
    <w:rsid w:val="00837463"/>
    <w:rsid w:val="0084318B"/>
    <w:rsid w:val="008473DC"/>
    <w:rsid w:val="00857220"/>
    <w:rsid w:val="00860A45"/>
    <w:rsid w:val="008634D0"/>
    <w:rsid w:val="00866656"/>
    <w:rsid w:val="008674F5"/>
    <w:rsid w:val="008730F8"/>
    <w:rsid w:val="008743E4"/>
    <w:rsid w:val="0087580E"/>
    <w:rsid w:val="00891F5A"/>
    <w:rsid w:val="008A28A5"/>
    <w:rsid w:val="008B5F10"/>
    <w:rsid w:val="008B6298"/>
    <w:rsid w:val="008C5853"/>
    <w:rsid w:val="008C5CEB"/>
    <w:rsid w:val="008C7939"/>
    <w:rsid w:val="008D4635"/>
    <w:rsid w:val="008D76C5"/>
    <w:rsid w:val="008E28E4"/>
    <w:rsid w:val="008F0B7E"/>
    <w:rsid w:val="008F5266"/>
    <w:rsid w:val="008F7B5B"/>
    <w:rsid w:val="0090191C"/>
    <w:rsid w:val="00902324"/>
    <w:rsid w:val="00902BD8"/>
    <w:rsid w:val="00903FC4"/>
    <w:rsid w:val="00906D26"/>
    <w:rsid w:val="00917F94"/>
    <w:rsid w:val="00925FE5"/>
    <w:rsid w:val="0092651F"/>
    <w:rsid w:val="0093151F"/>
    <w:rsid w:val="00933F9E"/>
    <w:rsid w:val="0096612D"/>
    <w:rsid w:val="009661E5"/>
    <w:rsid w:val="009668E1"/>
    <w:rsid w:val="00972E05"/>
    <w:rsid w:val="00974173"/>
    <w:rsid w:val="00981110"/>
    <w:rsid w:val="00982992"/>
    <w:rsid w:val="0098484C"/>
    <w:rsid w:val="009930DB"/>
    <w:rsid w:val="009A0727"/>
    <w:rsid w:val="009A2B86"/>
    <w:rsid w:val="009A3593"/>
    <w:rsid w:val="009B22C5"/>
    <w:rsid w:val="009C115D"/>
    <w:rsid w:val="009C208C"/>
    <w:rsid w:val="009D2EA8"/>
    <w:rsid w:val="009D3AF8"/>
    <w:rsid w:val="009F0AE5"/>
    <w:rsid w:val="009F1DCC"/>
    <w:rsid w:val="009F696D"/>
    <w:rsid w:val="00A0034C"/>
    <w:rsid w:val="00A00D2A"/>
    <w:rsid w:val="00A01302"/>
    <w:rsid w:val="00A118FF"/>
    <w:rsid w:val="00A11E12"/>
    <w:rsid w:val="00A165AE"/>
    <w:rsid w:val="00A21897"/>
    <w:rsid w:val="00A33E67"/>
    <w:rsid w:val="00A34418"/>
    <w:rsid w:val="00A407FE"/>
    <w:rsid w:val="00A45963"/>
    <w:rsid w:val="00A544C9"/>
    <w:rsid w:val="00A56CA0"/>
    <w:rsid w:val="00A631E4"/>
    <w:rsid w:val="00A63484"/>
    <w:rsid w:val="00A64041"/>
    <w:rsid w:val="00A6752A"/>
    <w:rsid w:val="00A677C6"/>
    <w:rsid w:val="00A7114C"/>
    <w:rsid w:val="00A71C3B"/>
    <w:rsid w:val="00A76451"/>
    <w:rsid w:val="00A76627"/>
    <w:rsid w:val="00A778F7"/>
    <w:rsid w:val="00A8316C"/>
    <w:rsid w:val="00A952BB"/>
    <w:rsid w:val="00AA714D"/>
    <w:rsid w:val="00AB2880"/>
    <w:rsid w:val="00AB6701"/>
    <w:rsid w:val="00AB70EF"/>
    <w:rsid w:val="00AB77DD"/>
    <w:rsid w:val="00AC1244"/>
    <w:rsid w:val="00AD5731"/>
    <w:rsid w:val="00AE0A15"/>
    <w:rsid w:val="00AE0D5C"/>
    <w:rsid w:val="00AE7AE1"/>
    <w:rsid w:val="00AF307D"/>
    <w:rsid w:val="00AF433A"/>
    <w:rsid w:val="00B12F72"/>
    <w:rsid w:val="00B32C5D"/>
    <w:rsid w:val="00B3315E"/>
    <w:rsid w:val="00B341C5"/>
    <w:rsid w:val="00B65A04"/>
    <w:rsid w:val="00B67942"/>
    <w:rsid w:val="00B73405"/>
    <w:rsid w:val="00B73749"/>
    <w:rsid w:val="00B770F7"/>
    <w:rsid w:val="00B8321E"/>
    <w:rsid w:val="00B847EF"/>
    <w:rsid w:val="00B84AF9"/>
    <w:rsid w:val="00B90840"/>
    <w:rsid w:val="00BA1385"/>
    <w:rsid w:val="00BA2DE1"/>
    <w:rsid w:val="00BB6490"/>
    <w:rsid w:val="00BB6C3F"/>
    <w:rsid w:val="00BB7A07"/>
    <w:rsid w:val="00BC17AC"/>
    <w:rsid w:val="00BD3733"/>
    <w:rsid w:val="00BD4330"/>
    <w:rsid w:val="00BE383B"/>
    <w:rsid w:val="00BE6D0B"/>
    <w:rsid w:val="00BF0AFB"/>
    <w:rsid w:val="00BF4AE3"/>
    <w:rsid w:val="00BF4CF0"/>
    <w:rsid w:val="00C01BB5"/>
    <w:rsid w:val="00C0242E"/>
    <w:rsid w:val="00C03B37"/>
    <w:rsid w:val="00C056C9"/>
    <w:rsid w:val="00C1023D"/>
    <w:rsid w:val="00C11E9F"/>
    <w:rsid w:val="00C120CC"/>
    <w:rsid w:val="00C16A6F"/>
    <w:rsid w:val="00C23534"/>
    <w:rsid w:val="00C2376B"/>
    <w:rsid w:val="00C24FCE"/>
    <w:rsid w:val="00C25BA0"/>
    <w:rsid w:val="00C30403"/>
    <w:rsid w:val="00C337DF"/>
    <w:rsid w:val="00C37D00"/>
    <w:rsid w:val="00C449DB"/>
    <w:rsid w:val="00C463B5"/>
    <w:rsid w:val="00C47A04"/>
    <w:rsid w:val="00C56680"/>
    <w:rsid w:val="00C60FB0"/>
    <w:rsid w:val="00C64105"/>
    <w:rsid w:val="00C82CF3"/>
    <w:rsid w:val="00C86831"/>
    <w:rsid w:val="00C967EC"/>
    <w:rsid w:val="00CA021A"/>
    <w:rsid w:val="00CA632F"/>
    <w:rsid w:val="00CA76A2"/>
    <w:rsid w:val="00CA7814"/>
    <w:rsid w:val="00CB4B97"/>
    <w:rsid w:val="00CC36E4"/>
    <w:rsid w:val="00CC5B1F"/>
    <w:rsid w:val="00CC5E0C"/>
    <w:rsid w:val="00CD15A3"/>
    <w:rsid w:val="00CE0895"/>
    <w:rsid w:val="00CE3B78"/>
    <w:rsid w:val="00CE7779"/>
    <w:rsid w:val="00CF1ADE"/>
    <w:rsid w:val="00CF2387"/>
    <w:rsid w:val="00CF3724"/>
    <w:rsid w:val="00D00BC7"/>
    <w:rsid w:val="00D044F4"/>
    <w:rsid w:val="00D05C72"/>
    <w:rsid w:val="00D21054"/>
    <w:rsid w:val="00D23056"/>
    <w:rsid w:val="00D4371C"/>
    <w:rsid w:val="00D53D0A"/>
    <w:rsid w:val="00D55D78"/>
    <w:rsid w:val="00D62139"/>
    <w:rsid w:val="00D66A90"/>
    <w:rsid w:val="00D67EA8"/>
    <w:rsid w:val="00D7113B"/>
    <w:rsid w:val="00D72708"/>
    <w:rsid w:val="00D80ADC"/>
    <w:rsid w:val="00DA39A0"/>
    <w:rsid w:val="00DA7556"/>
    <w:rsid w:val="00DB7A81"/>
    <w:rsid w:val="00DD2A7A"/>
    <w:rsid w:val="00DD4BF7"/>
    <w:rsid w:val="00DD5925"/>
    <w:rsid w:val="00DD6AE1"/>
    <w:rsid w:val="00DD74DD"/>
    <w:rsid w:val="00DE3B48"/>
    <w:rsid w:val="00DE3EA0"/>
    <w:rsid w:val="00DE69C4"/>
    <w:rsid w:val="00DE7039"/>
    <w:rsid w:val="00DF1796"/>
    <w:rsid w:val="00DF5465"/>
    <w:rsid w:val="00E00D2F"/>
    <w:rsid w:val="00E0160F"/>
    <w:rsid w:val="00E03A46"/>
    <w:rsid w:val="00E060EB"/>
    <w:rsid w:val="00E21CA1"/>
    <w:rsid w:val="00E44C9D"/>
    <w:rsid w:val="00E5196B"/>
    <w:rsid w:val="00E5232B"/>
    <w:rsid w:val="00E56F6A"/>
    <w:rsid w:val="00E620F9"/>
    <w:rsid w:val="00E64782"/>
    <w:rsid w:val="00E665C9"/>
    <w:rsid w:val="00E6670F"/>
    <w:rsid w:val="00E737C8"/>
    <w:rsid w:val="00E73CA3"/>
    <w:rsid w:val="00E934B3"/>
    <w:rsid w:val="00EA204A"/>
    <w:rsid w:val="00EA35E5"/>
    <w:rsid w:val="00EA5FCC"/>
    <w:rsid w:val="00EB3967"/>
    <w:rsid w:val="00EB55AF"/>
    <w:rsid w:val="00EB6912"/>
    <w:rsid w:val="00ED1A56"/>
    <w:rsid w:val="00EE0560"/>
    <w:rsid w:val="00EE44CF"/>
    <w:rsid w:val="00EF0790"/>
    <w:rsid w:val="00EF2AD9"/>
    <w:rsid w:val="00EF5320"/>
    <w:rsid w:val="00EF55F8"/>
    <w:rsid w:val="00EF5DE9"/>
    <w:rsid w:val="00EF7CA5"/>
    <w:rsid w:val="00F01DFB"/>
    <w:rsid w:val="00F048AF"/>
    <w:rsid w:val="00F13024"/>
    <w:rsid w:val="00F1602C"/>
    <w:rsid w:val="00F24F4D"/>
    <w:rsid w:val="00F258EC"/>
    <w:rsid w:val="00F34E95"/>
    <w:rsid w:val="00F37195"/>
    <w:rsid w:val="00F403C5"/>
    <w:rsid w:val="00F4465F"/>
    <w:rsid w:val="00F556B9"/>
    <w:rsid w:val="00F600D3"/>
    <w:rsid w:val="00F64973"/>
    <w:rsid w:val="00F64E9B"/>
    <w:rsid w:val="00F825BF"/>
    <w:rsid w:val="00F85543"/>
    <w:rsid w:val="00F912E0"/>
    <w:rsid w:val="00F92F8F"/>
    <w:rsid w:val="00FA241F"/>
    <w:rsid w:val="00FA2C29"/>
    <w:rsid w:val="00FA717C"/>
    <w:rsid w:val="00FB14C5"/>
    <w:rsid w:val="00FB39B7"/>
    <w:rsid w:val="00FC5883"/>
    <w:rsid w:val="00FC644E"/>
    <w:rsid w:val="00FC7EA2"/>
    <w:rsid w:val="00FD1E07"/>
    <w:rsid w:val="00FD47B4"/>
    <w:rsid w:val="00FD480E"/>
    <w:rsid w:val="00FE32AB"/>
    <w:rsid w:val="00FF1873"/>
    <w:rsid w:val="00FF238D"/>
    <w:rsid w:val="1C563C89"/>
    <w:rsid w:val="3D290785"/>
    <w:rsid w:val="57391814"/>
    <w:rsid w:val="658A3CAB"/>
    <w:rsid w:val="6A54A1E7"/>
    <w:rsid w:val="7176E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BEE7C"/>
  <w15:chartTrackingRefBased/>
  <w15:docId w15:val="{604F7907-BB0A-4469-B0E5-3EB891F5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883"/>
    <w:pPr>
      <w:spacing w:after="0" w:line="240" w:lineRule="auto"/>
      <w:ind w:left="720"/>
    </w:pPr>
    <w:rPr>
      <w:rFonts w:ascii="Calibri" w:hAnsi="Calibri" w:cs="Calibri"/>
      <w:lang w:val="es-MX"/>
    </w:rPr>
  </w:style>
  <w:style w:type="paragraph" w:styleId="FootnoteText">
    <w:name w:val="footnote text"/>
    <w:basedOn w:val="Normal"/>
    <w:link w:val="FootnoteTextChar"/>
    <w:uiPriority w:val="99"/>
    <w:semiHidden/>
    <w:unhideWhenUsed/>
    <w:rsid w:val="009023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2324"/>
    <w:rPr>
      <w:sz w:val="20"/>
      <w:szCs w:val="20"/>
    </w:rPr>
  </w:style>
  <w:style w:type="character" w:styleId="FootnoteReference">
    <w:name w:val="footnote reference"/>
    <w:basedOn w:val="DefaultParagraphFont"/>
    <w:uiPriority w:val="99"/>
    <w:semiHidden/>
    <w:unhideWhenUsed/>
    <w:rsid w:val="00902324"/>
    <w:rPr>
      <w:vertAlign w:val="superscript"/>
    </w:rPr>
  </w:style>
  <w:style w:type="character" w:styleId="CommentReference">
    <w:name w:val="annotation reference"/>
    <w:basedOn w:val="DefaultParagraphFont"/>
    <w:uiPriority w:val="99"/>
    <w:semiHidden/>
    <w:unhideWhenUsed/>
    <w:rsid w:val="00C01BB5"/>
    <w:rPr>
      <w:sz w:val="16"/>
      <w:szCs w:val="16"/>
    </w:rPr>
  </w:style>
  <w:style w:type="paragraph" w:styleId="CommentText">
    <w:name w:val="annotation text"/>
    <w:basedOn w:val="Normal"/>
    <w:link w:val="CommentTextChar"/>
    <w:uiPriority w:val="99"/>
    <w:semiHidden/>
    <w:unhideWhenUsed/>
    <w:rsid w:val="00C01BB5"/>
    <w:pPr>
      <w:spacing w:line="240" w:lineRule="auto"/>
    </w:pPr>
    <w:rPr>
      <w:sz w:val="20"/>
      <w:szCs w:val="20"/>
    </w:rPr>
  </w:style>
  <w:style w:type="character" w:customStyle="1" w:styleId="CommentTextChar">
    <w:name w:val="Comment Text Char"/>
    <w:basedOn w:val="DefaultParagraphFont"/>
    <w:link w:val="CommentText"/>
    <w:uiPriority w:val="99"/>
    <w:semiHidden/>
    <w:rsid w:val="00C01BB5"/>
    <w:rPr>
      <w:sz w:val="20"/>
      <w:szCs w:val="20"/>
    </w:rPr>
  </w:style>
  <w:style w:type="paragraph" w:styleId="CommentSubject">
    <w:name w:val="annotation subject"/>
    <w:basedOn w:val="CommentText"/>
    <w:next w:val="CommentText"/>
    <w:link w:val="CommentSubjectChar"/>
    <w:uiPriority w:val="99"/>
    <w:semiHidden/>
    <w:unhideWhenUsed/>
    <w:rsid w:val="00C01BB5"/>
    <w:rPr>
      <w:b/>
      <w:bCs/>
    </w:rPr>
  </w:style>
  <w:style w:type="character" w:customStyle="1" w:styleId="CommentSubjectChar">
    <w:name w:val="Comment Subject Char"/>
    <w:basedOn w:val="CommentTextChar"/>
    <w:link w:val="CommentSubject"/>
    <w:uiPriority w:val="99"/>
    <w:semiHidden/>
    <w:rsid w:val="00C01BB5"/>
    <w:rPr>
      <w:b/>
      <w:bCs/>
      <w:sz w:val="20"/>
      <w:szCs w:val="20"/>
    </w:rPr>
  </w:style>
  <w:style w:type="paragraph" w:styleId="BalloonText">
    <w:name w:val="Balloon Text"/>
    <w:basedOn w:val="Normal"/>
    <w:link w:val="BalloonTextChar"/>
    <w:uiPriority w:val="99"/>
    <w:semiHidden/>
    <w:unhideWhenUsed/>
    <w:rsid w:val="00C01B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BB5"/>
    <w:rPr>
      <w:rFonts w:ascii="Segoe UI" w:hAnsi="Segoe UI" w:cs="Segoe UI"/>
      <w:sz w:val="18"/>
      <w:szCs w:val="18"/>
    </w:rPr>
  </w:style>
  <w:style w:type="table" w:styleId="TableGrid">
    <w:name w:val="Table Grid"/>
    <w:basedOn w:val="TableNormal"/>
    <w:uiPriority w:val="39"/>
    <w:rsid w:val="0074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DF7"/>
    <w:rPr>
      <w:color w:val="0563C1" w:themeColor="hyperlink"/>
      <w:u w:val="single"/>
    </w:rPr>
  </w:style>
  <w:style w:type="character" w:styleId="UnresolvedMention">
    <w:name w:val="Unresolved Mention"/>
    <w:basedOn w:val="DefaultParagraphFont"/>
    <w:uiPriority w:val="99"/>
    <w:semiHidden/>
    <w:unhideWhenUsed/>
    <w:rsid w:val="00146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28167">
      <w:bodyDiv w:val="1"/>
      <w:marLeft w:val="0"/>
      <w:marRight w:val="0"/>
      <w:marTop w:val="0"/>
      <w:marBottom w:val="0"/>
      <w:divBdr>
        <w:top w:val="none" w:sz="0" w:space="0" w:color="auto"/>
        <w:left w:val="none" w:sz="0" w:space="0" w:color="auto"/>
        <w:bottom w:val="none" w:sz="0" w:space="0" w:color="auto"/>
        <w:right w:val="none" w:sz="0" w:space="0" w:color="auto"/>
      </w:divBdr>
    </w:div>
    <w:div w:id="252861638">
      <w:bodyDiv w:val="1"/>
      <w:marLeft w:val="0"/>
      <w:marRight w:val="0"/>
      <w:marTop w:val="0"/>
      <w:marBottom w:val="0"/>
      <w:divBdr>
        <w:top w:val="none" w:sz="0" w:space="0" w:color="auto"/>
        <w:left w:val="none" w:sz="0" w:space="0" w:color="auto"/>
        <w:bottom w:val="none" w:sz="0" w:space="0" w:color="auto"/>
        <w:right w:val="none" w:sz="0" w:space="0" w:color="auto"/>
      </w:divBdr>
      <w:divsChild>
        <w:div w:id="287012612">
          <w:marLeft w:val="0"/>
          <w:marRight w:val="0"/>
          <w:marTop w:val="0"/>
          <w:marBottom w:val="0"/>
          <w:divBdr>
            <w:top w:val="none" w:sz="0" w:space="0" w:color="auto"/>
            <w:left w:val="none" w:sz="0" w:space="0" w:color="auto"/>
            <w:bottom w:val="none" w:sz="0" w:space="0" w:color="auto"/>
            <w:right w:val="none" w:sz="0" w:space="0" w:color="auto"/>
          </w:divBdr>
        </w:div>
      </w:divsChild>
    </w:div>
    <w:div w:id="573055490">
      <w:bodyDiv w:val="1"/>
      <w:marLeft w:val="0"/>
      <w:marRight w:val="0"/>
      <w:marTop w:val="0"/>
      <w:marBottom w:val="0"/>
      <w:divBdr>
        <w:top w:val="none" w:sz="0" w:space="0" w:color="auto"/>
        <w:left w:val="none" w:sz="0" w:space="0" w:color="auto"/>
        <w:bottom w:val="none" w:sz="0" w:space="0" w:color="auto"/>
        <w:right w:val="none" w:sz="0" w:space="0" w:color="auto"/>
      </w:divBdr>
    </w:div>
    <w:div w:id="727336050">
      <w:bodyDiv w:val="1"/>
      <w:marLeft w:val="0"/>
      <w:marRight w:val="0"/>
      <w:marTop w:val="0"/>
      <w:marBottom w:val="0"/>
      <w:divBdr>
        <w:top w:val="none" w:sz="0" w:space="0" w:color="auto"/>
        <w:left w:val="none" w:sz="0" w:space="0" w:color="auto"/>
        <w:bottom w:val="none" w:sz="0" w:space="0" w:color="auto"/>
        <w:right w:val="none" w:sz="0" w:space="0" w:color="auto"/>
      </w:divBdr>
    </w:div>
    <w:div w:id="1232888688">
      <w:bodyDiv w:val="1"/>
      <w:marLeft w:val="0"/>
      <w:marRight w:val="0"/>
      <w:marTop w:val="0"/>
      <w:marBottom w:val="0"/>
      <w:divBdr>
        <w:top w:val="none" w:sz="0" w:space="0" w:color="auto"/>
        <w:left w:val="none" w:sz="0" w:space="0" w:color="auto"/>
        <w:bottom w:val="none" w:sz="0" w:space="0" w:color="auto"/>
        <w:right w:val="none" w:sz="0" w:space="0" w:color="auto"/>
      </w:divBdr>
    </w:div>
    <w:div w:id="1558012724">
      <w:bodyDiv w:val="1"/>
      <w:marLeft w:val="0"/>
      <w:marRight w:val="0"/>
      <w:marTop w:val="0"/>
      <w:marBottom w:val="0"/>
      <w:divBdr>
        <w:top w:val="none" w:sz="0" w:space="0" w:color="auto"/>
        <w:left w:val="none" w:sz="0" w:space="0" w:color="auto"/>
        <w:bottom w:val="none" w:sz="0" w:space="0" w:color="auto"/>
        <w:right w:val="none" w:sz="0" w:space="0" w:color="auto"/>
      </w:divBdr>
    </w:div>
    <w:div w:id="1634943807">
      <w:bodyDiv w:val="1"/>
      <w:marLeft w:val="0"/>
      <w:marRight w:val="0"/>
      <w:marTop w:val="0"/>
      <w:marBottom w:val="0"/>
      <w:divBdr>
        <w:top w:val="none" w:sz="0" w:space="0" w:color="auto"/>
        <w:left w:val="none" w:sz="0" w:space="0" w:color="auto"/>
        <w:bottom w:val="none" w:sz="0" w:space="0" w:color="auto"/>
        <w:right w:val="none" w:sz="0" w:space="0" w:color="auto"/>
      </w:divBdr>
    </w:div>
    <w:div w:id="16650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sswoods.org/sites/masswoods.org/files/pdf-doc-ppt/Restoring_Old_Growth_Characteristics_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ass.gov/service-details/biomap2-conserving-the-biodiversity-of-massachusetts-in-a-changing-worl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tfishandwildlife.com/conserve/vermont-conservation-design" TargetMode="External"/><Relationship Id="rId5" Type="http://schemas.openxmlformats.org/officeDocument/2006/relationships/numbering" Target="numbering.xml"/><Relationship Id="rId15" Type="http://schemas.openxmlformats.org/officeDocument/2006/relationships/image" Target="media/image1.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orestguild.org/publications/research/2010/FG_Biomass_Guidelines_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461BCAC43E974A98868FF5F1C5F28A" ma:contentTypeVersion="11" ma:contentTypeDescription="Create a new document." ma:contentTypeScope="" ma:versionID="79bfd1c3e9091d863ccc899d9977a1b5">
  <xsd:schema xmlns:xsd="http://www.w3.org/2001/XMLSchema" xmlns:xs="http://www.w3.org/2001/XMLSchema" xmlns:p="http://schemas.microsoft.com/office/2006/metadata/properties" xmlns:ns2="082de55b-2b11-4ada-96c6-6a88ebdb5504" xmlns:ns3="1e754e94-ba46-4584-a380-73f862e2cce1" targetNamespace="http://schemas.microsoft.com/office/2006/metadata/properties" ma:root="true" ma:fieldsID="e23094848c85d80e038fa64717ac8670" ns2:_="" ns3:_="">
    <xsd:import namespace="082de55b-2b11-4ada-96c6-6a88ebdb5504"/>
    <xsd:import namespace="1e754e94-ba46-4584-a380-73f862e2cc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2de55b-2b11-4ada-96c6-6a88ebdb5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754e94-ba46-4584-a380-73f862e2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EEC0F-9E16-46CE-934A-13872494EFF9}">
  <ds:schemaRefs>
    <ds:schemaRef ds:uri="http://schemas.microsoft.com/sharepoint/v3/contenttype/forms"/>
  </ds:schemaRefs>
</ds:datastoreItem>
</file>

<file path=customXml/itemProps2.xml><?xml version="1.0" encoding="utf-8"?>
<ds:datastoreItem xmlns:ds="http://schemas.openxmlformats.org/officeDocument/2006/customXml" ds:itemID="{CA953F1E-3273-46F9-8E06-B6900B5E1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2de55b-2b11-4ada-96c6-6a88ebdb5504"/>
    <ds:schemaRef ds:uri="1e754e94-ba46-4584-a380-73f862e2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06103C-AA68-4CAA-BC2A-37BD8FA0B8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485CCA-A04B-4296-8BE4-CFC4070E0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Shoch</dc:creator>
  <cp:keywords/>
  <dc:description/>
  <cp:lastModifiedBy>Laura Marx</cp:lastModifiedBy>
  <cp:revision>5</cp:revision>
  <dcterms:created xsi:type="dcterms:W3CDTF">2020-04-26T10:02:00Z</dcterms:created>
  <dcterms:modified xsi:type="dcterms:W3CDTF">2020-04-30T11:39:00Z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0x010100D7461BCAC43E974A98868FF5F1C5F28A</vt:lpwstr>
  </property>
</Properties>
</file>